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D0A78">
      <w:pPr>
        <w:keepNext w:val="0"/>
        <w:keepLines w:val="0"/>
        <w:pageBreakBefore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44"/>
          <w:szCs w:val="44"/>
        </w:rPr>
      </w:pPr>
    </w:p>
    <w:p w14:paraId="7CDB8A24">
      <w:pPr>
        <w:keepNext w:val="0"/>
        <w:keepLines w:val="0"/>
        <w:pageBreakBefore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44"/>
          <w:szCs w:val="44"/>
        </w:rPr>
      </w:pPr>
    </w:p>
    <w:p w14:paraId="29BAE4FC">
      <w:pPr>
        <w:keepNext w:val="0"/>
        <w:keepLines w:val="0"/>
        <w:pageBreakBefore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44"/>
          <w:szCs w:val="44"/>
        </w:rPr>
      </w:pPr>
    </w:p>
    <w:p w14:paraId="12BF3D7A">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阳西县义务教育优质均衡发展</w:t>
      </w:r>
    </w:p>
    <w:p w14:paraId="76F9101F">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14:paraId="66000D3F">
      <w:pPr>
        <w:keepNext w:val="0"/>
        <w:keepLines w:val="0"/>
        <w:pageBreakBefore w:val="0"/>
        <w:widowControl w:val="0"/>
        <w:kinsoku/>
        <w:wordWrap/>
        <w:overflowPunct/>
        <w:topLinePunct w:val="0"/>
        <w:autoSpaceDE/>
        <w:autoSpaceDN/>
        <w:bidi w:val="0"/>
        <w:adjustRightInd/>
        <w:snapToGrid w:val="0"/>
        <w:spacing w:line="640" w:lineRule="exact"/>
        <w:ind w:firstLine="640" w:firstLineChars="200"/>
        <w:textAlignment w:val="auto"/>
        <w:rPr>
          <w:rFonts w:hint="eastAsia" w:ascii="仿宋_GB2312" w:hAnsi="仿宋_GB2312" w:eastAsia="仿宋_GB2312" w:cs="仿宋_GB2312"/>
          <w:sz w:val="32"/>
          <w:szCs w:val="32"/>
        </w:rPr>
      </w:pPr>
    </w:p>
    <w:p w14:paraId="689A61C3">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推进县域义务教育优质均衡发展，是全面落实习近平新时代中国特色社会主义思想和党的二十大精神的一项战略举措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一直以来，</w:t>
      </w:r>
      <w:r>
        <w:rPr>
          <w:rFonts w:hint="eastAsia" w:ascii="仿宋_GB2312" w:hAnsi="仿宋_GB2312" w:eastAsia="仿宋_GB2312" w:cs="仿宋_GB2312"/>
          <w:sz w:val="32"/>
          <w:szCs w:val="32"/>
          <w:lang w:eastAsia="zh-CN"/>
        </w:rPr>
        <w:t>阳西县委、县政府</w:t>
      </w:r>
      <w:r>
        <w:rPr>
          <w:rFonts w:hint="eastAsia" w:ascii="仿宋_GB2312" w:hAnsi="仿宋_GB2312" w:eastAsia="仿宋_GB2312" w:cs="仿宋_GB2312"/>
          <w:sz w:val="32"/>
          <w:szCs w:val="32"/>
          <w:lang w:val="en-US" w:eastAsia="zh-CN"/>
        </w:rPr>
        <w:t>深入贯彻落实党中央、国务院关于推进义务教育优质均衡发展的决策部署，坚持教育优先发展战略，以办好人民满意的教育为目标，持续加大教育投入，优化资源配置，加强教师队伍建设，深化教育教学改革，全力推进义务教育优质均衡发展。</w:t>
      </w:r>
      <w:r>
        <w:rPr>
          <w:rFonts w:hint="eastAsia" w:ascii="仿宋_GB2312" w:hAnsi="仿宋_GB2312" w:eastAsia="仿宋_GB2312" w:cs="仿宋_GB2312"/>
          <w:sz w:val="32"/>
          <w:szCs w:val="32"/>
        </w:rPr>
        <w:t>现将</w:t>
      </w:r>
      <w:r>
        <w:rPr>
          <w:rFonts w:hint="eastAsia" w:ascii="仿宋_GB2312" w:hAnsi="仿宋_GB2312" w:eastAsia="仿宋_GB2312" w:cs="仿宋_GB2312"/>
          <w:sz w:val="32"/>
          <w:szCs w:val="32"/>
          <w:lang w:eastAsia="zh-CN"/>
        </w:rPr>
        <w:t>阳西</w:t>
      </w:r>
      <w:r>
        <w:rPr>
          <w:rFonts w:hint="eastAsia" w:ascii="仿宋_GB2312" w:hAnsi="仿宋_GB2312" w:eastAsia="仿宋_GB2312" w:cs="仿宋_GB2312"/>
          <w:sz w:val="32"/>
          <w:szCs w:val="32"/>
        </w:rPr>
        <w:t>县推进义务教育优质均衡发展工作情况</w:t>
      </w:r>
      <w:r>
        <w:rPr>
          <w:rFonts w:hint="eastAsia" w:ascii="仿宋_GB2312" w:hAnsi="仿宋_GB2312" w:eastAsia="仿宋_GB2312" w:cs="仿宋_GB2312"/>
          <w:sz w:val="32"/>
          <w:szCs w:val="32"/>
          <w:lang w:eastAsia="zh-CN"/>
        </w:rPr>
        <w:t>报告如下：</w:t>
      </w:r>
    </w:p>
    <w:p w14:paraId="17E144B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一、基本情况</w:t>
      </w:r>
    </w:p>
    <w:p w14:paraId="4B80A67E">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阳西县位于广东省西南沿海，陆域面积1435.18平方公里，海域面积5668平方公里，海岸线长174.37公里，下辖8个镇，设阳西高新技术产业开发区，19个居委会、138个村（渔）委会。全县共有义务教育学校</w:t>
      </w:r>
      <w:r>
        <w:rPr>
          <w:rFonts w:hint="eastAsia" w:ascii="仿宋_GB2312" w:hAnsi="仿宋_GB2312" w:eastAsia="仿宋_GB2312" w:cs="仿宋_GB2312"/>
          <w:sz w:val="32"/>
          <w:szCs w:val="32"/>
          <w:lang w:val="en-US" w:eastAsia="zh-CN"/>
        </w:rPr>
        <w:t>156</w:t>
      </w:r>
      <w:r>
        <w:rPr>
          <w:rFonts w:hint="eastAsia" w:ascii="仿宋_GB2312" w:hAnsi="仿宋_GB2312" w:eastAsia="仿宋_GB2312" w:cs="仿宋_GB2312"/>
          <w:sz w:val="32"/>
          <w:szCs w:val="32"/>
        </w:rPr>
        <w:t>所</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sz w:val="32"/>
          <w:szCs w:val="32"/>
        </w:rPr>
        <w:t>教学点110个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50人以上教学点6个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小学25所、初级中学10所、完全中学1所、九年一贯制学校9所、十二年一贯制学校1所</w:t>
      </w:r>
      <w:r>
        <w:rPr>
          <w:rFonts w:hint="eastAsia" w:ascii="仿宋_GB2312" w:hAnsi="仿宋_GB2312" w:eastAsia="仿宋_GB2312" w:cs="仿宋_GB2312"/>
          <w:sz w:val="32"/>
          <w:szCs w:val="32"/>
          <w:lang w:eastAsia="zh-CN"/>
        </w:rPr>
        <w:t>、特殊学校</w:t>
      </w:r>
      <w:r>
        <w:rPr>
          <w:rFonts w:hint="eastAsia" w:ascii="仿宋_GB2312" w:hAnsi="仿宋_GB2312" w:eastAsia="仿宋_GB2312" w:cs="仿宋_GB2312"/>
          <w:sz w:val="32"/>
          <w:szCs w:val="32"/>
          <w:lang w:val="en-US" w:eastAsia="zh-CN"/>
        </w:rPr>
        <w:t>1所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义务教育学生人数共</w:t>
      </w:r>
      <w:r>
        <w:rPr>
          <w:rFonts w:hint="eastAsia" w:ascii="仿宋_GB2312" w:hAnsi="仿宋_GB2312" w:eastAsia="仿宋_GB2312" w:cs="仿宋_GB2312"/>
          <w:color w:val="auto"/>
          <w:sz w:val="32"/>
          <w:szCs w:val="32"/>
          <w:lang w:val="en-US" w:eastAsia="zh-CN"/>
        </w:rPr>
        <w:t>54749</w:t>
      </w:r>
      <w:r>
        <w:rPr>
          <w:rFonts w:hint="eastAsia" w:ascii="仿宋_GB2312" w:hAnsi="仿宋_GB2312" w:eastAsia="仿宋_GB2312" w:cs="仿宋_GB2312"/>
          <w:color w:val="auto"/>
          <w:sz w:val="32"/>
          <w:szCs w:val="32"/>
        </w:rPr>
        <w:t>人，其中小学</w:t>
      </w:r>
      <w:r>
        <w:rPr>
          <w:rFonts w:hint="eastAsia" w:ascii="仿宋_GB2312" w:hAnsi="仿宋_GB2312" w:eastAsia="仿宋_GB2312" w:cs="仿宋_GB2312"/>
          <w:color w:val="auto"/>
          <w:sz w:val="32"/>
          <w:szCs w:val="32"/>
          <w:lang w:val="en-US" w:eastAsia="zh-CN"/>
        </w:rPr>
        <w:t>34571</w:t>
      </w:r>
      <w:r>
        <w:rPr>
          <w:rFonts w:hint="eastAsia" w:ascii="仿宋_GB2312" w:hAnsi="仿宋_GB2312" w:eastAsia="仿宋_GB2312" w:cs="仿宋_GB2312"/>
          <w:color w:val="auto"/>
          <w:sz w:val="32"/>
          <w:szCs w:val="32"/>
        </w:rPr>
        <w:t>人，初中2021</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人。全县教职工</w:t>
      </w:r>
      <w:r>
        <w:rPr>
          <w:rFonts w:hint="eastAsia" w:ascii="仿宋_GB2312" w:hAnsi="仿宋_GB2312" w:eastAsia="仿宋_GB2312" w:cs="仿宋_GB2312"/>
          <w:color w:val="auto"/>
          <w:sz w:val="32"/>
          <w:szCs w:val="32"/>
          <w:lang w:val="en-US" w:eastAsia="zh-CN"/>
        </w:rPr>
        <w:t>4048</w:t>
      </w:r>
      <w:r>
        <w:rPr>
          <w:rFonts w:hint="eastAsia" w:ascii="仿宋_GB2312" w:hAnsi="仿宋_GB2312" w:eastAsia="仿宋_GB2312" w:cs="仿宋_GB2312"/>
          <w:color w:val="auto"/>
          <w:sz w:val="32"/>
          <w:szCs w:val="32"/>
        </w:rPr>
        <w:t>人，其中专任教师</w:t>
      </w:r>
      <w:r>
        <w:rPr>
          <w:rFonts w:hint="eastAsia" w:ascii="仿宋_GB2312" w:hAnsi="仿宋_GB2312" w:eastAsia="仿宋_GB2312" w:cs="仿宋_GB2312"/>
          <w:color w:val="auto"/>
          <w:sz w:val="32"/>
          <w:szCs w:val="32"/>
          <w:lang w:val="en-US" w:eastAsia="zh-CN"/>
        </w:rPr>
        <w:t>3831</w:t>
      </w:r>
      <w:r>
        <w:rPr>
          <w:rFonts w:hint="eastAsia" w:ascii="仿宋_GB2312" w:hAnsi="仿宋_GB2312" w:eastAsia="仿宋_GB2312" w:cs="仿宋_GB2312"/>
          <w:color w:val="auto"/>
          <w:sz w:val="32"/>
          <w:szCs w:val="32"/>
        </w:rPr>
        <w:t>人。</w:t>
      </w:r>
    </w:p>
    <w:p w14:paraId="7423ECF2">
      <w:pPr>
        <w:keepNext w:val="0"/>
        <w:keepLines w:val="0"/>
        <w:pageBreakBefore w:val="0"/>
        <w:numPr>
          <w:ilvl w:val="0"/>
          <w:numId w:val="1"/>
        </w:numPr>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指标达标情况</w:t>
      </w:r>
    </w:p>
    <w:p w14:paraId="3B751B06">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sz w:val="32"/>
          <w:szCs w:val="32"/>
          <w:lang w:val="en-US"/>
        </w:rPr>
      </w:pPr>
      <w:r>
        <w:rPr>
          <w:rFonts w:hint="eastAsia" w:ascii="仿宋_GB2312" w:hAnsi="仿宋_GB2312" w:eastAsia="仿宋_GB2312" w:cs="仿宋_GB2312"/>
          <w:sz w:val="32"/>
          <w:szCs w:val="32"/>
          <w:highlight w:val="none"/>
          <w:lang w:eastAsia="zh-CN"/>
        </w:rPr>
        <w:t>对照《县域义务教育优质均衡发展督导评估办法》四大方面</w:t>
      </w:r>
      <w:r>
        <w:rPr>
          <w:rFonts w:hint="eastAsia" w:ascii="仿宋_GB2312" w:hAnsi="仿宋_GB2312" w:eastAsia="仿宋_GB2312" w:cs="仿宋_GB2312"/>
          <w:sz w:val="32"/>
          <w:szCs w:val="32"/>
          <w:highlight w:val="none"/>
          <w:lang w:val="en-US" w:eastAsia="zh-CN"/>
        </w:rPr>
        <w:t>32项指标，我</w:t>
      </w:r>
      <w:r>
        <w:rPr>
          <w:rFonts w:hint="eastAsia" w:ascii="仿宋_GB2312" w:hAnsi="仿宋_GB2312" w:eastAsia="仿宋_GB2312" w:cs="仿宋_GB2312"/>
          <w:sz w:val="32"/>
          <w:szCs w:val="32"/>
          <w:highlight w:val="none"/>
          <w:lang w:eastAsia="zh-CN"/>
        </w:rPr>
        <w:t>县经过认真自查自评，其中</w:t>
      </w:r>
      <w:r>
        <w:rPr>
          <w:rFonts w:hint="eastAsia" w:ascii="仿宋_GB2312" w:hAnsi="仿宋_GB2312" w:eastAsia="仿宋_GB2312" w:cs="仿宋_GB2312"/>
          <w:sz w:val="32"/>
          <w:szCs w:val="32"/>
          <w:highlight w:val="none"/>
          <w:lang w:val="en-US" w:eastAsia="zh-CN"/>
        </w:rPr>
        <w:t>30项达标，2项基本达标。全县小学、初中资源配置七项指标差异系数分别为0.23</w:t>
      </w:r>
      <w:r>
        <w:rPr>
          <w:rFonts w:hint="default"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val="en-US" w:eastAsia="zh-CN"/>
        </w:rPr>
        <w:t>和0.214。各项指标达标情况如下：</w:t>
      </w:r>
    </w:p>
    <w:p w14:paraId="3B93A87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（一）资源配置</w:t>
      </w:r>
    </w:p>
    <w:p w14:paraId="3A52CDF3">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每百名学生拥有高于规定学历教师数。</w:t>
      </w:r>
      <w:r>
        <w:rPr>
          <w:rFonts w:hint="eastAsia" w:ascii="仿宋_GB2312" w:hAnsi="仿宋_GB2312" w:eastAsia="仿宋_GB2312" w:cs="仿宋_GB2312"/>
          <w:color w:val="auto"/>
          <w:sz w:val="32"/>
          <w:szCs w:val="32"/>
        </w:rPr>
        <w:t>小学专科以上学历教师20</w:t>
      </w:r>
      <w:r>
        <w:rPr>
          <w:rFonts w:hint="default" w:ascii="仿宋_GB2312" w:hAnsi="仿宋_GB2312" w:eastAsia="仿宋_GB2312" w:cs="仿宋_GB2312"/>
          <w:color w:val="auto"/>
          <w:sz w:val="32"/>
          <w:szCs w:val="32"/>
          <w:lang w:val="en-US" w:eastAsia="zh-CN"/>
        </w:rPr>
        <w:t>36</w:t>
      </w:r>
      <w:r>
        <w:rPr>
          <w:rFonts w:hint="eastAsia" w:ascii="仿宋_GB2312" w:hAnsi="仿宋_GB2312" w:eastAsia="仿宋_GB2312" w:cs="仿宋_GB2312"/>
          <w:color w:val="auto"/>
          <w:sz w:val="32"/>
          <w:szCs w:val="32"/>
        </w:rPr>
        <w:t>人，每百名学生拥有高于规定学历教师数</w:t>
      </w:r>
      <w:r>
        <w:rPr>
          <w:rFonts w:hint="eastAsia" w:ascii="仿宋_GB2312" w:hAnsi="仿宋_GB2312" w:eastAsia="仿宋_GB2312" w:cs="仿宋_GB2312"/>
          <w:color w:val="auto"/>
          <w:sz w:val="32"/>
          <w:szCs w:val="32"/>
          <w:lang w:val="en-US" w:eastAsia="zh-CN"/>
        </w:rPr>
        <w:t>的为6.0</w:t>
      </w:r>
      <w:r>
        <w:rPr>
          <w:rFonts w:hint="default"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人</w:t>
      </w:r>
      <w:r>
        <w:rPr>
          <w:rFonts w:hint="eastAsia" w:ascii="仿宋_GB2312" w:hAnsi="仿宋_GB2312" w:eastAsia="仿宋_GB2312" w:cs="仿宋_GB2312"/>
          <w:color w:val="auto"/>
          <w:sz w:val="32"/>
          <w:szCs w:val="32"/>
        </w:rPr>
        <w:t>；初中本科以上教师</w:t>
      </w: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530</w:t>
      </w:r>
      <w:r>
        <w:rPr>
          <w:rFonts w:hint="eastAsia" w:ascii="仿宋_GB2312" w:hAnsi="仿宋_GB2312" w:eastAsia="仿宋_GB2312" w:cs="仿宋_GB2312"/>
          <w:color w:val="auto"/>
          <w:sz w:val="32"/>
          <w:szCs w:val="32"/>
        </w:rPr>
        <w:t>人，每百名学生拥有高于规定学历教师数</w:t>
      </w:r>
      <w:r>
        <w:rPr>
          <w:rFonts w:hint="eastAsia" w:ascii="仿宋_GB2312" w:hAnsi="仿宋_GB2312" w:eastAsia="仿宋_GB2312" w:cs="仿宋_GB2312"/>
          <w:color w:val="auto"/>
          <w:sz w:val="32"/>
          <w:szCs w:val="32"/>
          <w:lang w:val="en-US" w:eastAsia="zh-CN"/>
        </w:rPr>
        <w:t>为7.2</w:t>
      </w:r>
      <w:r>
        <w:rPr>
          <w:rFonts w:hint="default"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en-US" w:eastAsia="zh-CN"/>
        </w:rPr>
        <w:t>人</w:t>
      </w:r>
      <w:r>
        <w:rPr>
          <w:rFonts w:hint="eastAsia" w:ascii="仿宋_GB2312" w:hAnsi="仿宋_GB2312" w:eastAsia="仿宋_GB2312" w:cs="仿宋_GB2312"/>
          <w:color w:val="auto"/>
          <w:sz w:val="32"/>
          <w:szCs w:val="32"/>
        </w:rPr>
        <w:t>。均高于小学4.2人、初中5.3人的标准。自评达标。</w:t>
      </w:r>
    </w:p>
    <w:p w14:paraId="097039B3">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每百名学生拥有县级及以上骨干教师数。</w:t>
      </w:r>
      <w:r>
        <w:rPr>
          <w:rFonts w:hint="eastAsia" w:ascii="仿宋_GB2312" w:hAnsi="仿宋_GB2312" w:eastAsia="仿宋_GB2312" w:cs="仿宋_GB2312"/>
          <w:sz w:val="32"/>
          <w:szCs w:val="32"/>
        </w:rPr>
        <w:t>小学县级及以上骨干教师475人，每百名学生拥有1.4</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人；初中县级及以上骨干教师337人，每百名学生拥有1.</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人。自评达标。</w:t>
      </w:r>
    </w:p>
    <w:p w14:paraId="330DFAD4">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3</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每百名学生拥有体育、艺术专任教师数。</w:t>
      </w:r>
      <w:r>
        <w:rPr>
          <w:rFonts w:hint="eastAsia" w:ascii="仿宋_GB2312" w:hAnsi="仿宋_GB2312" w:eastAsia="仿宋_GB2312" w:cs="仿宋_GB2312"/>
          <w:color w:val="auto"/>
          <w:sz w:val="32"/>
          <w:szCs w:val="32"/>
        </w:rPr>
        <w:t>小学体育、艺术（音乐、美术）专任教师42</w:t>
      </w:r>
      <w:r>
        <w:rPr>
          <w:rFonts w:hint="default" w:ascii="仿宋_GB2312" w:hAnsi="仿宋_GB2312" w:eastAsia="仿宋_GB2312" w:cs="仿宋_GB2312"/>
          <w:color w:val="auto"/>
          <w:sz w:val="32"/>
          <w:szCs w:val="32"/>
          <w:lang w:val="en-US"/>
        </w:rPr>
        <w:t>2</w:t>
      </w:r>
      <w:r>
        <w:rPr>
          <w:rFonts w:hint="eastAsia" w:ascii="仿宋_GB2312" w:hAnsi="仿宋_GB2312" w:eastAsia="仿宋_GB2312" w:cs="仿宋_GB2312"/>
          <w:color w:val="auto"/>
          <w:sz w:val="32"/>
          <w:szCs w:val="32"/>
        </w:rPr>
        <w:t>人，每百名学生拥有1.2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人；初中体育、艺术专任教师215人，每百名学生拥有1.0</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人。自评达标。</w:t>
      </w:r>
    </w:p>
    <w:p w14:paraId="344F19FE">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生均教学及辅助用房面积。</w:t>
      </w:r>
      <w:r>
        <w:rPr>
          <w:rFonts w:hint="eastAsia" w:ascii="仿宋_GB2312" w:hAnsi="仿宋_GB2312" w:eastAsia="仿宋_GB2312" w:cs="仿宋_GB2312"/>
          <w:sz w:val="32"/>
          <w:szCs w:val="32"/>
        </w:rPr>
        <w:t>小学教学及辅助用房面积</w:t>
      </w:r>
      <w:r>
        <w:rPr>
          <w:rFonts w:hint="default" w:ascii="仿宋_GB2312" w:hAnsi="仿宋_GB2312" w:eastAsia="仿宋_GB2312" w:cs="仿宋_GB2312"/>
          <w:color w:val="auto"/>
          <w:sz w:val="32"/>
          <w:szCs w:val="32"/>
          <w:lang w:val="en-US"/>
        </w:rPr>
        <w:t>184010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94</w:t>
      </w:r>
      <w:r>
        <w:rPr>
          <w:rFonts w:hint="eastAsia" w:ascii="仿宋_GB2312" w:hAnsi="仿宋_GB2312" w:eastAsia="仿宋_GB2312" w:cs="仿宋_GB2312"/>
          <w:sz w:val="32"/>
          <w:szCs w:val="32"/>
        </w:rPr>
        <w:t>平方米，生均5.</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平方米，高于小学4.5平方米标准；初中教学及辅助用房面积126850.81平方米，生均6.</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平方米，高于初中5.8平方米标准。自评达标。</w:t>
      </w:r>
    </w:p>
    <w:p w14:paraId="1B6419E6">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5</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生均体育运动场馆面积。</w:t>
      </w:r>
      <w:r>
        <w:rPr>
          <w:rFonts w:hint="eastAsia" w:ascii="仿宋_GB2312" w:hAnsi="仿宋_GB2312" w:eastAsia="仿宋_GB2312" w:cs="仿宋_GB2312"/>
          <w:color w:val="auto"/>
          <w:sz w:val="32"/>
          <w:szCs w:val="32"/>
        </w:rPr>
        <w:t>小学体育运动场馆面积294038.34平方米，生均8.6</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平方米，高于小学7.5平方米标准；初中体育运动场馆面积256</w:t>
      </w:r>
      <w:r>
        <w:rPr>
          <w:rFonts w:hint="default" w:ascii="仿宋_GB2312" w:hAnsi="仿宋_GB2312" w:eastAsia="仿宋_GB2312" w:cs="仿宋_GB2312"/>
          <w:color w:val="auto"/>
          <w:sz w:val="32"/>
          <w:szCs w:val="32"/>
          <w:lang w:val="en-US"/>
        </w:rPr>
        <w:t>390</w:t>
      </w:r>
      <w:r>
        <w:rPr>
          <w:rFonts w:hint="eastAsia" w:ascii="仿宋_GB2312" w:hAnsi="仿宋_GB2312" w:eastAsia="仿宋_GB2312" w:cs="仿宋_GB2312"/>
          <w:color w:val="auto"/>
          <w:sz w:val="32"/>
          <w:szCs w:val="32"/>
        </w:rPr>
        <w:t>.94平方米，生均12.7平方米，高于初中10.2平方米标准。自评达标。</w:t>
      </w:r>
    </w:p>
    <w:p w14:paraId="637B5652">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生均教学仪器设备值。</w:t>
      </w:r>
      <w:r>
        <w:rPr>
          <w:rFonts w:hint="eastAsia" w:ascii="仿宋_GB2312" w:hAnsi="仿宋_GB2312" w:eastAsia="仿宋_GB2312" w:cs="仿宋_GB2312"/>
          <w:sz w:val="32"/>
          <w:szCs w:val="32"/>
        </w:rPr>
        <w:t>小学教学仪器设备值10264.06575万元，生均约30</w:t>
      </w:r>
      <w:r>
        <w:rPr>
          <w:rFonts w:hint="default" w:ascii="仿宋_GB2312" w:hAnsi="仿宋_GB2312" w:eastAsia="仿宋_GB2312" w:cs="仿宋_GB2312"/>
          <w:sz w:val="32"/>
          <w:szCs w:val="32"/>
          <w:lang w:val="en-US"/>
        </w:rPr>
        <w:t>12.5</w:t>
      </w:r>
      <w:r>
        <w:rPr>
          <w:rFonts w:hint="eastAsia" w:ascii="仿宋_GB2312" w:hAnsi="仿宋_GB2312" w:eastAsia="仿宋_GB2312" w:cs="仿宋_GB2312"/>
          <w:sz w:val="32"/>
          <w:szCs w:val="32"/>
        </w:rPr>
        <w:t>元，高于小学2000元标准；初中教学仪器设备值8143.6851</w:t>
      </w:r>
      <w:r>
        <w:rPr>
          <w:rFonts w:hint="default" w:ascii="仿宋_GB2312" w:hAnsi="仿宋_GB2312" w:eastAsia="仿宋_GB2312" w:cs="仿宋_GB2312"/>
          <w:sz w:val="32"/>
          <w:szCs w:val="32"/>
          <w:lang w:val="en-US"/>
        </w:rPr>
        <w:t>7</w:t>
      </w:r>
      <w:r>
        <w:rPr>
          <w:rFonts w:hint="eastAsia" w:ascii="仿宋_GB2312" w:hAnsi="仿宋_GB2312" w:eastAsia="仿宋_GB2312" w:cs="仿宋_GB2312"/>
          <w:sz w:val="32"/>
          <w:szCs w:val="32"/>
        </w:rPr>
        <w:t>万元，生均约399</w:t>
      </w:r>
      <w:r>
        <w:rPr>
          <w:rFonts w:hint="default" w:ascii="仿宋_GB2312" w:hAnsi="仿宋_GB2312" w:eastAsia="仿宋_GB2312" w:cs="仿宋_GB2312"/>
          <w:sz w:val="32"/>
          <w:szCs w:val="32"/>
          <w:lang w:val="en-US"/>
        </w:rPr>
        <w:t>5.8</w:t>
      </w:r>
      <w:r>
        <w:rPr>
          <w:rFonts w:hint="eastAsia" w:ascii="仿宋_GB2312" w:hAnsi="仿宋_GB2312" w:eastAsia="仿宋_GB2312" w:cs="仿宋_GB2312"/>
          <w:sz w:val="32"/>
          <w:szCs w:val="32"/>
        </w:rPr>
        <w:t>元，高于初中2500元标准。自评达标。</w:t>
      </w:r>
    </w:p>
    <w:p w14:paraId="21F796E8">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7</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每百名学生拥有网络多媒体教室数。</w:t>
      </w:r>
      <w:r>
        <w:rPr>
          <w:rFonts w:hint="eastAsia" w:ascii="仿宋_GB2312" w:hAnsi="仿宋_GB2312" w:eastAsia="仿宋_GB2312" w:cs="仿宋_GB2312"/>
          <w:color w:val="auto"/>
          <w:sz w:val="32"/>
          <w:szCs w:val="32"/>
        </w:rPr>
        <w:t>小学网络多媒体教室1081.11间，每百名学生约3.</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间；初中网络多媒体教室622.12间，每百名学生约3.0</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间。自评达标。</w:t>
      </w:r>
    </w:p>
    <w:p w14:paraId="5BC1C845">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（二）政府保障程度</w:t>
      </w:r>
    </w:p>
    <w:p w14:paraId="4A35E4E8">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8</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学校布局规划</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印发《阳西县城乡中小学（幼儿园）布局优化专项规划》，将义务教育学校布局纳入全县经济社会发展总体规划，推进以镇为中心适度集中办学，建设乡村寄宿制学校，分类整合生源极少教学点，形成“县城核心+镇中心寄宿制+村级教学点”三级布局体系。</w:t>
      </w:r>
      <w:r>
        <w:rPr>
          <w:rFonts w:hint="eastAsia" w:ascii="仿宋_GB2312" w:hAnsi="仿宋_GB2312" w:eastAsia="仿宋_GB2312" w:cs="仿宋_GB2312"/>
          <w:sz w:val="32"/>
          <w:szCs w:val="32"/>
          <w:lang w:eastAsia="zh-CN"/>
        </w:rPr>
        <w:t>自评达标。</w:t>
      </w:r>
    </w:p>
    <w:p w14:paraId="0800E26C">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9</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城乡学校建设标准统一。</w:t>
      </w:r>
      <w:r>
        <w:rPr>
          <w:rFonts w:hint="eastAsia" w:ascii="仿宋_GB2312" w:hAnsi="仿宋_GB2312" w:eastAsia="仿宋_GB2312" w:cs="仿宋_GB2312"/>
          <w:sz w:val="32"/>
          <w:szCs w:val="32"/>
        </w:rPr>
        <w:t>严格执行国家和省义务教育学校建设标准，城乡学校建设标准、教师编制标准、生均公用经费基准定额、基本装备配置标准实现统一。</w:t>
      </w:r>
      <w:r>
        <w:rPr>
          <w:rFonts w:hint="eastAsia" w:ascii="仿宋_GB2312" w:hAnsi="仿宋_GB2312" w:eastAsia="仿宋_GB2312" w:cs="仿宋_GB2312"/>
          <w:sz w:val="32"/>
          <w:szCs w:val="32"/>
          <w:lang w:eastAsia="zh-CN"/>
        </w:rPr>
        <w:t>自评达标。</w:t>
      </w:r>
    </w:p>
    <w:p w14:paraId="232D98CA">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10</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音乐、美术专用教室配置。</w:t>
      </w:r>
      <w:r>
        <w:rPr>
          <w:rFonts w:hint="eastAsia" w:ascii="仿宋_GB2312" w:hAnsi="仿宋_GB2312" w:eastAsia="仿宋_GB2312" w:cs="仿宋_GB2312"/>
          <w:sz w:val="32"/>
          <w:szCs w:val="32"/>
        </w:rPr>
        <w:t>通过优化布局、改造扩建等方式，全县所有小学、初中按每12个班配备音乐、美术专用教室，达到“实用、够用、管用”要求。自评达标。</w:t>
      </w:r>
    </w:p>
    <w:p w14:paraId="67800943">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大校额化解。</w:t>
      </w:r>
      <w:r>
        <w:rPr>
          <w:rFonts w:hint="eastAsia" w:ascii="仿宋_GB2312" w:hAnsi="仿宋_GB2312" w:eastAsia="仿宋_GB2312" w:cs="仿宋_GB2312"/>
          <w:sz w:val="32"/>
          <w:szCs w:val="32"/>
          <w:lang w:val="en-US" w:eastAsia="zh-CN"/>
        </w:rPr>
        <w:t>我县还有8所学校存在大校额问题，其中小学5所、初中2所、十二年一贯制学校1所。县委、县政府高度重视，制定实施《阳西县义务教育大校额化解工作方案（2026—2030年）》，坚持“一校一案、精准施策”，综合运用扩容、分流、提质等手段系统化解。</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严控增量。严格执行阳光招生和划片管理，大校额学校超规模招生实现零新增；压减民办学校起始年级招生计划，坚持当年招生人数不超过当年毕业人数；加强学籍管理，严禁违规插班、借读形成新的大校额。</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压减存量。 抢抓2028年生源回落“窗口期”，逐年压减大校额学校招生名额，预计2030年小学在校生降至28100人、初中降至17768人；对8所大校额学校建立化解台账，实行销号管理，化解一所、验收一所、销号一所。</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优化资源配置。 稳妥推进乡村教学点撤并，加强乡镇寄宿制学校建设，减少农村学生涌入县城择校；深化城乡教育共同体建设，推动城区优质校与薄弱校结对帮扶，缩小校际差距，从源头疏导择校需求。</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强化师资保障。 深化“县管校聘”改革，建立县域教师周转池，将学位富余学校教师有序调剂至大校额学校；重点招录音体美、科学、信息技术等紧缺学科教师，确保分流、扩容后办学质量不下降。</w:t>
      </w:r>
    </w:p>
    <w:p w14:paraId="3262514C">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到2030年底，全县义务教育大校额问题全面化解，所有学校校额达到规定标准。该指标目前尚未完全达标，正按规划有序推进。</w:t>
      </w:r>
    </w:p>
    <w:p w14:paraId="27A18CB9">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班额控制。</w:t>
      </w:r>
      <w:r>
        <w:rPr>
          <w:rFonts w:hint="eastAsia" w:ascii="仿宋_GB2312" w:hAnsi="仿宋_GB2312" w:eastAsia="仿宋_GB2312" w:cs="仿宋_GB2312"/>
          <w:sz w:val="32"/>
          <w:szCs w:val="32"/>
        </w:rPr>
        <w:t>严格执行小学起始年级最大班额不超过45人、初中不超过50人，其他年级小学最大班额不超过50人、初中不超过55人的规定。2026年秋季全县一年级实际招生115个班（不含教学点）、4458人（不含教学点），平均每班39人；七年级实际招生135个班、6247人，平均每班46人，起始年级班额全部达标。自评</w:t>
      </w:r>
      <w:r>
        <w:rPr>
          <w:rFonts w:hint="eastAsia" w:ascii="仿宋_GB2312" w:hAnsi="仿宋_GB2312" w:eastAsia="仿宋_GB2312" w:cs="仿宋_GB2312"/>
          <w:sz w:val="32"/>
          <w:szCs w:val="32"/>
          <w:lang w:eastAsia="zh-CN"/>
        </w:rPr>
        <w:t>基本</w:t>
      </w:r>
      <w:r>
        <w:rPr>
          <w:rFonts w:hint="eastAsia" w:ascii="仿宋_GB2312" w:hAnsi="仿宋_GB2312" w:eastAsia="仿宋_GB2312" w:cs="仿宋_GB2312"/>
          <w:sz w:val="32"/>
          <w:szCs w:val="32"/>
        </w:rPr>
        <w:t>达标。</w:t>
      </w:r>
    </w:p>
    <w:p w14:paraId="7AFE4B6D">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13</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小规模学校公用经费保障。</w:t>
      </w:r>
      <w:r>
        <w:rPr>
          <w:rFonts w:hint="eastAsia" w:ascii="仿宋_GB2312" w:hAnsi="仿宋_GB2312" w:eastAsia="仿宋_GB2312" w:cs="仿宋_GB2312"/>
          <w:sz w:val="32"/>
          <w:szCs w:val="32"/>
        </w:rPr>
        <w:t>对学生规模不足100人的村小学和教学点，按100人核定并安排公用经费，保障小规模学校正常运转。自评达标。</w:t>
      </w:r>
    </w:p>
    <w:p w14:paraId="67065FDE">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14</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特殊教育生均公用经费。</w:t>
      </w:r>
      <w:r>
        <w:rPr>
          <w:rFonts w:hint="eastAsia" w:ascii="仿宋_GB2312" w:hAnsi="仿宋_GB2312" w:eastAsia="仿宋_GB2312" w:cs="仿宋_GB2312"/>
          <w:sz w:val="32"/>
          <w:szCs w:val="32"/>
        </w:rPr>
        <w:t>义务教育阶段特殊教育学校（含随班就读残疾学生）生均公用经费标准不低于每生每年6000元。从2025年春季学期起，义务教育阶段特殊教育学校和随班就读残疾学生生均公用经费补助标准已由每生每年6000元提高至7000元，特殊教育学校生均公用经费为小学11500元/生/年、初中19500元/生/年。自评达标。</w:t>
      </w:r>
    </w:p>
    <w:p w14:paraId="34160C54">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15</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教师工资收入。</w:t>
      </w:r>
      <w:r>
        <w:rPr>
          <w:rFonts w:hint="eastAsia" w:ascii="仿宋_GB2312" w:hAnsi="仿宋_GB2312" w:eastAsia="仿宋_GB2312" w:cs="仿宋_GB2312"/>
          <w:sz w:val="32"/>
          <w:szCs w:val="32"/>
        </w:rPr>
        <w:t>2025年，全县小学、初中在编教师</w:t>
      </w:r>
      <w:r>
        <w:rPr>
          <w:rFonts w:hint="eastAsia" w:ascii="仿宋_GB2312" w:hAnsi="仿宋_GB2312" w:eastAsia="仿宋_GB2312" w:cs="仿宋_GB2312"/>
          <w:sz w:val="32"/>
          <w:szCs w:val="32"/>
          <w:lang w:val="en-US" w:eastAsia="zh-CN"/>
        </w:rPr>
        <w:t>平均</w:t>
      </w:r>
      <w:r>
        <w:rPr>
          <w:rFonts w:hint="eastAsia" w:ascii="仿宋_GB2312" w:hAnsi="仿宋_GB2312" w:eastAsia="仿宋_GB2312" w:cs="仿宋_GB2312"/>
          <w:sz w:val="32"/>
          <w:szCs w:val="32"/>
        </w:rPr>
        <w:t>工资收入为167844元/人/年，高于本地公务员</w:t>
      </w:r>
      <w:r>
        <w:rPr>
          <w:rFonts w:hint="eastAsia" w:ascii="仿宋_GB2312" w:hAnsi="仿宋_GB2312" w:eastAsia="仿宋_GB2312" w:cs="仿宋_GB2312"/>
          <w:sz w:val="32"/>
          <w:szCs w:val="32"/>
          <w:lang w:val="en-US" w:eastAsia="zh-CN"/>
        </w:rPr>
        <w:t>平均</w:t>
      </w:r>
      <w:r>
        <w:rPr>
          <w:rFonts w:hint="eastAsia" w:ascii="仿宋_GB2312" w:hAnsi="仿宋_GB2312" w:eastAsia="仿宋_GB2312" w:cs="仿宋_GB2312"/>
          <w:sz w:val="32"/>
          <w:szCs w:val="32"/>
        </w:rPr>
        <w:t>工资收入水平161976元/人/年。自评达标。</w:t>
      </w:r>
      <w:bookmarkStart w:id="0" w:name="_GoBack"/>
      <w:bookmarkEnd w:id="0"/>
    </w:p>
    <w:p w14:paraId="08BF2825">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16</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教师全员培训</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落实教师5年360学时全员培训制度，全县98.08%</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学校培训学时完成率达100%。文徽学校、崇文学校因民办学校教师流动性大，完成率分别为90.16%、89.49%，已督促这两间学校制定补训计划，</w:t>
      </w:r>
      <w:r>
        <w:rPr>
          <w:rFonts w:hint="eastAsia" w:ascii="仿宋_GB2312" w:hAnsi="仿宋_GB2312" w:eastAsia="仿宋_GB2312" w:cs="仿宋_GB2312"/>
          <w:sz w:val="32"/>
          <w:szCs w:val="32"/>
          <w:lang w:eastAsia="zh-CN"/>
        </w:rPr>
        <w:t>落实以下整改措施：</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建立台账。两所学校逐人核查未完成学时教师名单，明确每人所缺学时数和培训科目，建立“一人一账”补训台账，实行动态跟踪管理。</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纳入新学期校本研修。将补训任务纳入两校2026年秋季学期校本研修计划，通过校本教研、专题讲座、听课评课等方式折算认定学时，确保补训与日常教学同步推进。</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落实结对帮扶。由县教师发展中心安排专人对接两校，指导补训方案制定和学时认定，定期通报补训进度。</w:t>
      </w:r>
      <w:r>
        <w:rPr>
          <w:rFonts w:hint="eastAsia" w:ascii="仿宋_GB2312" w:hAnsi="仿宋_GB2312" w:eastAsia="仿宋_GB2312" w:cs="仿宋_GB2312"/>
          <w:sz w:val="32"/>
          <w:szCs w:val="32"/>
        </w:rPr>
        <w:t>确保2026年底前达标</w:t>
      </w:r>
      <w:r>
        <w:rPr>
          <w:rFonts w:hint="eastAsia" w:ascii="仿宋_GB2312" w:hAnsi="仿宋_GB2312" w:eastAsia="仿宋_GB2312" w:cs="仿宋_GB2312"/>
          <w:sz w:val="32"/>
          <w:szCs w:val="32"/>
          <w:lang w:eastAsia="zh-CN"/>
        </w:rPr>
        <w:t>。自评基本达标。</w:t>
      </w:r>
    </w:p>
    <w:p w14:paraId="13121390">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17</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教职工编制统筹配置。</w:t>
      </w:r>
      <w:r>
        <w:rPr>
          <w:rFonts w:hint="eastAsia" w:ascii="仿宋_GB2312" w:hAnsi="仿宋_GB2312" w:eastAsia="仿宋_GB2312" w:cs="仿宋_GB2312"/>
          <w:sz w:val="32"/>
          <w:szCs w:val="32"/>
        </w:rPr>
        <w:t>落实城乡统一的中小学教职工编制标准。2026年8月，县委编办、县教育局核定2026—2027学年中小学教职工编制总额4172名（小学2127名、初中1191名、高中854名、中职58名、特教48名），结合在校生规模、课程设置、寄宿制管理需要等因素逐校核定编制数，统筹分配各校教职工编制和岗位数量。自评达标。</w:t>
      </w:r>
    </w:p>
    <w:p w14:paraId="0B3C0517">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18</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教师交流轮岗。</w:t>
      </w:r>
      <w:r>
        <w:rPr>
          <w:rFonts w:hint="eastAsia" w:ascii="仿宋_GB2312" w:hAnsi="仿宋_GB2312" w:eastAsia="仿宋_GB2312" w:cs="仿宋_GB2312"/>
          <w:sz w:val="32"/>
          <w:szCs w:val="32"/>
        </w:rPr>
        <w:t>2025年，全县符合交流轮岗条件教师总数1060名，交流轮岗教师192名，占比18.09%；交流轮岗骨干教师55名，占交流轮岗教师总数28.64%。自评达标。</w:t>
      </w:r>
    </w:p>
    <w:p w14:paraId="7A32D81A">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19</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教师持证上岗。</w:t>
      </w:r>
      <w:r>
        <w:rPr>
          <w:rFonts w:hint="eastAsia" w:ascii="仿宋_GB2312" w:hAnsi="仿宋_GB2312" w:eastAsia="仿宋_GB2312" w:cs="仿宋_GB2312"/>
          <w:sz w:val="32"/>
          <w:szCs w:val="32"/>
        </w:rPr>
        <w:t>严格落实教师准入制度，严把教师入口关，坚持“持证上岗”原则。全县义务教育专任教师</w:t>
      </w:r>
      <w:r>
        <w:rPr>
          <w:rFonts w:hint="eastAsia" w:ascii="仿宋_GB2312" w:hAnsi="仿宋_GB2312" w:eastAsia="仿宋_GB2312" w:cs="仿宋_GB2312"/>
          <w:sz w:val="32"/>
          <w:szCs w:val="32"/>
          <w:lang w:val="en-US" w:eastAsia="zh-CN"/>
        </w:rPr>
        <w:t>3831</w:t>
      </w:r>
      <w:r>
        <w:rPr>
          <w:rFonts w:hint="eastAsia" w:ascii="仿宋_GB2312" w:hAnsi="仿宋_GB2312" w:eastAsia="仿宋_GB2312" w:cs="仿宋_GB2312"/>
          <w:sz w:val="32"/>
          <w:szCs w:val="32"/>
        </w:rPr>
        <w:t>人，持证人数</w:t>
      </w:r>
      <w:r>
        <w:rPr>
          <w:rFonts w:hint="eastAsia" w:ascii="仿宋_GB2312" w:hAnsi="仿宋_GB2312" w:eastAsia="仿宋_GB2312" w:cs="仿宋_GB2312"/>
          <w:color w:val="auto"/>
          <w:sz w:val="32"/>
          <w:szCs w:val="32"/>
          <w:lang w:val="en-US" w:eastAsia="zh-CN"/>
        </w:rPr>
        <w:t>3831</w:t>
      </w:r>
      <w:r>
        <w:rPr>
          <w:rFonts w:hint="eastAsia" w:ascii="仿宋_GB2312" w:hAnsi="仿宋_GB2312" w:eastAsia="仿宋_GB2312" w:cs="仿宋_GB2312"/>
          <w:sz w:val="32"/>
          <w:szCs w:val="32"/>
        </w:rPr>
        <w:t>人，持证率100%；教师资格定期注册通过率保持100%。自评达标。</w:t>
      </w:r>
    </w:p>
    <w:p w14:paraId="66DD9402">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20</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免试就近入学。</w:t>
      </w:r>
      <w:r>
        <w:rPr>
          <w:rFonts w:hint="eastAsia" w:ascii="仿宋_GB2312" w:hAnsi="仿宋_GB2312" w:eastAsia="仿宋_GB2312" w:cs="仿宋_GB2312"/>
          <w:sz w:val="32"/>
          <w:szCs w:val="32"/>
        </w:rPr>
        <w:t>全面落实义务教育免试就近入学政策，科学设置四个报名录取阶段，按优先级依次录取，实现公民办学校同步招生。落实长幼随学政策，实行“小跟大读”统筹安置。全县适龄儿童少年均按划定学区免试就近入学，小学、初中就近划片入学比例100%。自评达标。</w:t>
      </w:r>
    </w:p>
    <w:p w14:paraId="20CE1393">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优质高中招生名额分配。</w:t>
      </w:r>
      <w:r>
        <w:rPr>
          <w:rFonts w:hint="eastAsia" w:ascii="仿宋_GB2312" w:hAnsi="仿宋_GB2312" w:eastAsia="仿宋_GB2312" w:cs="仿宋_GB2312"/>
          <w:sz w:val="32"/>
          <w:szCs w:val="32"/>
        </w:rPr>
        <w:t>我县优质高中1所，2026年招生名额总数1400人，分配名额700人，占比50%；其中分配农村学校名额700人，占分配名额总数的100%。自评达标。</w:t>
      </w:r>
    </w:p>
    <w:p w14:paraId="3E70E39E">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留守儿童和随迁子女关爱保障。</w:t>
      </w:r>
      <w:r>
        <w:rPr>
          <w:rFonts w:hint="eastAsia" w:ascii="仿宋_GB2312" w:hAnsi="仿宋_GB2312" w:eastAsia="仿宋_GB2312" w:cs="仿宋_GB2312"/>
          <w:sz w:val="32"/>
          <w:szCs w:val="32"/>
        </w:rPr>
        <w:t>构建留守儿童关爱保护工作体系，健全动态摸排、精准建档、常态帮扶机制，实行一人一档、动态管理。严格落实随迁子女“两为主、两纳入、以居住证为主要依据”的入学政策。全县随迁子女在公办学校和政府购买服务民办学校就读比例为100%，远超85%的指标要求。自评达标。</w:t>
      </w:r>
    </w:p>
    <w:p w14:paraId="6CDAC0B9">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（三）教育质量</w:t>
      </w:r>
    </w:p>
    <w:p w14:paraId="588A71F5">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23</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控辍保学。</w:t>
      </w:r>
      <w:r>
        <w:rPr>
          <w:rFonts w:hint="eastAsia" w:ascii="仿宋_GB2312" w:hAnsi="仿宋_GB2312" w:eastAsia="仿宋_GB2312" w:cs="仿宋_GB2312"/>
          <w:sz w:val="32"/>
          <w:szCs w:val="32"/>
        </w:rPr>
        <w:t>健全“县、乡、校、家”四级联动控辍保学机制，落实网格化、清单化、常态化管理。每学期开展在校生全覆盖排查，重点聚焦留守儿童、困境学生、学困生、心理薄弱学生等重点群体，建立疑似辍学学生动态台账，落实一对一包保帮扶和劝返复学措施。严格规范学籍管理，精准执行转学、休学、复学流程，排查整治隐性辍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2026年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全县初中毕业年级招生7607人，毕业生7469人，三年巩固率达96%，高于95%的指标要求。自评达标。</w:t>
      </w:r>
    </w:p>
    <w:p w14:paraId="7D2C13A4">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残疾儿童少年入学。</w:t>
      </w:r>
      <w:r>
        <w:rPr>
          <w:rFonts w:hint="eastAsia" w:ascii="仿宋_GB2312" w:hAnsi="仿宋_GB2312" w:eastAsia="仿宋_GB2312" w:cs="仿宋_GB2312"/>
          <w:sz w:val="32"/>
          <w:szCs w:val="32"/>
        </w:rPr>
        <w:t>坚持“全覆盖、零拒绝、应入尽入”原则，联合残联、卫健部门开展适龄残疾儿童少年全覆盖摸排，建立信息台账和教育安置档案。分类落实随班就读、特教学校就读、送教上门等方式，确保“一人一案”。全县适龄残疾儿童少年入学率100%，达到95%以上的指标要求。自评达标。</w:t>
      </w:r>
    </w:p>
    <w:p w14:paraId="5B99CF1C">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25</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学校章程和教育信息化。</w:t>
      </w:r>
      <w:r>
        <w:rPr>
          <w:rFonts w:hint="eastAsia" w:ascii="仿宋_GB2312" w:hAnsi="仿宋_GB2312" w:eastAsia="仿宋_GB2312" w:cs="仿宋_GB2312"/>
          <w:sz w:val="32"/>
          <w:szCs w:val="32"/>
        </w:rPr>
        <w:t>全县各中小学、特殊教育学校均完成章程制定、审议及备案，形成章程汇编。各校章程坚持党组织领导的校长负责制，明确办学宗旨、内部治理、教育教学、资产财务等内容。教育信息化方面，依托粤教翔云、国家中小学智慧教育平台，完成所有义务教育学校智慧教学系统部署，开展城乡教师数字素养全员培训，依托城乡教育共同体实现优质校带动乡村校同步信息化管理、智慧化教学。自评达标。</w:t>
      </w:r>
    </w:p>
    <w:p w14:paraId="38E3FB7C">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26</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教师培训经费。</w:t>
      </w:r>
      <w:r>
        <w:rPr>
          <w:rFonts w:hint="eastAsia" w:ascii="仿宋_GB2312" w:hAnsi="仿宋_GB2312" w:eastAsia="仿宋_GB2312" w:cs="仿宋_GB2312"/>
          <w:sz w:val="32"/>
          <w:szCs w:val="32"/>
        </w:rPr>
        <w:t>2025年，全县学校年度公用经费预算总额8015.33万元，教师培训经费</w:t>
      </w:r>
      <w:r>
        <w:rPr>
          <w:rFonts w:hint="eastAsia" w:ascii="仿宋_GB2312" w:hAnsi="仿宋_GB2312" w:eastAsia="仿宋_GB2312" w:cs="仿宋_GB2312"/>
          <w:color w:val="auto"/>
          <w:sz w:val="32"/>
          <w:szCs w:val="32"/>
        </w:rPr>
        <w:t>656.98</w:t>
      </w:r>
      <w:r>
        <w:rPr>
          <w:rFonts w:hint="eastAsia" w:ascii="仿宋_GB2312" w:hAnsi="仿宋_GB2312" w:eastAsia="仿宋_GB2312" w:cs="仿宋_GB2312"/>
          <w:sz w:val="32"/>
          <w:szCs w:val="32"/>
        </w:rPr>
        <w:t>万元，教师培训经费投入占学校年度公用经费预算总额比例为</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%，达到规定要求。自评达标。</w:t>
      </w:r>
    </w:p>
    <w:p w14:paraId="2B3D29EB">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27</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教师信息化教学能力。</w:t>
      </w:r>
      <w:r>
        <w:rPr>
          <w:rFonts w:hint="eastAsia" w:ascii="仿宋_GB2312" w:hAnsi="仿宋_GB2312" w:eastAsia="仿宋_GB2312" w:cs="仿宋_GB2312"/>
          <w:sz w:val="32"/>
          <w:szCs w:val="32"/>
        </w:rPr>
        <w:t>依托“双轮驱动、智能引领”主题送教下乡活动，覆盖全县所有义务教育学校，分层开展零基础实操、</w:t>
      </w:r>
      <w:r>
        <w:rPr>
          <w:rFonts w:hint="eastAsia" w:ascii="仿宋_GB2312" w:hAnsi="仿宋_GB2312" w:eastAsia="仿宋_GB2312" w:cs="仿宋_GB2312"/>
          <w:color w:val="auto"/>
          <w:sz w:val="32"/>
          <w:szCs w:val="32"/>
        </w:rPr>
        <w:t>AI教学示范课等专项培训。</w:t>
      </w:r>
      <w:r>
        <w:rPr>
          <w:rFonts w:hint="eastAsia" w:ascii="仿宋_GB2312" w:hAnsi="仿宋_GB2312" w:eastAsia="仿宋_GB2312" w:cs="仿宋_GB2312"/>
          <w:sz w:val="32"/>
          <w:szCs w:val="32"/>
        </w:rPr>
        <w:t>目前全县教师普遍能熟练运用信息化手段组织课堂教学，教学仪器、多媒体教室等设施设备日常使用率较高，有效解决乡村设备闲置、教师不会用等问题。自评达标。</w:t>
      </w:r>
    </w:p>
    <w:p w14:paraId="0236FDA4">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28</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党建和德育工作。</w:t>
      </w:r>
      <w:r>
        <w:rPr>
          <w:rFonts w:hint="eastAsia" w:ascii="仿宋_GB2312" w:hAnsi="仿宋_GB2312" w:eastAsia="仿宋_GB2312" w:cs="仿宋_GB2312"/>
          <w:b w:val="0"/>
          <w:bCs w:val="0"/>
          <w:sz w:val="32"/>
          <w:szCs w:val="32"/>
          <w:lang w:eastAsia="zh-CN"/>
        </w:rPr>
        <w:t>全县义务教育局学校共有</w:t>
      </w:r>
      <w:r>
        <w:rPr>
          <w:rFonts w:hint="eastAsia" w:ascii="仿宋_GB2312" w:hAnsi="仿宋_GB2312" w:eastAsia="仿宋_GB2312" w:cs="仿宋_GB2312"/>
          <w:b w:val="0"/>
          <w:bCs w:val="0"/>
          <w:sz w:val="32"/>
          <w:szCs w:val="32"/>
          <w:lang w:val="en-US" w:eastAsia="zh-CN"/>
        </w:rPr>
        <w:t>38个党组织，1800名党员。</w:t>
      </w:r>
      <w:r>
        <w:rPr>
          <w:rFonts w:hint="eastAsia" w:ascii="仿宋_GB2312" w:hAnsi="仿宋_GB2312" w:eastAsia="仿宋_GB2312" w:cs="仿宋_GB2312"/>
          <w:color w:val="auto"/>
          <w:sz w:val="32"/>
          <w:szCs w:val="32"/>
        </w:rPr>
        <w:t>坚持党组织全面领导学校工作，坚持立德树人根本任务，以党建引领教学、德育、共青团和少先队、师德师风、教师队伍、校园文化及安全稳定等工作。推行德育工作“一校一案”，落实《中小学德育工作指南》</w:t>
      </w:r>
      <w:r>
        <w:rPr>
          <w:rFonts w:hint="eastAsia" w:ascii="仿宋_GB2312" w:hAnsi="仿宋_GB2312" w:eastAsia="仿宋_GB2312" w:cs="仿宋_GB2312"/>
          <w:sz w:val="32"/>
          <w:szCs w:val="32"/>
        </w:rPr>
        <w:t>，推进思政课一体化建设</w:t>
      </w:r>
      <w:r>
        <w:rPr>
          <w:rFonts w:hint="eastAsia" w:ascii="仿宋_GB2312" w:hAnsi="仿宋_GB2312" w:eastAsia="仿宋_GB2312" w:cs="仿宋_GB2312"/>
          <w:sz w:val="32"/>
          <w:szCs w:val="32"/>
          <w:lang w:eastAsia="zh-CN"/>
        </w:rPr>
        <w:t>，全县各中小学党组织书记、校长全年上思政课98节，覆盖全县学生6万多人，每年县领导班子分别到挂点学校上思政课。</w:t>
      </w:r>
      <w:r>
        <w:rPr>
          <w:rFonts w:hint="eastAsia" w:ascii="仿宋_GB2312" w:hAnsi="仿宋_GB2312" w:eastAsia="仿宋_GB2312" w:cs="仿宋_GB2312"/>
          <w:sz w:val="32"/>
          <w:szCs w:val="32"/>
        </w:rPr>
        <w:t>因地制宜打造特色校园文化，累计建成市级文明校园16所。持续强化中小学专职心理教师队伍建设，全县现有心理辅导A证教师6名、B证教师51名、国家心理咨询师10余名。深入开展阳光班级、阳光少年评选活动，近年来先后有30名学生获评阳西县新时代好少年，6名学生获评阳江市新时代好少年，2名学生获评广东省新时代好少年。</w:t>
      </w:r>
    </w:p>
    <w:p w14:paraId="7BA4DED2">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29</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课程开设。</w:t>
      </w:r>
      <w:r>
        <w:rPr>
          <w:rFonts w:hint="eastAsia" w:ascii="仿宋_GB2312" w:hAnsi="仿宋_GB2312" w:eastAsia="仿宋_GB2312" w:cs="仿宋_GB2312"/>
          <w:sz w:val="32"/>
          <w:szCs w:val="32"/>
        </w:rPr>
        <w:t>严格执行国家课程计划，开齐开足课程，教学秩序规范。转发省课程实施办法等文件，指导全县中小学规范实施课程方案和课程标准。全面开设劳动课程，配齐专兼职劳动教育教师，劳动教育、综合实践活动列入课表，学生劳动实践时间不低于综合实践活动课时的50%。自评达标。</w:t>
      </w:r>
    </w:p>
    <w:p w14:paraId="4A5430A1">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30</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“双减”政策落实。</w:t>
      </w:r>
      <w:r>
        <w:rPr>
          <w:rFonts w:hint="eastAsia" w:ascii="仿宋_GB2312" w:hAnsi="仿宋_GB2312" w:eastAsia="仿宋_GB2312" w:cs="仿宋_GB2312"/>
          <w:sz w:val="32"/>
          <w:szCs w:val="32"/>
        </w:rPr>
        <w:t>严格落实“双减”政策，执行国家课程方案和课程标准，开齐开足课程，无随意增减课时、挤占体美劳课程等违规行为。规范作业管理，落实总量管控、年级审核、校内公示制度，推行分层作业、弹性作业。从严管控考试频次，不公开成绩、不排名、不公示。全面落实课后服务全覆盖，第一时段作业辅导、第二时段特色课程，满足学生多样化需求。联合多部门开展校外培训专项排查，筑牢安全屏障。目前全县各校办学行为规范，无过重课业负担。自评达标。</w:t>
      </w:r>
    </w:p>
    <w:p w14:paraId="04103BFC">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国家义务教育质量监测。</w:t>
      </w:r>
      <w:r>
        <w:rPr>
          <w:rFonts w:hint="eastAsia" w:ascii="仿宋_GB2312" w:hAnsi="仿宋_GB2312" w:eastAsia="仿宋_GB2312" w:cs="仿宋_GB2312"/>
          <w:sz w:val="32"/>
          <w:szCs w:val="32"/>
        </w:rPr>
        <w:t>我县2026年度国家义务教育质量监测尚未开展，暂无法提供监测结果。根据以往年度监测情况，我县义务教育阶段学生学业水平总体良好。</w:t>
      </w:r>
    </w:p>
    <w:p w14:paraId="3DB8F0E5">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32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社会认可度。</w:t>
      </w:r>
      <w:r>
        <w:rPr>
          <w:rFonts w:hint="eastAsia" w:ascii="仿宋_GB2312" w:hAnsi="仿宋_GB2312" w:eastAsia="仿宋_GB2312" w:cs="仿宋_GB2312"/>
          <w:sz w:val="32"/>
          <w:szCs w:val="32"/>
        </w:rPr>
        <w:t>我县将群众满意度作为创建工作的重要衡量标准。2026年度社会认可度专项调查尚未开展</w:t>
      </w:r>
      <w:r>
        <w:rPr>
          <w:rFonts w:hint="eastAsia" w:ascii="仿宋_GB2312" w:hAnsi="仿宋_GB2312" w:eastAsia="仿宋_GB2312" w:cs="仿宋_GB2312"/>
          <w:sz w:val="32"/>
          <w:szCs w:val="32"/>
          <w:lang w:eastAsia="zh-CN"/>
        </w:rPr>
        <w:t>。</w:t>
      </w:r>
    </w:p>
    <w:p w14:paraId="6C0C049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三、主要做法与成效</w:t>
      </w:r>
    </w:p>
    <w:p w14:paraId="74B44B9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（一）坚持党政统筹，构建高位推动工作格局</w:t>
      </w:r>
    </w:p>
    <w:p w14:paraId="4D7AC3E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县委、县政府坚持高位推动，将创建工作纳入年度重点督查事项和绩效考核体系。县政府牵头征求各部门意见，</w:t>
      </w:r>
      <w:r>
        <w:rPr>
          <w:rFonts w:hint="eastAsia" w:ascii="仿宋_GB2312" w:hAnsi="仿宋_GB2312" w:eastAsia="仿宋_GB2312" w:cs="仿宋_GB2312"/>
          <w:sz w:val="32"/>
          <w:szCs w:val="32"/>
          <w:lang w:val="en-US" w:eastAsia="zh-CN"/>
        </w:rPr>
        <w:t>2026年6月</w:t>
      </w:r>
      <w:r>
        <w:rPr>
          <w:rFonts w:hint="eastAsia" w:ascii="仿宋_GB2312" w:hAnsi="仿宋_GB2312" w:eastAsia="仿宋_GB2312" w:cs="仿宋_GB2312"/>
          <w:sz w:val="32"/>
          <w:szCs w:val="32"/>
        </w:rPr>
        <w:t>出台《阳西县建设全国义务教育优质均衡发展县攻坚行动方案》，明确时间表、路线图，倒排工期、挂图作战，逐项压实工作责任。县主要领导定期专题调研，协调解决用地、资金等跨部门难题。县教育局主要领导负总责，督导室牵头统筹指标监测，基教股负责硬件达标、规范办学与招生，人事股主抓师资配置与交流，计财股保障经费拨付，教师发展中心聚焦质量监测与课堂改革。各股室每周上报推进台账，每月召开调度会，形成“县委政府把方向、教育局抓统筹、股室强执行”的闭环落实体系。</w:t>
      </w:r>
    </w:p>
    <w:p w14:paraId="2932D971">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（二）加大经费投入，全面改善学校办学条件</w:t>
      </w:r>
    </w:p>
    <w:p w14:paraId="0294461A">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近4年累计投入资金</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亿元，新建、改扩建学校7所，新增学位6220个。</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新建育才小学，2024年秋季投入使用，新增优质公办小学学位1620个，有效分流城东片区方正小学、城西片区阳西二小的超员生源。</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依托高中校区资源搬迁契机盘活原有校区。2023年阳西县第一中学（高中）搬迁后，将原校区改造设立阳西一中附属实验学校，转型为标准化初级中学，累计新增初中学位3600个，大幅扩充县城初中学位供给。</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聚焦城乡薄弱学校办学短板，有序推进校舍扩建、功能室改造、配套设施升级等提质扩容工程，实施奋兴</w:t>
      </w:r>
      <w:r>
        <w:rPr>
          <w:rFonts w:hint="eastAsia" w:ascii="仿宋_GB2312" w:hAnsi="仿宋_GB2312" w:eastAsia="仿宋_GB2312" w:cs="仿宋_GB2312"/>
          <w:sz w:val="32"/>
          <w:szCs w:val="32"/>
          <w:lang w:val="en-US" w:eastAsia="zh-CN"/>
        </w:rPr>
        <w:t>初级</w:t>
      </w:r>
      <w:r>
        <w:rPr>
          <w:rFonts w:hint="eastAsia" w:ascii="仿宋_GB2312" w:hAnsi="仿宋_GB2312" w:eastAsia="仿宋_GB2312" w:cs="仿宋_GB2312"/>
          <w:sz w:val="32"/>
          <w:szCs w:val="32"/>
        </w:rPr>
        <w:t>中学改扩建项目，新增初中学位1000个。</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依托代建项目扩充优质高中学位。2026年秋季学期，奋兴中学高中部正式投入使用，新增60个教学班、3000个公办高中学位，有效扩充县域高中教育资源总量，为义务教育阶段学校优化布局、腾出办学空间创造条件。</w:t>
      </w:r>
    </w:p>
    <w:p w14:paraId="04D26ED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（三）科学撤并教学点，优化教育资源配置</w:t>
      </w:r>
    </w:p>
    <w:p w14:paraId="5C98A60A">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制定《阳西县人民政府关于印发阳西县撤并教学点工作方案的通知》（西府函〔2024〕73号），按照“深入调研、尊重民意、因地制宜”原则，稳妥推进生源极少的乡村小规模学校撤并工作。2021年至今，共撤并小规模教学点59个，25个闲置教学点已改造为党群服务中心、乡村产业示范点等，实现教育资源与社会效益再转化。</w:t>
      </w:r>
      <w:r>
        <w:rPr>
          <w:rFonts w:hint="eastAsia" w:ascii="仿宋_GB2312" w:hAnsi="仿宋_GB2312" w:eastAsia="仿宋_GB2312" w:cs="仿宋_GB2312"/>
          <w:color w:val="auto"/>
          <w:sz w:val="32"/>
          <w:szCs w:val="32"/>
        </w:rPr>
        <w:t>同时，为妥善解决撤并教学点学生上下学交通问题，阳西县政府每年安排专项资金228多万元与朗日集团合作开通26条公交专线，免费接送撤并教学点学生，切实解决家长接送难问题。</w:t>
      </w:r>
    </w:p>
    <w:p w14:paraId="3D2E0FAE">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（四）加强寄宿制学校建设，补齐乡村教育短板</w:t>
      </w:r>
    </w:p>
    <w:p w14:paraId="41354893">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我县第一批乡村寄宿制学校建设项目涉及上洋中学、溪坎初级中学、塘口初级中学、儒洞镇寿场学校4所学校，</w:t>
      </w:r>
      <w:r>
        <w:rPr>
          <w:rFonts w:hint="eastAsia" w:ascii="仿宋_GB2312" w:hAnsi="仿宋_GB2312" w:eastAsia="仿宋_GB2312" w:cs="仿宋_GB2312"/>
          <w:sz w:val="32"/>
          <w:szCs w:val="32"/>
        </w:rPr>
        <w:t>总投资约3360万元，新建学生宿舍楼、教学楼、饭堂及配套附属设施，总建筑面积约9516.24平方米。目前第一批乡镇寄宿制学校改造已全面完成，乡镇寄宿制学校覆盖率提高至50%。通过加强乡镇寄宿制学校建设，增加优质学位供给，有效满足教学点撤并后学生到县镇学校就读的学位需求，完善饭堂、宿舍等生活服务设施，解决师生食宿问题。</w:t>
      </w:r>
    </w:p>
    <w:p w14:paraId="40A9503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（五）坚持外引内联，创新办学模式</w:t>
      </w:r>
    </w:p>
    <w:p w14:paraId="64008C79">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构建“高校+乡村教育集团”模式。携手广东第二师范学院成立省内首个“双百行动”乡村教育集团，将县城</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所中学、乡镇4所中学共</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所城乡学校纳入集团管理，实现师资、教研、管理共建共享，</w:t>
      </w:r>
      <w:r>
        <w:rPr>
          <w:rFonts w:hint="eastAsia" w:ascii="仿宋_GB2312" w:hAnsi="仿宋_GB2312" w:eastAsia="仿宋_GB2312" w:cs="仿宋_GB2312"/>
          <w:color w:val="auto"/>
          <w:sz w:val="32"/>
          <w:szCs w:val="32"/>
        </w:rPr>
        <w:t>每年惠及1.8万名学</w:t>
      </w:r>
      <w:r>
        <w:rPr>
          <w:rFonts w:hint="eastAsia" w:ascii="仿宋_GB2312" w:hAnsi="仿宋_GB2312" w:eastAsia="仿宋_GB2312" w:cs="仿宋_GB2312"/>
          <w:sz w:val="32"/>
          <w:szCs w:val="32"/>
        </w:rPr>
        <w:t>生。集团实行党委领导的校长负责制，由高校选派党委书记、校长及学科专家驻点阳西。创新“运作—激励—约束”三位一体机制，通过联席会议统筹规划，以薪酬激励、绩效分配和校长教师轮岗激发活力，结合定期考核督导与评优评先，形成动态管理格局。</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实施“名师天团+学科帮扶”双轮驱动。广东第二师范学院面向全国公开招聘集团书记、校长、名师共23人，包括国家级和省级名校长、国家级名师、正高级教师、博士等。在学科帮扶上，推行“1位名师+1个学科+N位教师”的“1+1+N”学科教师帮扶模式，共享全国基础教育优质教学资源。结合学科特色和教师特色，探索以学生为中心的“137+X”课堂模式。2025年集团内</w:t>
      </w:r>
      <w:r>
        <w:rPr>
          <w:rFonts w:hint="eastAsia" w:ascii="仿宋_GB2312" w:hAnsi="仿宋_GB2312" w:eastAsia="仿宋_GB2312" w:cs="仿宋_GB2312"/>
          <w:color w:val="auto"/>
          <w:sz w:val="32"/>
          <w:szCs w:val="32"/>
        </w:rPr>
        <w:t>2所学校</w:t>
      </w:r>
      <w:r>
        <w:rPr>
          <w:rFonts w:hint="eastAsia" w:ascii="仿宋_GB2312" w:hAnsi="仿宋_GB2312" w:eastAsia="仿宋_GB2312" w:cs="仿宋_GB2312"/>
          <w:sz w:val="32"/>
          <w:szCs w:val="32"/>
        </w:rPr>
        <w:t>分别入选省级“强化学科实践”和“推选国家中小学平台推广应用”实验校。广东第二师范学院附属阳西第二中学3名学生凭借科技创新发明，斩获第50届、第51届日内瓦国际发明展金奖1枚和银奖2枚。2026年，阳西二中本科上线率为26.9%，比2022年提升22.12个百分点，连续三年创历史新高。</w:t>
      </w:r>
    </w:p>
    <w:p w14:paraId="4D219AA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（六）优化师资配置，打造高素质专业化教师队伍</w:t>
      </w:r>
    </w:p>
    <w:p w14:paraId="27D5A7F5">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深化“县管校聘”改革，统筹调配师资资源。</w:t>
      </w:r>
      <w:r>
        <w:rPr>
          <w:rFonts w:hint="eastAsia" w:ascii="仿宋_GB2312" w:hAnsi="仿宋_GB2312" w:eastAsia="仿宋_GB2312" w:cs="仿宋_GB2312"/>
          <w:sz w:val="32"/>
          <w:szCs w:val="32"/>
          <w:lang w:val="en-US" w:eastAsia="zh-CN"/>
        </w:rPr>
        <w:t>全县核定中小学教职工编制4172名（小学2127名、初中1191名、高中854名），在编制总额内逐校核定编制数。建立教师需求动态监测机制，重点保障体育、艺术、劳动教育等学科师资。2021年以来累计招聘教师607人，2026年计划招聘140人。认真落实省“百千万工程”和“双百行动”部署，以“高校+县域教育集团”模式赋能城乡教育优质均衡发展。</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健全教师流动管理机制，促进城乡师资均衡。2025年，全县符合交流轮岗条件教师1060名，实际交流轮岗192名，占比18.09%；交流轮岗骨干教师55名，占比28.64%，依托城乡教育共同体，推动优质校与乡村校管理干部和骨干教师双向流动。</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完善教师管理制度，激发队伍活力效能。完善教师资格制度、招聘制度，严把入口关。深化职称制度改革，职称评聘向乡村教师倾斜。健全教师绩效考核评价机制，将师德师风、教学实绩、育人成效作为考核重点。</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构建分层分类培训体系，促进专业素养提升。 2025年成立县级“三名工程”工作室4个，全县现有全国优秀教师1人、正高级教师5名、省特级教师5人、硕士研究生学历38人、省名师工作室主持人1名、省名班主任工作室1个、市名师工作室7个、市名班主任工作室3个、“阳西名师”18名。落实教师5年360学时全员培训制度，充分发挥名师工作室、教研基地的辐射带动作用。</w:t>
      </w:r>
    </w:p>
    <w:p w14:paraId="6DFCBD51">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（七）坚持五育并举，全面提升教育质量</w:t>
      </w:r>
    </w:p>
    <w:p w14:paraId="7F6365EC">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b w:val="0"/>
          <w:bCs w:val="0"/>
          <w:sz w:val="32"/>
          <w:szCs w:val="32"/>
        </w:rPr>
        <w:t>深化课程改革，开齐开足课程</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val="en-US" w:eastAsia="zh-CN"/>
        </w:rPr>
        <w:t>严格落实国家课程方案和课程标准，开齐开足音体美劳等课程，每门学科安排不低于10%课时开展跨学科主题学习。印发《阳西县教育局关于开展教研教学改革推动教育高质量发展实施方案（试行）》的通知，建立县校联动教研网络，推行“推门听课”，建立县级兼职教研员人才库，形成县校两级联动、专兼职结合的教研格局。推进数字赋能，阳西县第二小学教师研修案例入选全国典型案例并获省级三等奖；建成全国青少年校园足球特色学校4所，劳动教育、综合实践活动案例获市级一等奖7项。2025—2026学年第二学期，全县学生获奖1380余项，其中国家级13项、省级147项、市级518项、县级702项；阳西县第二中学学生获日内瓦国际发明展金奖、银奖，阳西县第一中学多人获世界华人学生作文大赛国家级奖项。</w:t>
      </w:r>
      <w:r>
        <w:rPr>
          <w:rFonts w:hint="eastAsia" w:ascii="仿宋_GB2312" w:hAnsi="仿宋_GB2312" w:eastAsia="仿宋_GB2312" w:cs="仿宋_GB2312"/>
          <w:b/>
          <w:bCs/>
          <w:sz w:val="32"/>
          <w:szCs w:val="32"/>
        </w:rPr>
        <w:t>二是</w:t>
      </w:r>
      <w:r>
        <w:rPr>
          <w:rFonts w:hint="eastAsia" w:ascii="仿宋_GB2312" w:hAnsi="仿宋_GB2312" w:eastAsia="仿宋_GB2312" w:cs="仿宋_GB2312"/>
          <w:b w:val="0"/>
          <w:bCs w:val="0"/>
          <w:sz w:val="32"/>
          <w:szCs w:val="32"/>
        </w:rPr>
        <w:t>落实“双减”政策，规范办学行为。</w:t>
      </w:r>
      <w:r>
        <w:rPr>
          <w:rFonts w:hint="eastAsia" w:ascii="仿宋_GB2312" w:hAnsi="仿宋_GB2312" w:eastAsia="仿宋_GB2312" w:cs="仿宋_GB2312"/>
          <w:sz w:val="32"/>
          <w:szCs w:val="32"/>
        </w:rPr>
        <w:t>聚焦课堂教学、作业布置、考试管理、课后服务四环节，严控作业总量和时长，推行分层、弹性、个性化作业；严控考试次数，小学一、二年级不组织纸笔考试，坚持依标命题、素养立意，严禁公开成绩、排名和分层分班；优化课后服务，实现全覆盖。</w:t>
      </w:r>
      <w:r>
        <w:rPr>
          <w:rFonts w:hint="eastAsia" w:ascii="仿宋_GB2312" w:hAnsi="仿宋_GB2312" w:eastAsia="仿宋_GB2312" w:cs="仿宋_GB2312"/>
          <w:b/>
          <w:bCs/>
          <w:sz w:val="32"/>
          <w:szCs w:val="32"/>
        </w:rPr>
        <w:t>三是</w:t>
      </w:r>
      <w:r>
        <w:rPr>
          <w:rFonts w:hint="eastAsia" w:ascii="仿宋_GB2312" w:hAnsi="仿宋_GB2312" w:eastAsia="仿宋_GB2312" w:cs="仿宋_GB2312"/>
          <w:b w:val="0"/>
          <w:bCs w:val="0"/>
          <w:sz w:val="32"/>
          <w:szCs w:val="32"/>
        </w:rPr>
        <w:t>推进教育信息化，赋能五育融合。</w:t>
      </w:r>
      <w:r>
        <w:rPr>
          <w:rFonts w:hint="eastAsia" w:ascii="仿宋_GB2312" w:hAnsi="仿宋_GB2312" w:eastAsia="仿宋_GB2312" w:cs="仿宋_GB2312"/>
          <w:sz w:val="32"/>
          <w:szCs w:val="32"/>
        </w:rPr>
        <w:t>全域推进网络多媒体教室“班班通”全覆盖，依托粤教翔云、国家中小学智慧教育平台打通城乡资源共享通道；依托13个城乡教育共同体，常态化开展云端同步课堂和跨校信息化教研，推动音体美、劳动教育等优质资源向乡村校辐射。</w:t>
      </w:r>
      <w:r>
        <w:rPr>
          <w:rFonts w:hint="eastAsia" w:ascii="仿宋_GB2312" w:hAnsi="仿宋_GB2312" w:eastAsia="仿宋_GB2312" w:cs="仿宋_GB2312"/>
          <w:b/>
          <w:bCs/>
          <w:sz w:val="32"/>
          <w:szCs w:val="32"/>
        </w:rPr>
        <w:t>四是</w:t>
      </w:r>
      <w:r>
        <w:rPr>
          <w:rFonts w:hint="eastAsia" w:ascii="仿宋_GB2312" w:hAnsi="仿宋_GB2312" w:eastAsia="仿宋_GB2312" w:cs="仿宋_GB2312"/>
          <w:b w:val="0"/>
          <w:bCs w:val="0"/>
          <w:sz w:val="32"/>
          <w:szCs w:val="32"/>
        </w:rPr>
        <w:t>加强德育和校园文化建设，落实立德树人</w:t>
      </w:r>
      <w:r>
        <w:rPr>
          <w:rFonts w:hint="eastAsia" w:ascii="仿宋_GB2312" w:hAnsi="仿宋_GB2312" w:eastAsia="仿宋_GB2312" w:cs="仿宋_GB2312"/>
          <w:b w:val="0"/>
          <w:bCs w:val="0"/>
          <w:sz w:val="32"/>
          <w:szCs w:val="32"/>
          <w:lang w:eastAsia="zh-CN"/>
        </w:rPr>
        <w:t>根本任务</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sz w:val="32"/>
          <w:szCs w:val="32"/>
        </w:rPr>
        <w:t>健全“县—校”两级德育领导机构，推行德育“一校一案”，落实《中小学德育工作指南》，统筹推进思政课一体化建设；依托本地红色资源打造“行走的思政课”。配齐专兼职心理教师，实现心理辅导室全覆盖，建立心理健康档案和危机预警干预机制。出台校园文化建设方案与考评办法，形成“一校一品一特色”格局，苏村小学入选2025年阳江市乡村温馨校园建设典型案例学校，丹江小学获评“全国中小学国防教育示范学校”。</w:t>
      </w:r>
    </w:p>
    <w:p w14:paraId="53340FDA">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（八）关爱特殊群体，保障教育公平</w:t>
      </w:r>
    </w:p>
    <w:p w14:paraId="0F425C3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坚决执行“两为主、两纳入、以居住证为主要依据”的随迁子女义务教育入学政策，简化入学流程、优化入学服务，取消各类不合理门槛，保障辖区所有符合条件的随迁子女平等接受义务教育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构建学校、班主任、任课教师、家长四级联动体系，将控辍保学作为底线工作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每学期开展全覆盖学籍排查和到校情况排查，对疑似辍学</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学生</w:t>
      </w:r>
      <w:r>
        <w:rPr>
          <w:rFonts w:hint="eastAsia" w:ascii="仿宋_GB2312" w:hAnsi="仿宋_GB2312" w:eastAsia="仿宋_GB2312" w:cs="仿宋_GB2312"/>
          <w:sz w:val="32"/>
          <w:szCs w:val="32"/>
          <w:lang w:val="en-US" w:eastAsia="zh-CN"/>
        </w:rPr>
        <w:t>建立问题</w:t>
      </w:r>
      <w:r>
        <w:rPr>
          <w:rFonts w:hint="eastAsia" w:ascii="仿宋_GB2312" w:hAnsi="仿宋_GB2312" w:eastAsia="仿宋_GB2312" w:cs="仿宋_GB2312"/>
          <w:sz w:val="32"/>
          <w:szCs w:val="32"/>
        </w:rPr>
        <w:t>台账</w:t>
      </w:r>
      <w:r>
        <w:rPr>
          <w:rFonts w:hint="eastAsia" w:ascii="仿宋_GB2312" w:hAnsi="仿宋_GB2312" w:eastAsia="仿宋_GB2312" w:cs="仿宋_GB2312"/>
          <w:sz w:val="32"/>
          <w:szCs w:val="32"/>
          <w:lang w:val="en-US" w:eastAsia="zh-CN"/>
        </w:rPr>
        <w:t>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组织教师发动学生回校；</w:t>
      </w:r>
      <w:r>
        <w:rPr>
          <w:rFonts w:hint="eastAsia" w:ascii="仿宋_GB2312" w:hAnsi="仿宋_GB2312" w:eastAsia="仿宋_GB2312" w:cs="仿宋_GB2312"/>
          <w:sz w:val="32"/>
          <w:szCs w:val="32"/>
        </w:rPr>
        <w:t>联合残联、卫健部门开展适龄残疾儿童少年全覆盖摸排核查，建立健全信息台账和教育安置档案，坚持因材施教、分类安置。健全留守儿童关爱保护体系，建立“一人一档”动态管理台账，落实教师结对帮扶制度，常态化开展谈心谈话、学业辅导、心理疏导、生活关爱和入户家访。落实家庭经济困难学生资助政策，确保应助尽助。</w:t>
      </w:r>
    </w:p>
    <w:p w14:paraId="1719147C">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（九）筑牢安全防线，营造安全稳定育人环境</w:t>
      </w:r>
    </w:p>
    <w:p w14:paraId="54D9D3B4">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安全第一、预防为主、综合治理”方针，印发《阳西县人民政府办公室关于加强中小学幼儿园安全风险防控体系建设的通知》，厘清各相关单位职责，压实各校安全主体责任。持续加大安全经费投入，累计投入220余万元加装校门防冲撞设施，落实校园安防“四个100%”建设要求，配齐消防、防暴等安防器材。常态化开展防溺水、防欺凌、防性侵、交通、消防、心理健康等专题安全教育，累计开设安全主题班会16703节，定期组织应急演练。</w:t>
      </w:r>
      <w:r>
        <w:rPr>
          <w:rFonts w:hint="eastAsia" w:ascii="仿宋_GB2312" w:hAnsi="仿宋_GB2312" w:eastAsia="仿宋_GB2312" w:cs="仿宋_GB2312"/>
          <w:sz w:val="32"/>
          <w:szCs w:val="32"/>
          <w:lang w:val="en-US" w:eastAsia="zh-CN"/>
        </w:rPr>
        <w:t>加强</w:t>
      </w:r>
      <w:r>
        <w:rPr>
          <w:rFonts w:hint="eastAsia" w:ascii="仿宋_GB2312" w:hAnsi="仿宋_GB2312" w:eastAsia="仿宋_GB2312" w:cs="仿宋_GB2312"/>
          <w:sz w:val="32"/>
          <w:szCs w:val="32"/>
        </w:rPr>
        <w:t>深化警校、校地、家校协同联动，日均安排护学岗1335人次守护上下学安全；联合公安、交警、交通、市监、应急等部门，常态化开展校车、校园周边、食品、消防等隐患排查治理。</w:t>
      </w:r>
    </w:p>
    <w:p w14:paraId="1E019E0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四、存在问题</w:t>
      </w:r>
    </w:p>
    <w:p w14:paraId="324334C8">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对照义务教育优质均衡发展县评估指标要求，我县在推进优质均衡发展进程中，仍存在以下问题：</w:t>
      </w:r>
    </w:p>
    <w:p w14:paraId="21415316">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
          <w:bCs/>
          <w:sz w:val="32"/>
          <w:szCs w:val="32"/>
        </w:rPr>
        <w:t>一是</w:t>
      </w:r>
      <w:r>
        <w:rPr>
          <w:rFonts w:hint="default" w:ascii="仿宋_GB2312" w:hAnsi="仿宋_GB2312" w:eastAsia="仿宋_GB2312" w:cs="仿宋_GB2312"/>
          <w:sz w:val="32"/>
          <w:szCs w:val="32"/>
        </w:rPr>
        <w:t>资源配置仍不均衡。优质资源多集中在城区和少数示范校，农村薄弱学校教学质量存在差距。</w:t>
      </w:r>
    </w:p>
    <w:p w14:paraId="7C456434">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default" w:ascii="仿宋_GB2312" w:hAnsi="仿宋_GB2312" w:eastAsia="仿宋_GB2312" w:cs="仿宋_GB2312"/>
          <w:sz w:val="32"/>
          <w:szCs w:val="32"/>
        </w:rPr>
      </w:pPr>
      <w:r>
        <w:rPr>
          <w:rFonts w:hint="default" w:ascii="仿宋_GB2312" w:hAnsi="仿宋_GB2312" w:eastAsia="仿宋_GB2312" w:cs="仿宋_GB2312"/>
          <w:b/>
          <w:bCs/>
          <w:sz w:val="32"/>
          <w:szCs w:val="32"/>
        </w:rPr>
        <w:t>二是</w:t>
      </w:r>
      <w:r>
        <w:rPr>
          <w:rFonts w:hint="default" w:ascii="仿宋_GB2312" w:hAnsi="仿宋_GB2312" w:eastAsia="仿宋_GB2312" w:cs="仿宋_GB2312"/>
          <w:sz w:val="32"/>
          <w:szCs w:val="32"/>
        </w:rPr>
        <w:t>大校额大班额化解任务艰巨。受城镇化加快、学龄人口集中入学等影响，部分学校规模仍超标准；虽已制定分年度化解计划，但</w:t>
      </w:r>
      <w:r>
        <w:rPr>
          <w:rFonts w:hint="eastAsia" w:ascii="仿宋_GB2312" w:hAnsi="仿宋_GB2312" w:eastAsia="仿宋_GB2312" w:cs="仿宋_GB2312"/>
          <w:sz w:val="32"/>
          <w:szCs w:val="32"/>
          <w:lang w:eastAsia="zh-CN"/>
        </w:rPr>
        <w:t>受地方财力影响，一时难以新建和改扩建校舍</w:t>
      </w:r>
      <w:r>
        <w:rPr>
          <w:rFonts w:hint="default" w:ascii="仿宋_GB2312" w:hAnsi="仿宋_GB2312" w:eastAsia="仿宋_GB2312" w:cs="仿宋_GB2312"/>
          <w:sz w:val="32"/>
          <w:szCs w:val="32"/>
        </w:rPr>
        <w:t>，化解周期较长。</w:t>
      </w:r>
    </w:p>
    <w:p w14:paraId="5FF51427">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default" w:ascii="仿宋_GB2312" w:hAnsi="仿宋_GB2312" w:eastAsia="仿宋_GB2312" w:cs="仿宋_GB2312"/>
          <w:sz w:val="32"/>
          <w:szCs w:val="32"/>
        </w:rPr>
      </w:pPr>
      <w:r>
        <w:rPr>
          <w:rFonts w:hint="default" w:ascii="仿宋_GB2312" w:hAnsi="仿宋_GB2312" w:eastAsia="仿宋_GB2312" w:cs="仿宋_GB2312"/>
          <w:b/>
          <w:bCs/>
          <w:sz w:val="32"/>
          <w:szCs w:val="32"/>
        </w:rPr>
        <w:t>三是</w:t>
      </w:r>
      <w:r>
        <w:rPr>
          <w:rFonts w:hint="default" w:ascii="仿宋_GB2312" w:hAnsi="仿宋_GB2312" w:eastAsia="仿宋_GB2312" w:cs="仿宋_GB2312"/>
          <w:sz w:val="32"/>
          <w:szCs w:val="32"/>
        </w:rPr>
        <w:t>教师队伍素质仍需提升。部分教师教育理念、教学方法、专业能力和信息化教学水平与新时代要求存在差距；培训与教学实际结合不紧，分层分类培训精准性、实效性不足，骨干教师示范引领作用发挥不充分。</w:t>
      </w:r>
    </w:p>
    <w:p w14:paraId="2569859B">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default" w:ascii="仿宋_GB2312" w:hAnsi="仿宋_GB2312" w:eastAsia="仿宋_GB2312" w:cs="仿宋_GB2312"/>
          <w:sz w:val="32"/>
          <w:szCs w:val="32"/>
        </w:rPr>
      </w:pPr>
      <w:r>
        <w:rPr>
          <w:rFonts w:hint="default" w:ascii="仿宋_GB2312" w:hAnsi="仿宋_GB2312" w:eastAsia="仿宋_GB2312" w:cs="仿宋_GB2312"/>
          <w:b/>
          <w:bCs/>
          <w:sz w:val="32"/>
          <w:szCs w:val="32"/>
        </w:rPr>
        <w:t>四是</w:t>
      </w:r>
      <w:r>
        <w:rPr>
          <w:rFonts w:hint="default" w:ascii="仿宋_GB2312" w:hAnsi="仿宋_GB2312" w:eastAsia="仿宋_GB2312" w:cs="仿宋_GB2312"/>
          <w:sz w:val="32"/>
          <w:szCs w:val="32"/>
        </w:rPr>
        <w:t>教育教学质量有待提高。</w:t>
      </w:r>
      <w:r>
        <w:rPr>
          <w:rFonts w:hint="eastAsia" w:ascii="仿宋_GB2312" w:hAnsi="仿宋_GB2312" w:eastAsia="仿宋_GB2312" w:cs="仿宋_GB2312"/>
          <w:sz w:val="32"/>
          <w:szCs w:val="32"/>
          <w:lang w:val="en-US" w:eastAsia="zh-CN"/>
        </w:rPr>
        <w:t>我县</w:t>
      </w:r>
      <w:r>
        <w:rPr>
          <w:rFonts w:hint="default" w:ascii="仿宋_GB2312" w:hAnsi="仿宋_GB2312" w:eastAsia="仿宋_GB2312" w:cs="仿宋_GB2312"/>
          <w:sz w:val="32"/>
          <w:szCs w:val="32"/>
        </w:rPr>
        <w:t>整体教学水平与先进地区仍有差距，课堂教学效率、课程改革推进力度需进一步加强，质量监测学业水平有待提升。</w:t>
      </w:r>
    </w:p>
    <w:p w14:paraId="159A4F71">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五、下一步措施</w:t>
      </w:r>
    </w:p>
    <w:p w14:paraId="5451A355">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针对上述问题，我县将坚持问题导向、目标导向，聚焦短板弱项，持续精准发力，以更实举措、更大力度推进各项整改任务落地见效，确保各项指标全面达标。</w:t>
      </w:r>
    </w:p>
    <w:p w14:paraId="3CC90F8B">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统筹城乡教育资源配置，促进校际均衡发展。持续深化城乡教育共同体建设，依托13个城乡教育共同体，推动优质学校与农村薄弱学校在管理、师资、教研等方面深度共建。加大对农村学校和薄弱学校的经费倾斜力度，加快推进第二批乡村寄宿制学校建设，改善农村学校寄宿条件和生活服务设施。严格规范招生秩序，落实免试就近入学政策，合理引导生源分流，逐步缓解“择校热”问题。</w:t>
      </w:r>
    </w:p>
    <w:p w14:paraId="5259E82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（二）稳步化解大校额大班额，优化学校规模结构。严格按照《阳西县义务教育大校额化解工作方案》确定的时间表和路线图，压实各校主体责任，落实分年度减员计划，加强跟踪督办，确保2030年前全面达标。</w:t>
      </w:r>
    </w:p>
    <w:p w14:paraId="35C5599E">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加强教师队伍建设，提升师资水平。持续深化“县管校聘”改革，完善教师编制动态调配机制，加大体育、艺术等紧缺学科教师补充力度。完善骨干教师培养体系，扩大骨干教师覆盖面。深化教师交流轮岗制度，推动城镇优质学校教师向乡村学校、薄弱学校流动。优化教师培训，增强培训针对性和实效性，建立培训需求调研机制，精准对接教师专业发展需求。构建分层分类培训体系，重点加强乡村教师、紧缺学科教师和青年教师的培养。</w:t>
      </w:r>
    </w:p>
    <w:p w14:paraId="757A8969">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深化教育教学改革，全面提升教育质量。严格落实国家课程方案和课程标准，开齐开足开好各类课程，持续推进“五育并举”。深化课堂教学改革，推行以学生为中心的课堂教学模式，提升课堂教学效率。加强教研队伍建设，完善县校联动教研网络，推行“推门听课”制度。持续推进教育信息化建设，深化国家中小学智慧教育平台应用，依托城乡教育共同体开展云端同步课堂、跨校信息化教研。依托教育共同体和托管帮扶，持续提升教学质量。深化13个城乡教育共同体建设，常态化开展联合教研、集体备课、同课异构等活动。依托广东第二师范学院阳西教育集团，发挥高校选派的名校长、名师示范引领作用，推行“1+1+N”学科帮扶模式。深化珠海市第一中学教育集团托管帮扶合作，推动优质教育资源向县域下沉，带动全县教学质量整体提升。</w:t>
      </w:r>
    </w:p>
    <w:p w14:paraId="4945535C">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六、自评结论</w:t>
      </w:r>
    </w:p>
    <w:p w14:paraId="30513284">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县域义务教育优质均衡发展督导评估32项指标，阳西县资源配置7项指标达到标准；政府保障程度15项指标中，除大校额化解需按规划持续推进外，其余指标达到或基本达到标准；教育质量9项指标中，除国家义务教育质量监测待统一组织实施外，其余指标达到或基本达到标准；社会认可度指标待省级专项调查确认，根据以往年度情况自评总体良好。</w:t>
      </w:r>
    </w:p>
    <w:p w14:paraId="25ADFA54">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阳西县自评认为，全县义务教育优质均衡发展总体达到评估标准要求，具备申报省级督导评估认定条件。对尚未完全达标的指标，我县将严格按照整改方案和时间表推进落实，确保按期达标。恳请上级教育督导部门对我县义务教育优质均衡发展工作进行督导评估。</w:t>
      </w:r>
    </w:p>
    <w:p w14:paraId="3DCBAD11">
      <w:pPr>
        <w:keepNext w:val="0"/>
        <w:keepLines w:val="0"/>
        <w:pageBreakBefore w:val="0"/>
        <w:kinsoku/>
        <w:wordWrap/>
        <w:overflowPunct/>
        <w:topLinePunct w:val="0"/>
        <w:autoSpaceDE/>
        <w:autoSpaceDN/>
        <w:bidi w:val="0"/>
        <w:adjustRightInd/>
        <w:snapToGrid w:val="0"/>
        <w:spacing w:line="560" w:lineRule="exact"/>
        <w:ind w:firstLine="640" w:firstLineChars="200"/>
        <w:jc w:val="right"/>
        <w:textAlignment w:val="auto"/>
        <w:rPr>
          <w:rFonts w:hint="eastAsia" w:ascii="仿宋_GB2312" w:hAnsi="仿宋_GB2312" w:eastAsia="仿宋_GB2312" w:cs="仿宋_GB2312"/>
          <w:sz w:val="32"/>
          <w:szCs w:val="32"/>
        </w:rPr>
      </w:pPr>
    </w:p>
    <w:p w14:paraId="3DE2BF93">
      <w:pPr>
        <w:keepNext w:val="0"/>
        <w:keepLines w:val="0"/>
        <w:pageBreakBefore w:val="0"/>
        <w:kinsoku/>
        <w:wordWrap/>
        <w:overflowPunct/>
        <w:topLinePunct w:val="0"/>
        <w:autoSpaceDE/>
        <w:autoSpaceDN/>
        <w:bidi w:val="0"/>
        <w:adjustRightInd/>
        <w:snapToGrid w:val="0"/>
        <w:spacing w:line="560" w:lineRule="exact"/>
        <w:ind w:firstLine="640" w:firstLineChars="200"/>
        <w:jc w:val="right"/>
        <w:textAlignment w:val="auto"/>
        <w:rPr>
          <w:rFonts w:hint="eastAsia" w:ascii="仿宋_GB2312" w:hAnsi="仿宋_GB2312" w:eastAsia="仿宋_GB2312" w:cs="仿宋_GB2312"/>
          <w:sz w:val="32"/>
          <w:szCs w:val="32"/>
        </w:rPr>
      </w:pPr>
    </w:p>
    <w:p w14:paraId="614C04F6">
      <w:pPr>
        <w:keepNext w:val="0"/>
        <w:keepLines w:val="0"/>
        <w:pageBreakBefore w:val="0"/>
        <w:kinsoku/>
        <w:wordWrap/>
        <w:overflowPunct/>
        <w:topLinePunct w:val="0"/>
        <w:autoSpaceDE/>
        <w:autoSpaceDN/>
        <w:bidi w:val="0"/>
        <w:adjustRightInd/>
        <w:snapToGrid w:val="0"/>
        <w:spacing w:line="56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阳西县人民政府</w:t>
      </w:r>
    </w:p>
    <w:p w14:paraId="23F28627">
      <w:pPr>
        <w:keepNext w:val="0"/>
        <w:keepLines w:val="0"/>
        <w:pageBreakBefore w:val="0"/>
        <w:kinsoku/>
        <w:wordWrap/>
        <w:overflowPunct/>
        <w:topLinePunct w:val="0"/>
        <w:autoSpaceDE/>
        <w:autoSpaceDN/>
        <w:bidi w:val="0"/>
        <w:adjustRightInd/>
        <w:snapToGrid w:val="0"/>
        <w:spacing w:line="560" w:lineRule="exact"/>
        <w:ind w:firstLine="5120" w:firstLineChars="1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2026年9月10日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F2F1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2853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F2853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EEFBC9"/>
    <w:multiLevelType w:val="singleLevel"/>
    <w:tmpl w:val="6FEEFBC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B29CB"/>
    <w:rsid w:val="00830235"/>
    <w:rsid w:val="00EA2FA0"/>
    <w:rsid w:val="012C596A"/>
    <w:rsid w:val="03853FB5"/>
    <w:rsid w:val="039D5F09"/>
    <w:rsid w:val="03B13159"/>
    <w:rsid w:val="05FC1C99"/>
    <w:rsid w:val="060F7088"/>
    <w:rsid w:val="06C97B18"/>
    <w:rsid w:val="08797D77"/>
    <w:rsid w:val="093378A4"/>
    <w:rsid w:val="09742988"/>
    <w:rsid w:val="0A742AB5"/>
    <w:rsid w:val="0C3B29CB"/>
    <w:rsid w:val="0DA70089"/>
    <w:rsid w:val="0DA91001"/>
    <w:rsid w:val="0E1B04EF"/>
    <w:rsid w:val="0F8B3D58"/>
    <w:rsid w:val="0FEB13D2"/>
    <w:rsid w:val="10CD02B4"/>
    <w:rsid w:val="11132BEE"/>
    <w:rsid w:val="12112D47"/>
    <w:rsid w:val="12B45980"/>
    <w:rsid w:val="1335583E"/>
    <w:rsid w:val="13A06961"/>
    <w:rsid w:val="1418308D"/>
    <w:rsid w:val="151600B2"/>
    <w:rsid w:val="157F743C"/>
    <w:rsid w:val="1A125860"/>
    <w:rsid w:val="1B523113"/>
    <w:rsid w:val="1BF79008"/>
    <w:rsid w:val="1C3C7908"/>
    <w:rsid w:val="1E156304"/>
    <w:rsid w:val="1E5538AD"/>
    <w:rsid w:val="1F7E7878"/>
    <w:rsid w:val="1FDBCBCC"/>
    <w:rsid w:val="1FFF40D0"/>
    <w:rsid w:val="235E18D6"/>
    <w:rsid w:val="23834D92"/>
    <w:rsid w:val="247916ED"/>
    <w:rsid w:val="25800FCF"/>
    <w:rsid w:val="261A5C22"/>
    <w:rsid w:val="27194FDA"/>
    <w:rsid w:val="27C15B7F"/>
    <w:rsid w:val="289D1638"/>
    <w:rsid w:val="294454FD"/>
    <w:rsid w:val="2A971B4F"/>
    <w:rsid w:val="2AA058F5"/>
    <w:rsid w:val="2CE71492"/>
    <w:rsid w:val="2D883E1C"/>
    <w:rsid w:val="2DB60BF7"/>
    <w:rsid w:val="2E705EE5"/>
    <w:rsid w:val="2E7413B9"/>
    <w:rsid w:val="2F0B0A46"/>
    <w:rsid w:val="311E66F9"/>
    <w:rsid w:val="31A07358"/>
    <w:rsid w:val="34342156"/>
    <w:rsid w:val="353F0586"/>
    <w:rsid w:val="354903F8"/>
    <w:rsid w:val="356A4B1A"/>
    <w:rsid w:val="358142D1"/>
    <w:rsid w:val="3630707D"/>
    <w:rsid w:val="3776FCE8"/>
    <w:rsid w:val="388F3141"/>
    <w:rsid w:val="38A60724"/>
    <w:rsid w:val="3A352923"/>
    <w:rsid w:val="3AEF9F26"/>
    <w:rsid w:val="3BDEA32A"/>
    <w:rsid w:val="3D0D3459"/>
    <w:rsid w:val="3D3C2BFA"/>
    <w:rsid w:val="3D60654D"/>
    <w:rsid w:val="3D7D7A43"/>
    <w:rsid w:val="3D7F97E9"/>
    <w:rsid w:val="3DDB2D89"/>
    <w:rsid w:val="3E176258"/>
    <w:rsid w:val="3EC468CB"/>
    <w:rsid w:val="3ED26CF7"/>
    <w:rsid w:val="3EF238BC"/>
    <w:rsid w:val="3FDE68F2"/>
    <w:rsid w:val="3FF33BB0"/>
    <w:rsid w:val="3FF72EBC"/>
    <w:rsid w:val="41E42EEC"/>
    <w:rsid w:val="41EA5C11"/>
    <w:rsid w:val="43015F70"/>
    <w:rsid w:val="43A106AA"/>
    <w:rsid w:val="43A628FC"/>
    <w:rsid w:val="43F25792"/>
    <w:rsid w:val="44A47C65"/>
    <w:rsid w:val="45D02419"/>
    <w:rsid w:val="45D6701C"/>
    <w:rsid w:val="473975DE"/>
    <w:rsid w:val="48CA2BFB"/>
    <w:rsid w:val="4B6C72BA"/>
    <w:rsid w:val="4CEA7690"/>
    <w:rsid w:val="4DC602F6"/>
    <w:rsid w:val="4E1E2625"/>
    <w:rsid w:val="4F5637ED"/>
    <w:rsid w:val="50B61745"/>
    <w:rsid w:val="50F518D6"/>
    <w:rsid w:val="51CE5C81"/>
    <w:rsid w:val="52767F6B"/>
    <w:rsid w:val="53616F46"/>
    <w:rsid w:val="53D01370"/>
    <w:rsid w:val="5413612F"/>
    <w:rsid w:val="542654BB"/>
    <w:rsid w:val="542870E0"/>
    <w:rsid w:val="543B0A4E"/>
    <w:rsid w:val="54691288"/>
    <w:rsid w:val="54937B32"/>
    <w:rsid w:val="558411CC"/>
    <w:rsid w:val="56BEEC9E"/>
    <w:rsid w:val="56E72D01"/>
    <w:rsid w:val="56EA1198"/>
    <w:rsid w:val="56FC1F09"/>
    <w:rsid w:val="57282593"/>
    <w:rsid w:val="573B3F8E"/>
    <w:rsid w:val="573EB076"/>
    <w:rsid w:val="57815D56"/>
    <w:rsid w:val="57BC1E72"/>
    <w:rsid w:val="57FF1915"/>
    <w:rsid w:val="58A4037A"/>
    <w:rsid w:val="59783DDB"/>
    <w:rsid w:val="5AA7BBCE"/>
    <w:rsid w:val="5AA804F7"/>
    <w:rsid w:val="5B391CCB"/>
    <w:rsid w:val="5CD63942"/>
    <w:rsid w:val="5CF65108"/>
    <w:rsid w:val="5CFE349B"/>
    <w:rsid w:val="5EF42413"/>
    <w:rsid w:val="5F4C4F35"/>
    <w:rsid w:val="5F6F5DA1"/>
    <w:rsid w:val="5F7C0904"/>
    <w:rsid w:val="5F7FA6C2"/>
    <w:rsid w:val="5FE647D1"/>
    <w:rsid w:val="61D31145"/>
    <w:rsid w:val="61ED22FB"/>
    <w:rsid w:val="62EB52C8"/>
    <w:rsid w:val="644709EA"/>
    <w:rsid w:val="64797BBA"/>
    <w:rsid w:val="659743D9"/>
    <w:rsid w:val="659A3391"/>
    <w:rsid w:val="65BB78A5"/>
    <w:rsid w:val="65EA3954"/>
    <w:rsid w:val="66AA66DB"/>
    <w:rsid w:val="678E6D03"/>
    <w:rsid w:val="67F7881C"/>
    <w:rsid w:val="67FC9AFF"/>
    <w:rsid w:val="69181BD4"/>
    <w:rsid w:val="692176CD"/>
    <w:rsid w:val="69F77C6E"/>
    <w:rsid w:val="6AFF41B6"/>
    <w:rsid w:val="6B7EDD2C"/>
    <w:rsid w:val="6BB76B79"/>
    <w:rsid w:val="6BDFEF2E"/>
    <w:rsid w:val="6DC4F279"/>
    <w:rsid w:val="6DD9204F"/>
    <w:rsid w:val="6DE80C62"/>
    <w:rsid w:val="6E6222A7"/>
    <w:rsid w:val="6E8002AC"/>
    <w:rsid w:val="6E872015"/>
    <w:rsid w:val="6EFF4C13"/>
    <w:rsid w:val="6F426023"/>
    <w:rsid w:val="6FE0342C"/>
    <w:rsid w:val="6FFF6CD7"/>
    <w:rsid w:val="704C08FD"/>
    <w:rsid w:val="70A42ADC"/>
    <w:rsid w:val="72052F80"/>
    <w:rsid w:val="72462B06"/>
    <w:rsid w:val="73DB1C2A"/>
    <w:rsid w:val="73E8404A"/>
    <w:rsid w:val="73FFA4BB"/>
    <w:rsid w:val="74BF7DEF"/>
    <w:rsid w:val="74FE9D48"/>
    <w:rsid w:val="75EFBFD1"/>
    <w:rsid w:val="75F6FDED"/>
    <w:rsid w:val="768B12F7"/>
    <w:rsid w:val="77233954"/>
    <w:rsid w:val="77BF43FB"/>
    <w:rsid w:val="77F3CD54"/>
    <w:rsid w:val="77F7CA8C"/>
    <w:rsid w:val="77F9DDE5"/>
    <w:rsid w:val="781074BB"/>
    <w:rsid w:val="783B029C"/>
    <w:rsid w:val="78FD5BF2"/>
    <w:rsid w:val="7A1F7F9A"/>
    <w:rsid w:val="7AEC0152"/>
    <w:rsid w:val="7B73181E"/>
    <w:rsid w:val="7BE5E17A"/>
    <w:rsid w:val="7BE776B2"/>
    <w:rsid w:val="7BEF1946"/>
    <w:rsid w:val="7BFDEC12"/>
    <w:rsid w:val="7C292E13"/>
    <w:rsid w:val="7C67417C"/>
    <w:rsid w:val="7DA387C0"/>
    <w:rsid w:val="7DD246A2"/>
    <w:rsid w:val="7EAD67EC"/>
    <w:rsid w:val="7EFBEE2F"/>
    <w:rsid w:val="7EFD242A"/>
    <w:rsid w:val="7F3B82D4"/>
    <w:rsid w:val="7F3F30BD"/>
    <w:rsid w:val="7F4720CB"/>
    <w:rsid w:val="7F712D89"/>
    <w:rsid w:val="7FED7B8F"/>
    <w:rsid w:val="7FF75B37"/>
    <w:rsid w:val="7FFF09DE"/>
    <w:rsid w:val="7FFF4D43"/>
    <w:rsid w:val="7FFF4D55"/>
    <w:rsid w:val="7FFF589A"/>
    <w:rsid w:val="81F5712C"/>
    <w:rsid w:val="93F86082"/>
    <w:rsid w:val="9DDB9EBB"/>
    <w:rsid w:val="9EFEE67D"/>
    <w:rsid w:val="9FFFE53B"/>
    <w:rsid w:val="AB7B64D0"/>
    <w:rsid w:val="AEFDDD91"/>
    <w:rsid w:val="B96BBA39"/>
    <w:rsid w:val="BDBF1934"/>
    <w:rsid w:val="BED90A45"/>
    <w:rsid w:val="D4FF5D0C"/>
    <w:rsid w:val="D593A94F"/>
    <w:rsid w:val="D5DEE7C1"/>
    <w:rsid w:val="D5FF8CDF"/>
    <w:rsid w:val="D96EE61C"/>
    <w:rsid w:val="DBB800FF"/>
    <w:rsid w:val="DEB397B4"/>
    <w:rsid w:val="DEFBC5BE"/>
    <w:rsid w:val="DEFEC348"/>
    <w:rsid w:val="DFF596E0"/>
    <w:rsid w:val="E3FF51CA"/>
    <w:rsid w:val="E4FFF230"/>
    <w:rsid w:val="EFFF20A1"/>
    <w:rsid w:val="F6F7AF6F"/>
    <w:rsid w:val="F717DD80"/>
    <w:rsid w:val="F8023840"/>
    <w:rsid w:val="F92F7C07"/>
    <w:rsid w:val="FAF5697A"/>
    <w:rsid w:val="FBB88C70"/>
    <w:rsid w:val="FBFD04CB"/>
    <w:rsid w:val="FE798489"/>
    <w:rsid w:val="FFBFD025"/>
    <w:rsid w:val="FFDBA4D3"/>
    <w:rsid w:val="FFEE5405"/>
    <w:rsid w:val="FFFBD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25</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2026-09-18T12:08:00Z</dcterms:created>
  <dc:creator>Administrator</dc:creator>
  <cp:lastModifiedBy>HUAWEI</cp:lastModifiedBy>
  <cp:lastPrinted>2026-09-18T16:51:00Z</cp:lastPrinted>
  <dcterms:modified xsi:type="dcterms:W3CDTF">2026-09-20T12:06:16Z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826C34D8911E470CB754E30BBB2AB03E_11</vt:lpwstr>
  </property>
</Properties>
</file>