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AC076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sz w:val="44"/>
          <w:szCs w:val="44"/>
          <w:lang w:val="en-US" w:eastAsia="zh-CN"/>
        </w:rPr>
      </w:pPr>
      <w:bookmarkStart w:id="0" w:name="_GoBack"/>
      <w:bookmarkEnd w:id="0"/>
    </w:p>
    <w:p w14:paraId="7A06845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《阳江市医疗保障局关于印发&lt;阳江市基本医疗保险门诊特定病种管理暂行办法&gt;</w:t>
      </w:r>
    </w:p>
    <w:p w14:paraId="7521D6D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的通知》政策解读</w:t>
      </w:r>
    </w:p>
    <w:p w14:paraId="3843DF9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p>
    <w:p w14:paraId="69EC573C">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cs="仿宋"/>
          <w:sz w:val="32"/>
          <w:szCs w:val="32"/>
          <w:lang w:val="en-US" w:eastAsia="zh-CN"/>
        </w:rPr>
      </w:pPr>
      <w:r>
        <w:rPr>
          <w:rFonts w:hint="eastAsia"/>
          <w:lang w:val="en-US" w:eastAsia="zh-CN"/>
        </w:rPr>
        <w:t>为进一步完善阳江市多层次医疗保障体系，提升门诊特定病种（以下简称“门特”）保障水平，切实减轻参保人员门诊医疗费用负担，</w:t>
      </w:r>
      <w:r>
        <w:rPr>
          <w:rFonts w:hint="eastAsia" w:ascii="仿宋" w:hAnsi="仿宋" w:eastAsia="仿宋" w:cs="仿宋"/>
          <w:sz w:val="32"/>
          <w:szCs w:val="32"/>
          <w:lang w:val="en-US" w:eastAsia="zh-CN"/>
        </w:rPr>
        <w:t>我局</w:t>
      </w:r>
      <w:r>
        <w:rPr>
          <w:rFonts w:hint="eastAsia" w:cs="仿宋"/>
          <w:color w:val="auto"/>
          <w:sz w:val="32"/>
          <w:szCs w:val="32"/>
          <w:highlight w:val="none"/>
          <w:lang w:val="en-US" w:eastAsia="zh-CN"/>
        </w:rPr>
        <w:t>印发</w:t>
      </w:r>
      <w:r>
        <w:rPr>
          <w:rFonts w:hint="eastAsia" w:ascii="仿宋" w:hAnsi="仿宋" w:eastAsia="仿宋" w:cs="仿宋"/>
          <w:color w:val="auto"/>
          <w:sz w:val="32"/>
          <w:szCs w:val="32"/>
          <w:highlight w:val="none"/>
          <w:lang w:val="en-US" w:eastAsia="zh-CN"/>
        </w:rPr>
        <w:t>了</w:t>
      </w:r>
      <w:r>
        <w:rPr>
          <w:rFonts w:hint="eastAsia" w:ascii="仿宋" w:hAnsi="仿宋" w:eastAsia="仿宋" w:cs="仿宋"/>
          <w:sz w:val="32"/>
          <w:szCs w:val="32"/>
          <w:lang w:val="en-US" w:eastAsia="zh-CN"/>
        </w:rPr>
        <w:t>《阳江市医疗保障局关于印发&lt;阳江市基本医疗保险门诊特定病种管理暂行办法&gt;的通知》</w:t>
      </w:r>
      <w:r>
        <w:rPr>
          <w:rFonts w:hint="eastAsia" w:cs="仿宋"/>
          <w:sz w:val="32"/>
          <w:szCs w:val="32"/>
          <w:lang w:val="en-US" w:eastAsia="zh-CN"/>
        </w:rPr>
        <w:t>（以下简称《办法》）</w:t>
      </w:r>
      <w:r>
        <w:rPr>
          <w:rFonts w:hint="eastAsia" w:ascii="仿宋" w:hAnsi="仿宋" w:eastAsia="仿宋" w:cs="仿宋"/>
          <w:sz w:val="32"/>
          <w:szCs w:val="32"/>
          <w:lang w:val="en-US" w:eastAsia="zh-CN"/>
        </w:rPr>
        <w:t>，</w:t>
      </w:r>
      <w:r>
        <w:rPr>
          <w:rFonts w:hint="eastAsia" w:cs="仿宋"/>
          <w:sz w:val="32"/>
          <w:szCs w:val="32"/>
          <w:lang w:val="en-US" w:eastAsia="zh-CN"/>
        </w:rPr>
        <w:t>现就主要政策解读如下：</w:t>
      </w:r>
    </w:p>
    <w:p w14:paraId="6A6438C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一、制定背景与依据</w:t>
      </w:r>
    </w:p>
    <w:p w14:paraId="21D71BE3">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cs="仿宋"/>
          <w:sz w:val="32"/>
          <w:szCs w:val="32"/>
          <w:lang w:val="en-US" w:eastAsia="zh-CN"/>
        </w:rPr>
      </w:pPr>
      <w:r>
        <w:rPr>
          <w:rFonts w:hint="eastAsia" w:cs="仿宋"/>
          <w:sz w:val="32"/>
          <w:szCs w:val="32"/>
          <w:lang w:val="en-US" w:eastAsia="zh-CN"/>
        </w:rPr>
        <w:t>近年来，随着医疗保障事业的不断发展，参保群众对门诊特定病种保障的需求日益增长。为落实《广东省基本医疗保险门诊特定病种管理办法》（粤医保规〔2020〕4号）等文件要求，解决原有政策执行过程中出现的新情况、新问题，进一步规范门特管理服务，提高基金使用效率，我局结合实际，印发了《办法》，旨在构建更公平、更高效、更便捷的门特保障制度。</w:t>
      </w:r>
    </w:p>
    <w:p w14:paraId="179D7E3B">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二、适用范围与管理职责</w:t>
      </w:r>
    </w:p>
    <w:p w14:paraId="6C49C99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（一）适用人群</w:t>
      </w:r>
    </w:p>
    <w:p w14:paraId="78B28903">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cs="仿宋"/>
          <w:sz w:val="32"/>
          <w:szCs w:val="32"/>
          <w:lang w:val="en-US" w:eastAsia="zh-CN"/>
        </w:rPr>
      </w:pPr>
      <w:r>
        <w:rPr>
          <w:rFonts w:hint="eastAsia" w:cs="仿宋"/>
          <w:sz w:val="32"/>
          <w:szCs w:val="32"/>
          <w:lang w:val="en-US" w:eastAsia="zh-CN"/>
        </w:rPr>
        <w:t>《办法》覆盖阳江市城镇职工基本医疗保险和城乡居民基本医疗保险全体参保人员，实现门特保障对两类参保群体的全面覆盖，确保政策普惠性。</w:t>
      </w:r>
    </w:p>
    <w:p w14:paraId="71C67E7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（二）部门职责</w:t>
      </w:r>
    </w:p>
    <w:p w14:paraId="7341F3F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cs="仿宋"/>
          <w:sz w:val="32"/>
          <w:szCs w:val="32"/>
          <w:lang w:val="en-US" w:eastAsia="zh-CN"/>
        </w:rPr>
      </w:pPr>
      <w:r>
        <w:rPr>
          <w:rFonts w:hint="eastAsia" w:cs="仿宋"/>
          <w:sz w:val="32"/>
          <w:szCs w:val="32"/>
          <w:lang w:val="en-US" w:eastAsia="zh-CN"/>
        </w:rPr>
        <w:t>市医疗保障行政部门负责政策制定、组织实施及定点医药机构监督检查；县（市、区）医疗保障行政部门负责辖区内门特政策的组织实施和监督检查；各级医保经办机构承担门特经办管理服务。</w:t>
      </w:r>
    </w:p>
    <w:p w14:paraId="2910E19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三、核心待遇保障政策</w:t>
      </w:r>
    </w:p>
    <w:p w14:paraId="20B1058F">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（一）病种范围与定额标准</w:t>
      </w:r>
    </w:p>
    <w:p w14:paraId="5C7270BC">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cs="仿宋"/>
          <w:sz w:val="32"/>
          <w:szCs w:val="32"/>
          <w:lang w:val="en-US" w:eastAsia="zh-CN"/>
        </w:rPr>
      </w:pPr>
      <w:r>
        <w:rPr>
          <w:rFonts w:hint="eastAsia" w:cs="仿宋"/>
          <w:sz w:val="32"/>
          <w:szCs w:val="32"/>
          <w:lang w:val="en-US" w:eastAsia="zh-CN"/>
        </w:rPr>
        <w:t>《办法》明确将54个病种纳入门特保障范围，涵盖省规定的53个病种及本市延续保障的脑瘫病种，覆盖常见慢性病、重大疾病等多个类别。不同病种实行差异化定额标准，职工医保与城乡居民医保分别设定相应支付限额。</w:t>
      </w:r>
    </w:p>
    <w:p w14:paraId="51C7EA48">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（二）报销规则优化</w:t>
      </w:r>
    </w:p>
    <w:p w14:paraId="787F718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cs="仿宋"/>
          <w:sz w:val="32"/>
          <w:szCs w:val="32"/>
          <w:lang w:val="en-US" w:eastAsia="zh-CN"/>
        </w:rPr>
      </w:pPr>
      <w:r>
        <w:rPr>
          <w:rFonts w:hint="eastAsia" w:cs="仿宋"/>
          <w:sz w:val="32"/>
          <w:szCs w:val="32"/>
          <w:lang w:val="en-US" w:eastAsia="zh-CN"/>
        </w:rPr>
        <w:t>1.门特不设起付线，报销比例参照住院报销标准执行，降低参保人员门诊就医门槛；</w:t>
      </w:r>
    </w:p>
    <w:p w14:paraId="0EDA648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cs="仿宋"/>
          <w:sz w:val="32"/>
          <w:szCs w:val="32"/>
          <w:lang w:val="en-US" w:eastAsia="zh-CN"/>
        </w:rPr>
      </w:pPr>
      <w:r>
        <w:rPr>
          <w:rFonts w:hint="eastAsia" w:cs="仿宋"/>
          <w:sz w:val="32"/>
          <w:szCs w:val="32"/>
          <w:lang w:val="en-US" w:eastAsia="zh-CN"/>
        </w:rPr>
        <w:t>2.异地就医报销政策：异地转诊备案人员按异地住院报销比例执行，常住异地备案人员按市内住院报销比例执行，方便异地居住、工作参保人员享受待遇；</w:t>
      </w:r>
    </w:p>
    <w:p w14:paraId="635756B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cs="仿宋"/>
          <w:sz w:val="32"/>
          <w:szCs w:val="32"/>
          <w:lang w:val="en-US" w:eastAsia="zh-CN"/>
        </w:rPr>
      </w:pPr>
      <w:r>
        <w:rPr>
          <w:rFonts w:hint="eastAsia" w:cs="仿宋"/>
          <w:sz w:val="32"/>
          <w:szCs w:val="32"/>
          <w:lang w:val="en-US" w:eastAsia="zh-CN"/>
        </w:rPr>
        <w:t>3.多病种参保人员季度支付限额按“最高病种定额+其他病种定额×20%”合并计算，保障同时患多种疾病参保人员的治疗需求。</w:t>
      </w:r>
    </w:p>
    <w:p w14:paraId="63280AB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（三）支付限额管理</w:t>
      </w:r>
    </w:p>
    <w:p w14:paraId="100210B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cs="仿宋"/>
          <w:sz w:val="32"/>
          <w:szCs w:val="32"/>
          <w:lang w:val="en-US" w:eastAsia="zh-CN"/>
        </w:rPr>
      </w:pPr>
      <w:r>
        <w:rPr>
          <w:rFonts w:hint="eastAsia" w:cs="仿宋"/>
          <w:sz w:val="32"/>
          <w:szCs w:val="32"/>
          <w:lang w:val="en-US" w:eastAsia="zh-CN"/>
        </w:rPr>
        <w:t>1.门特实行季度支付限额，且11类病种的季度限额结余可在当年度内累积使用，其余非年度统筹封顶病种限额当期有效，结余清零；</w:t>
      </w:r>
    </w:p>
    <w:p w14:paraId="1345D6C4">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cs="仿宋"/>
          <w:sz w:val="32"/>
          <w:szCs w:val="32"/>
          <w:lang w:val="en-US" w:eastAsia="zh-CN"/>
        </w:rPr>
      </w:pPr>
      <w:r>
        <w:rPr>
          <w:rFonts w:hint="eastAsia" w:cs="仿宋"/>
          <w:sz w:val="32"/>
          <w:szCs w:val="32"/>
          <w:lang w:val="en-US" w:eastAsia="zh-CN"/>
        </w:rPr>
        <w:t>2.补充医疗保险支付限额与基本医疗保险挂钩：季度限额病种按基本医保限额的50%执行，年度统筹封顶病种按年度限额执行，形成多层次保障合力；</w:t>
      </w:r>
    </w:p>
    <w:p w14:paraId="28C8CB5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cs="仿宋"/>
          <w:sz w:val="32"/>
          <w:szCs w:val="32"/>
          <w:lang w:val="en-US" w:eastAsia="zh-CN"/>
        </w:rPr>
      </w:pPr>
      <w:r>
        <w:rPr>
          <w:rFonts w:hint="eastAsia" w:cs="仿宋"/>
          <w:sz w:val="32"/>
          <w:szCs w:val="32"/>
          <w:lang w:val="en-US" w:eastAsia="zh-CN"/>
        </w:rPr>
        <w:t>3.季度中途参保或备案的人员按参保或备案首月起剩余月份占该季度总月份的比例折算，确保参保人员待遇公平。</w:t>
      </w:r>
    </w:p>
    <w:p w14:paraId="10372140">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（四）费用结算与待遇衔接</w:t>
      </w:r>
    </w:p>
    <w:p w14:paraId="436E3908">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cs="仿宋"/>
          <w:sz w:val="32"/>
          <w:szCs w:val="32"/>
          <w:lang w:val="en-US" w:eastAsia="zh-CN"/>
        </w:rPr>
      </w:pPr>
      <w:r>
        <w:rPr>
          <w:rFonts w:hint="eastAsia" w:cs="仿宋"/>
          <w:sz w:val="32"/>
          <w:szCs w:val="32"/>
          <w:lang w:val="en-US" w:eastAsia="zh-CN"/>
        </w:rPr>
        <w:t>1.纳入门特的用药和诊疗项目需与疾病治疗相符，不合规费用不纳入统筹基金支付范围；</w:t>
      </w:r>
    </w:p>
    <w:p w14:paraId="44BB94FB">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cs="仿宋"/>
          <w:sz w:val="32"/>
          <w:szCs w:val="32"/>
          <w:lang w:val="en-US" w:eastAsia="zh-CN"/>
        </w:rPr>
      </w:pPr>
      <w:r>
        <w:rPr>
          <w:rFonts w:hint="eastAsia" w:cs="仿宋"/>
          <w:sz w:val="32"/>
          <w:szCs w:val="32"/>
          <w:lang w:val="en-US" w:eastAsia="zh-CN"/>
        </w:rPr>
        <w:t>2.参保人员个人负担的合规医疗费用，可按规定纳入大病保险、补充医疗保险、医疗救助范围，实现保障无缝衔接；</w:t>
      </w:r>
    </w:p>
    <w:p w14:paraId="50E67B7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cs="仿宋"/>
          <w:sz w:val="32"/>
          <w:szCs w:val="32"/>
          <w:lang w:val="en-US" w:eastAsia="zh-CN"/>
        </w:rPr>
      </w:pPr>
      <w:r>
        <w:rPr>
          <w:rFonts w:hint="eastAsia" w:cs="仿宋"/>
          <w:sz w:val="32"/>
          <w:szCs w:val="32"/>
          <w:lang w:val="en-US" w:eastAsia="zh-CN"/>
        </w:rPr>
        <w:t>3.住院期间原则上不重复享受门特或普通门诊统筹待遇（耐多药肺结核、严重精神障碍疾病除外），确因医疗机构诊疗条件限制无法开展门特治疗的，经就诊医疗机构确认可申请结算住院期间门特费用，避免费用重复报销。</w:t>
      </w:r>
    </w:p>
    <w:p w14:paraId="0C77475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四、管理服务流程规范</w:t>
      </w:r>
    </w:p>
    <w:p w14:paraId="214494C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（一）资格认证与定点备案</w:t>
      </w:r>
    </w:p>
    <w:p w14:paraId="719DB51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cs="仿宋"/>
          <w:sz w:val="32"/>
          <w:szCs w:val="32"/>
          <w:lang w:val="en-US" w:eastAsia="zh-CN"/>
        </w:rPr>
      </w:pPr>
      <w:r>
        <w:rPr>
          <w:rFonts w:hint="eastAsia" w:cs="仿宋"/>
          <w:sz w:val="32"/>
          <w:szCs w:val="32"/>
          <w:lang w:val="en-US" w:eastAsia="zh-CN"/>
        </w:rPr>
        <w:t>1.参保人员需经二级及以上定点医疗机构审核确认门特资格，三级医院由副主任医师以上职称专家审核，二级医院由主治医师以上职称专家审核，确保诊断准确性；</w:t>
      </w:r>
    </w:p>
    <w:p w14:paraId="3B997A5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cs="仿宋"/>
          <w:sz w:val="32"/>
          <w:szCs w:val="32"/>
          <w:lang w:val="en-US" w:eastAsia="zh-CN"/>
        </w:rPr>
      </w:pPr>
      <w:r>
        <w:rPr>
          <w:rFonts w:hint="eastAsia" w:cs="仿宋"/>
          <w:sz w:val="32"/>
          <w:szCs w:val="32"/>
          <w:lang w:val="en-US" w:eastAsia="zh-CN"/>
        </w:rPr>
        <w:t>2.参保人员可选定1-3家定点医疗机构作为门特就诊机构并备案，既往已确诊人员可凭一年内相关医疗资料直接审核确认，简化认证流程。</w:t>
      </w:r>
    </w:p>
    <w:p w14:paraId="269CC8DC">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（二）定点机构与处方管理</w:t>
      </w:r>
    </w:p>
    <w:p w14:paraId="3EEC9BD4">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cs="仿宋"/>
          <w:sz w:val="32"/>
          <w:szCs w:val="32"/>
          <w:lang w:val="en-US" w:eastAsia="zh-CN"/>
        </w:rPr>
      </w:pPr>
      <w:r>
        <w:rPr>
          <w:rFonts w:hint="eastAsia" w:cs="仿宋"/>
          <w:sz w:val="32"/>
          <w:szCs w:val="32"/>
          <w:lang w:val="en-US" w:eastAsia="zh-CN"/>
        </w:rPr>
        <w:t>1.门特定点医疗机构从具备相应资质的二级及以上定点机构中确定，市外定点机构按就医地医保部门规定执行；</w:t>
      </w:r>
    </w:p>
    <w:p w14:paraId="7644E15B">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cs="仿宋"/>
          <w:sz w:val="32"/>
          <w:szCs w:val="32"/>
          <w:lang w:val="en-US" w:eastAsia="zh-CN"/>
        </w:rPr>
      </w:pPr>
      <w:r>
        <w:rPr>
          <w:rFonts w:hint="eastAsia" w:cs="仿宋"/>
          <w:sz w:val="32"/>
          <w:szCs w:val="32"/>
          <w:lang w:val="en-US" w:eastAsia="zh-CN"/>
        </w:rPr>
        <w:t>2.选定医疗机构原则上一年内不变更，因病情、居住地迁移等原因需变更的，可申请办理；</w:t>
      </w:r>
    </w:p>
    <w:p w14:paraId="4B51BDAC">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cs="仿宋"/>
          <w:sz w:val="32"/>
          <w:szCs w:val="32"/>
          <w:lang w:val="en-US" w:eastAsia="zh-CN"/>
        </w:rPr>
      </w:pPr>
      <w:r>
        <w:rPr>
          <w:rFonts w:hint="eastAsia" w:cs="仿宋"/>
          <w:sz w:val="32"/>
          <w:szCs w:val="32"/>
          <w:lang w:val="en-US" w:eastAsia="zh-CN"/>
        </w:rPr>
        <w:t>3.定点医疗机构可根据病情将门特单次处方医保用药量延长至12周，减少参保人员就医购药频次，提升就医便捷性。</w:t>
      </w:r>
    </w:p>
    <w:p w14:paraId="57486389">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（三）费用结算方式</w:t>
      </w:r>
    </w:p>
    <w:p w14:paraId="104CFF3C">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cs="仿宋"/>
          <w:sz w:val="32"/>
          <w:szCs w:val="32"/>
          <w:lang w:val="en-US" w:eastAsia="zh-CN"/>
        </w:rPr>
      </w:pPr>
      <w:r>
        <w:rPr>
          <w:rFonts w:hint="eastAsia" w:cs="仿宋"/>
          <w:sz w:val="32"/>
          <w:szCs w:val="32"/>
          <w:lang w:val="en-US" w:eastAsia="zh-CN"/>
        </w:rPr>
        <w:t>1.联网“一站式”结算：定点医疗机构实现费用直接记账，参保人员无需垫付；</w:t>
      </w:r>
    </w:p>
    <w:p w14:paraId="6431AE34">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cs="仿宋"/>
          <w:sz w:val="32"/>
          <w:szCs w:val="32"/>
          <w:lang w:val="en-US" w:eastAsia="zh-CN"/>
        </w:rPr>
      </w:pPr>
      <w:r>
        <w:rPr>
          <w:rFonts w:hint="eastAsia" w:cs="仿宋"/>
          <w:sz w:val="32"/>
          <w:szCs w:val="32"/>
          <w:lang w:val="en-US" w:eastAsia="zh-CN"/>
        </w:rPr>
        <w:t>2.未联网结算机构就医费用，由参保人员先行垫付后，凭相关资料到参保地医保经办机构报销，保障不同结算条件下参保人员待遇落实。</w:t>
      </w:r>
    </w:p>
    <w:p w14:paraId="5E699FF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五、基金监管与责任追究</w:t>
      </w:r>
    </w:p>
    <w:p w14:paraId="75B7D80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（一）机构监管要求</w:t>
      </w:r>
    </w:p>
    <w:p w14:paraId="5FCFEC5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cs="仿宋"/>
          <w:sz w:val="32"/>
          <w:szCs w:val="32"/>
          <w:lang w:val="en-US" w:eastAsia="zh-CN"/>
        </w:rPr>
      </w:pPr>
      <w:r>
        <w:rPr>
          <w:rFonts w:hint="eastAsia" w:cs="仿宋"/>
          <w:sz w:val="32"/>
          <w:szCs w:val="32"/>
          <w:lang w:val="en-US" w:eastAsia="zh-CN"/>
        </w:rPr>
        <w:t>定点医疗机构应严格执行政策规定，不得通过串换药品、伪造病历等违规行为骗取医保基金，构成犯罪的依法追究刑事责任。同时，医疗机构需建立并保存电子病历、电子处方等信息，确保诊疗、交易可追溯监管。</w:t>
      </w:r>
    </w:p>
    <w:p w14:paraId="5C42E9F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（二）参保人员责任</w:t>
      </w:r>
    </w:p>
    <w:p w14:paraId="49819E3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cs="仿宋"/>
          <w:sz w:val="32"/>
          <w:szCs w:val="32"/>
          <w:lang w:val="en-US" w:eastAsia="zh-CN"/>
        </w:rPr>
      </w:pPr>
      <w:r>
        <w:rPr>
          <w:rFonts w:hint="eastAsia" w:cs="仿宋"/>
          <w:sz w:val="32"/>
          <w:szCs w:val="32"/>
          <w:lang w:val="en-US" w:eastAsia="zh-CN"/>
        </w:rPr>
        <w:t>参保人员伪造医疗资料、骗取门特待遇的，将被追回违规费用、取消门特待遇，构成犯罪的移交司法机关处理，维护医保基金安全。</w:t>
      </w:r>
    </w:p>
    <w:p w14:paraId="05CBE34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（三）监管机制完善</w:t>
      </w:r>
    </w:p>
    <w:p w14:paraId="1A7C9AC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cs="仿宋"/>
          <w:sz w:val="32"/>
          <w:szCs w:val="32"/>
          <w:lang w:val="en-US" w:eastAsia="zh-CN"/>
        </w:rPr>
      </w:pPr>
      <w:r>
        <w:rPr>
          <w:rFonts w:hint="eastAsia" w:cs="仿宋"/>
          <w:sz w:val="32"/>
          <w:szCs w:val="32"/>
          <w:lang w:val="en-US" w:eastAsia="zh-CN"/>
        </w:rPr>
        <w:t>各级医保部门应加强日常管理与重点监测，推动门特与住院保障衔接，促进合理诊疗、科学施治，提升基金使用效益。</w:t>
      </w:r>
    </w:p>
    <w:p w14:paraId="179CCE9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六、实施时间与政策衔接</w:t>
      </w:r>
    </w:p>
    <w:p w14:paraId="2D44E58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cs="仿宋"/>
          <w:sz w:val="32"/>
          <w:szCs w:val="32"/>
          <w:lang w:val="en-US" w:eastAsia="zh-CN"/>
        </w:rPr>
      </w:pPr>
      <w:r>
        <w:rPr>
          <w:rFonts w:hint="eastAsia" w:cs="仿宋"/>
          <w:sz w:val="32"/>
          <w:szCs w:val="32"/>
          <w:lang w:val="en-US" w:eastAsia="zh-CN"/>
        </w:rPr>
        <w:t>《办法》自2026年1月1日起施行，有效期至2026年12月1日，《阳江市基本医疗保险门诊特定病种管理暂行办法》（阳医保通〔2023〕61号）同步废止。</w:t>
      </w:r>
    </w:p>
    <w:p w14:paraId="7CDB68C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lang w:val="en-US" w:eastAsia="zh-CN"/>
        </w:rPr>
      </w:pPr>
    </w:p>
    <w:sectPr>
      <w:footerReference r:id="rId3" w:type="default"/>
      <w:pgSz w:w="11906" w:h="16838"/>
      <w:pgMar w:top="2098" w:right="1474" w:bottom="1984" w:left="1587" w:header="851" w:footer="1361"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041790A-2E74-4C76-A589-D0DAF96EBA6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embedRegular r:id="rId2" w:fontKey="{B15ACC8E-853E-4650-9EB8-BB5A03F87B8E}"/>
  </w:font>
  <w:font w:name="方正小标宋简体">
    <w:panose1 w:val="03000509000000000000"/>
    <w:charset w:val="86"/>
    <w:family w:val="auto"/>
    <w:pitch w:val="default"/>
    <w:sig w:usb0="00000001" w:usb1="080E0000" w:usb2="00000000" w:usb3="00000000" w:csb0="00040000" w:csb1="00000000"/>
    <w:embedRegular r:id="rId3" w:fontKey="{30E83B97-271A-40F7-A956-4B89D4D4EDB2}"/>
  </w:font>
  <w:font w:name="楷体">
    <w:panose1 w:val="02010609060101010101"/>
    <w:charset w:val="86"/>
    <w:family w:val="auto"/>
    <w:pitch w:val="default"/>
    <w:sig w:usb0="800002BF" w:usb1="38CF7CFA" w:usb2="00000016" w:usb3="00000000" w:csb0="00040001" w:csb1="00000000"/>
    <w:embedRegular r:id="rId4" w:fontKey="{E8250BCA-370C-4F11-BFC1-343C1184D2C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4B57C">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CEED62">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2CEED62">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zYTNjZjcyNzQ2NDVlMzA1ZGY0ZTNhNmFlOWNhYmQifQ=="/>
  </w:docVars>
  <w:rsids>
    <w:rsidRoot w:val="00000000"/>
    <w:rsid w:val="019404A9"/>
    <w:rsid w:val="056A57F8"/>
    <w:rsid w:val="05E008F8"/>
    <w:rsid w:val="083B347B"/>
    <w:rsid w:val="0BD658B5"/>
    <w:rsid w:val="0C3F5CB7"/>
    <w:rsid w:val="0E3E5A73"/>
    <w:rsid w:val="17056DCF"/>
    <w:rsid w:val="187C667B"/>
    <w:rsid w:val="1CE504A0"/>
    <w:rsid w:val="1DEF0B38"/>
    <w:rsid w:val="1E3D18A3"/>
    <w:rsid w:val="1EDF295B"/>
    <w:rsid w:val="27AB1443"/>
    <w:rsid w:val="2DCF003E"/>
    <w:rsid w:val="324657A7"/>
    <w:rsid w:val="32A332D9"/>
    <w:rsid w:val="32B20D34"/>
    <w:rsid w:val="338341A5"/>
    <w:rsid w:val="36AD2EE7"/>
    <w:rsid w:val="36BC3390"/>
    <w:rsid w:val="3AB42A96"/>
    <w:rsid w:val="3D4B1607"/>
    <w:rsid w:val="3DFC416B"/>
    <w:rsid w:val="44A929B7"/>
    <w:rsid w:val="45435F01"/>
    <w:rsid w:val="4D0E4287"/>
    <w:rsid w:val="50306C0B"/>
    <w:rsid w:val="54C55D83"/>
    <w:rsid w:val="569B62C0"/>
    <w:rsid w:val="5C1A482D"/>
    <w:rsid w:val="64FC5F8D"/>
    <w:rsid w:val="65F20792"/>
    <w:rsid w:val="69D77F99"/>
    <w:rsid w:val="70BC7135"/>
    <w:rsid w:val="70F25AEA"/>
    <w:rsid w:val="71880A19"/>
    <w:rsid w:val="71926986"/>
    <w:rsid w:val="72870D6F"/>
    <w:rsid w:val="75660855"/>
    <w:rsid w:val="76100338"/>
    <w:rsid w:val="77BA09E4"/>
    <w:rsid w:val="7B4E6013"/>
    <w:rsid w:val="7EC63C5F"/>
    <w:rsid w:val="7FC740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hAnsi="仿宋" w:eastAsia="仿宋" w:cs="仿宋"/>
      <w:kern w:val="2"/>
      <w:sz w:val="32"/>
      <w:szCs w:val="32"/>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1916</Words>
  <Characters>1956</Characters>
  <Lines>0</Lines>
  <Paragraphs>0</Paragraphs>
  <TotalTime>5</TotalTime>
  <ScaleCrop>false</ScaleCrop>
  <LinksUpToDate>false</LinksUpToDate>
  <CharactersWithSpaces>1956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2023-08-02T02:45:00Z</dcterms:created>
  <dc:creator>LENOVO</dc:creator>
  <cp:lastModifiedBy>Sunshile</cp:lastModifiedBy>
  <cp:lastPrinted>2025-12-31T01:50:00Z</cp:lastPrinted>
  <dcterms:modified xsi:type="dcterms:W3CDTF">2025-12-31T02:33:17Z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2C5B1838D2734C8F890D9F0BA2919400_13</vt:lpwstr>
  </property>
  <property fmtid="{D5CDD505-2E9C-101B-9397-08002B2CF9AE}" pid="4" name="KSOTemplateDocerSaveRecord">
    <vt:lpwstr>eyJoZGlkIjoiNzlhOTgwOTkwMzg0YWU2N2FiNDViNWI2ZWExODdjZWEiLCJ1c2VySWQiOiI3MzMwODExMzgifQ==</vt:lpwstr>
  </property>
</Properties>
</file>