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260990">
      <w:pPr>
        <w:jc w:val="center"/>
        <w:rPr>
          <w:rFonts w:ascii="方正小标宋简体" w:hAnsi="华文中宋" w:eastAsia="方正小标宋简体" w:cs="华文中宋"/>
          <w:b/>
          <w:bCs/>
          <w:sz w:val="44"/>
          <w:szCs w:val="44"/>
        </w:rPr>
      </w:pPr>
    </w:p>
    <w:p w14:paraId="4018468A">
      <w:pPr>
        <w:jc w:val="center"/>
        <w:rPr>
          <w:rFonts w:ascii="方正小标宋简体" w:hAnsi="华文中宋" w:eastAsia="方正小标宋简体" w:cs="华文中宋"/>
          <w:b/>
          <w:bCs/>
          <w:sz w:val="44"/>
          <w:szCs w:val="44"/>
        </w:rPr>
      </w:pPr>
    </w:p>
    <w:p w14:paraId="66858F6B">
      <w:pPr>
        <w:jc w:val="center"/>
        <w:rPr>
          <w:rFonts w:ascii="方正小标宋简体" w:hAnsi="华文中宋" w:eastAsia="方正小标宋简体" w:cs="华文中宋"/>
          <w:b/>
          <w:bCs/>
          <w:sz w:val="44"/>
          <w:szCs w:val="44"/>
        </w:rPr>
      </w:pPr>
      <w:r>
        <w:rPr>
          <w:rFonts w:hint="eastAsia" w:ascii="方正小标宋简体" w:hAnsi="华文中宋" w:eastAsia="方正小标宋简体" w:cs="华文中宋"/>
          <w:b/>
          <w:bCs/>
          <w:sz w:val="44"/>
          <w:szCs w:val="44"/>
        </w:rPr>
        <w:t>阳江市国土空间生态修复规划</w:t>
      </w:r>
    </w:p>
    <w:p w14:paraId="73162898">
      <w:pPr>
        <w:jc w:val="center"/>
        <w:rPr>
          <w:rFonts w:ascii="方正小标宋简体" w:hAnsi="华文中宋" w:eastAsia="方正小标宋简体" w:cs="华文中宋"/>
          <w:b/>
          <w:bCs/>
          <w:sz w:val="44"/>
          <w:szCs w:val="44"/>
        </w:rPr>
      </w:pPr>
      <w:r>
        <w:rPr>
          <w:rFonts w:hint="eastAsia" w:ascii="方正小标宋简体" w:hAnsi="华文中宋" w:eastAsia="方正小标宋简体" w:cs="华文中宋"/>
          <w:b/>
          <w:bCs/>
          <w:sz w:val="44"/>
          <w:szCs w:val="44"/>
        </w:rPr>
        <w:t>（2022-2035年）</w:t>
      </w:r>
    </w:p>
    <w:p w14:paraId="05256EFC">
      <w:pPr>
        <w:jc w:val="center"/>
        <w:rPr>
          <w:rFonts w:ascii="华文中宋" w:hAnsi="华文中宋" w:eastAsia="华文中宋" w:cs="华文中宋"/>
          <w:b/>
          <w:bCs/>
          <w:sz w:val="32"/>
          <w:szCs w:val="40"/>
        </w:rPr>
      </w:pPr>
    </w:p>
    <w:p w14:paraId="39ADEE3F">
      <w:pPr>
        <w:jc w:val="center"/>
        <w:rPr>
          <w:rFonts w:ascii="华文中宋" w:hAnsi="华文中宋" w:eastAsia="华文中宋" w:cs="华文中宋"/>
          <w:b/>
          <w:bCs/>
          <w:sz w:val="32"/>
          <w:szCs w:val="40"/>
        </w:rPr>
      </w:pPr>
    </w:p>
    <w:p w14:paraId="18C2B71B">
      <w:pPr>
        <w:jc w:val="center"/>
        <w:rPr>
          <w:rFonts w:ascii="华文中宋" w:hAnsi="华文中宋" w:eastAsia="华文中宋" w:cs="华文中宋"/>
          <w:b/>
          <w:bCs/>
          <w:sz w:val="36"/>
          <w:szCs w:val="44"/>
        </w:rPr>
      </w:pPr>
      <w:r>
        <w:rPr>
          <w:rFonts w:hint="eastAsia" w:ascii="华文中宋" w:hAnsi="华文中宋" w:eastAsia="华文中宋" w:cs="华文中宋"/>
          <w:b/>
          <w:bCs/>
          <w:sz w:val="36"/>
          <w:szCs w:val="44"/>
        </w:rPr>
        <w:t>（公示稿）</w:t>
      </w:r>
    </w:p>
    <w:p w14:paraId="1BD4C93C">
      <w:pPr>
        <w:jc w:val="center"/>
        <w:rPr>
          <w:rFonts w:ascii="华文中宋" w:hAnsi="华文中宋" w:eastAsia="华文中宋" w:cs="华文中宋"/>
          <w:b/>
          <w:bCs/>
          <w:sz w:val="36"/>
          <w:szCs w:val="44"/>
        </w:rPr>
      </w:pPr>
    </w:p>
    <w:p w14:paraId="2805E664">
      <w:pPr>
        <w:jc w:val="center"/>
        <w:rPr>
          <w:rFonts w:ascii="华文中宋" w:hAnsi="华文中宋" w:eastAsia="华文中宋" w:cs="华文中宋"/>
          <w:b/>
          <w:bCs/>
          <w:sz w:val="36"/>
          <w:szCs w:val="44"/>
        </w:rPr>
      </w:pPr>
    </w:p>
    <w:p w14:paraId="730A5EFB">
      <w:pPr>
        <w:jc w:val="center"/>
        <w:rPr>
          <w:rFonts w:ascii="华文中宋" w:hAnsi="华文中宋" w:eastAsia="华文中宋" w:cs="华文中宋"/>
          <w:b/>
          <w:bCs/>
          <w:sz w:val="36"/>
          <w:szCs w:val="44"/>
        </w:rPr>
      </w:pPr>
    </w:p>
    <w:p w14:paraId="3551C5E4">
      <w:pPr>
        <w:jc w:val="center"/>
        <w:rPr>
          <w:rFonts w:ascii="华文中宋" w:hAnsi="华文中宋" w:eastAsia="华文中宋" w:cs="华文中宋"/>
          <w:b/>
          <w:bCs/>
          <w:sz w:val="36"/>
          <w:szCs w:val="44"/>
        </w:rPr>
      </w:pPr>
    </w:p>
    <w:p w14:paraId="5BD045A7">
      <w:pPr>
        <w:jc w:val="center"/>
        <w:rPr>
          <w:rFonts w:ascii="华文中宋" w:hAnsi="华文中宋" w:eastAsia="华文中宋" w:cs="华文中宋"/>
          <w:b/>
          <w:bCs/>
          <w:sz w:val="36"/>
          <w:szCs w:val="44"/>
        </w:rPr>
      </w:pPr>
    </w:p>
    <w:p w14:paraId="05B77416">
      <w:pPr>
        <w:jc w:val="center"/>
        <w:rPr>
          <w:rFonts w:ascii="华文中宋" w:hAnsi="华文中宋" w:eastAsia="华文中宋" w:cs="华文中宋"/>
          <w:b/>
          <w:bCs/>
          <w:sz w:val="36"/>
          <w:szCs w:val="44"/>
        </w:rPr>
      </w:pPr>
    </w:p>
    <w:p w14:paraId="0C86A14A">
      <w:pPr>
        <w:jc w:val="center"/>
        <w:rPr>
          <w:rFonts w:ascii="华文中宋" w:hAnsi="华文中宋" w:eastAsia="华文中宋" w:cs="华文中宋"/>
          <w:b/>
          <w:bCs/>
          <w:sz w:val="36"/>
          <w:szCs w:val="44"/>
        </w:rPr>
      </w:pPr>
    </w:p>
    <w:p w14:paraId="45E022AD">
      <w:pPr>
        <w:jc w:val="center"/>
        <w:rPr>
          <w:rFonts w:ascii="华文中宋" w:hAnsi="华文中宋" w:eastAsia="华文中宋" w:cs="华文中宋"/>
          <w:b/>
          <w:bCs/>
          <w:sz w:val="36"/>
          <w:szCs w:val="44"/>
        </w:rPr>
      </w:pPr>
    </w:p>
    <w:p w14:paraId="0699BB36">
      <w:pPr>
        <w:jc w:val="center"/>
        <w:rPr>
          <w:rFonts w:ascii="楷体" w:hAnsi="楷体" w:eastAsia="楷体" w:cs="华文中宋"/>
          <w:sz w:val="32"/>
          <w:szCs w:val="40"/>
        </w:rPr>
      </w:pPr>
      <w:r>
        <w:rPr>
          <w:rFonts w:hint="eastAsia" w:ascii="楷体" w:hAnsi="楷体" w:eastAsia="楷体" w:cs="华文中宋"/>
          <w:sz w:val="32"/>
          <w:szCs w:val="40"/>
        </w:rPr>
        <w:t>阳江市自然资源局</w:t>
      </w:r>
    </w:p>
    <w:p w14:paraId="44794C66">
      <w:pPr>
        <w:jc w:val="center"/>
        <w:rPr>
          <w:rFonts w:ascii="楷体" w:hAnsi="楷体" w:eastAsia="楷体" w:cs="华文中宋"/>
          <w:sz w:val="32"/>
          <w:szCs w:val="40"/>
        </w:rPr>
      </w:pPr>
      <w:r>
        <w:rPr>
          <w:rFonts w:hint="eastAsia" w:ascii="楷体" w:hAnsi="楷体" w:eastAsia="楷体" w:cs="华文中宋"/>
          <w:sz w:val="32"/>
          <w:szCs w:val="40"/>
        </w:rPr>
        <w:t>二零二五年一月</w:t>
      </w:r>
    </w:p>
    <w:p w14:paraId="5B036B88">
      <w:pPr>
        <w:widowControl/>
        <w:jc w:val="left"/>
        <w:rPr>
          <w:rFonts w:ascii="微软雅黑" w:hAnsi="微软雅黑" w:eastAsia="微软雅黑" w:cs="微软雅黑"/>
          <w:b/>
          <w:bCs/>
          <w:sz w:val="32"/>
          <w:szCs w:val="40"/>
        </w:rPr>
      </w:pPr>
      <w:r>
        <w:rPr>
          <w:rFonts w:ascii="微软雅黑" w:hAnsi="微软雅黑" w:eastAsia="微软雅黑" w:cs="微软雅黑"/>
          <w:b/>
          <w:bCs/>
          <w:sz w:val="32"/>
          <w:szCs w:val="40"/>
        </w:rPr>
        <w:br w:type="page"/>
      </w:r>
    </w:p>
    <w:p w14:paraId="268461E5">
      <w:pPr>
        <w:pStyle w:val="12"/>
        <w:jc w:val="center"/>
        <w:rPr>
          <w:rFonts w:ascii="微软雅黑" w:hAnsi="微软雅黑" w:eastAsia="微软雅黑" w:cs="微软雅黑"/>
          <w:bCs/>
          <w:szCs w:val="40"/>
        </w:rPr>
      </w:pPr>
      <w:r>
        <w:rPr>
          <w:rFonts w:hint="eastAsia" w:ascii="微软雅黑" w:hAnsi="微软雅黑" w:eastAsia="微软雅黑" w:cs="微软雅黑"/>
          <w:bCs/>
          <w:szCs w:val="40"/>
        </w:rPr>
        <w:t>目录</w:t>
      </w:r>
    </w:p>
    <w:p w14:paraId="1F70B013">
      <w:pPr>
        <w:pStyle w:val="12"/>
        <w:rPr>
          <w:rFonts w:eastAsiaTheme="minorEastAsia"/>
          <w:b w:val="0"/>
          <w:bCs/>
          <w:sz w:val="21"/>
          <w:szCs w:val="22"/>
        </w:rPr>
      </w:pPr>
      <w:r>
        <w:rPr>
          <w:rFonts w:ascii="微软雅黑" w:hAnsi="微软雅黑" w:eastAsia="微软雅黑" w:cs="微软雅黑"/>
          <w:b w:val="0"/>
          <w:bCs/>
          <w:szCs w:val="40"/>
        </w:rPr>
        <w:fldChar w:fldCharType="begin"/>
      </w:r>
      <w:r>
        <w:rPr>
          <w:rFonts w:ascii="微软雅黑" w:hAnsi="微软雅黑" w:eastAsia="微软雅黑" w:cs="微软雅黑"/>
          <w:b w:val="0"/>
          <w:bCs/>
          <w:szCs w:val="40"/>
        </w:rPr>
        <w:instrText xml:space="preserve"> TOC \o "1-2" \h \z \u </w:instrText>
      </w:r>
      <w:r>
        <w:rPr>
          <w:rFonts w:ascii="微软雅黑" w:hAnsi="微软雅黑" w:eastAsia="微软雅黑" w:cs="微软雅黑"/>
          <w:b w:val="0"/>
          <w:bCs/>
          <w:szCs w:val="40"/>
        </w:rPr>
        <w:fldChar w:fldCharType="separate"/>
      </w:r>
      <w:r>
        <w:fldChar w:fldCharType="begin"/>
      </w:r>
      <w:r>
        <w:instrText xml:space="preserve"> HYPERLINK \l "_Toc181820156" </w:instrText>
      </w:r>
      <w:r>
        <w:fldChar w:fldCharType="separate"/>
      </w:r>
      <w:r>
        <w:rPr>
          <w:rStyle w:val="20"/>
          <w:rFonts w:ascii="宋体" w:hAnsi="宋体" w:eastAsia="宋体" w:cs="方正小标宋简体"/>
          <w:b w:val="0"/>
          <w:bCs/>
        </w:rPr>
        <w:t>前 言</w:t>
      </w:r>
      <w:r>
        <w:rPr>
          <w:b w:val="0"/>
          <w:bCs/>
        </w:rPr>
        <w:tab/>
      </w:r>
      <w:r>
        <w:rPr>
          <w:b w:val="0"/>
          <w:bCs/>
        </w:rPr>
        <w:fldChar w:fldCharType="begin"/>
      </w:r>
      <w:r>
        <w:rPr>
          <w:b w:val="0"/>
          <w:bCs/>
        </w:rPr>
        <w:instrText xml:space="preserve"> PAGEREF _Toc181820156 \h </w:instrText>
      </w:r>
      <w:r>
        <w:rPr>
          <w:b w:val="0"/>
          <w:bCs/>
        </w:rPr>
        <w:fldChar w:fldCharType="separate"/>
      </w:r>
      <w:r>
        <w:rPr>
          <w:b w:val="0"/>
          <w:bCs/>
        </w:rPr>
        <w:t>1</w:t>
      </w:r>
      <w:r>
        <w:rPr>
          <w:b w:val="0"/>
          <w:bCs/>
        </w:rPr>
        <w:fldChar w:fldCharType="end"/>
      </w:r>
      <w:r>
        <w:rPr>
          <w:b w:val="0"/>
          <w:bCs/>
        </w:rPr>
        <w:fldChar w:fldCharType="end"/>
      </w:r>
    </w:p>
    <w:p w14:paraId="4415EFD7">
      <w:pPr>
        <w:pStyle w:val="12"/>
        <w:rPr>
          <w:rFonts w:eastAsiaTheme="minorEastAsia"/>
          <w:b w:val="0"/>
          <w:bCs/>
          <w:sz w:val="21"/>
          <w:szCs w:val="22"/>
        </w:rPr>
      </w:pPr>
      <w:r>
        <w:fldChar w:fldCharType="begin"/>
      </w:r>
      <w:r>
        <w:instrText xml:space="preserve"> HYPERLINK \l "_Toc181820157" </w:instrText>
      </w:r>
      <w:r>
        <w:fldChar w:fldCharType="separate"/>
      </w:r>
      <w:r>
        <w:rPr>
          <w:rStyle w:val="20"/>
          <w:rFonts w:ascii="宋体" w:hAnsi="宋体" w:eastAsia="宋体" w:cs="方正小标宋简体"/>
          <w:b w:val="0"/>
          <w:bCs/>
        </w:rPr>
        <w:t>第一章 现状与形势</w:t>
      </w:r>
      <w:r>
        <w:rPr>
          <w:b w:val="0"/>
          <w:bCs/>
        </w:rPr>
        <w:tab/>
      </w:r>
      <w:r>
        <w:rPr>
          <w:b w:val="0"/>
          <w:bCs/>
        </w:rPr>
        <w:fldChar w:fldCharType="begin"/>
      </w:r>
      <w:r>
        <w:rPr>
          <w:b w:val="0"/>
          <w:bCs/>
        </w:rPr>
        <w:instrText xml:space="preserve"> PAGEREF _Toc181820157 \h </w:instrText>
      </w:r>
      <w:r>
        <w:rPr>
          <w:b w:val="0"/>
          <w:bCs/>
        </w:rPr>
        <w:fldChar w:fldCharType="separate"/>
      </w:r>
      <w:r>
        <w:rPr>
          <w:b w:val="0"/>
          <w:bCs/>
        </w:rPr>
        <w:t>2</w:t>
      </w:r>
      <w:r>
        <w:rPr>
          <w:b w:val="0"/>
          <w:bCs/>
        </w:rPr>
        <w:fldChar w:fldCharType="end"/>
      </w:r>
      <w:r>
        <w:rPr>
          <w:b w:val="0"/>
          <w:bCs/>
        </w:rPr>
        <w:fldChar w:fldCharType="end"/>
      </w:r>
    </w:p>
    <w:p w14:paraId="6DF0878F">
      <w:pPr>
        <w:pStyle w:val="14"/>
        <w:rPr>
          <w:rFonts w:eastAsiaTheme="minorEastAsia"/>
          <w:bCs/>
          <w:sz w:val="21"/>
          <w:szCs w:val="22"/>
        </w:rPr>
      </w:pPr>
      <w:r>
        <w:fldChar w:fldCharType="begin"/>
      </w:r>
      <w:r>
        <w:instrText xml:space="preserve"> HYPERLINK \l "_Toc181820158" </w:instrText>
      </w:r>
      <w:r>
        <w:fldChar w:fldCharType="separate"/>
      </w:r>
      <w:r>
        <w:rPr>
          <w:rStyle w:val="20"/>
          <w:rFonts w:ascii="楷体" w:hAnsi="楷体"/>
          <w:bCs/>
        </w:rPr>
        <w:t>第一节 自然地理和生态现状</w:t>
      </w:r>
      <w:r>
        <w:rPr>
          <w:bCs/>
        </w:rPr>
        <w:tab/>
      </w:r>
      <w:r>
        <w:rPr>
          <w:bCs/>
        </w:rPr>
        <w:fldChar w:fldCharType="begin"/>
      </w:r>
      <w:r>
        <w:rPr>
          <w:bCs/>
        </w:rPr>
        <w:instrText xml:space="preserve"> PAGEREF _Toc181820158 \h </w:instrText>
      </w:r>
      <w:r>
        <w:rPr>
          <w:bCs/>
        </w:rPr>
        <w:fldChar w:fldCharType="separate"/>
      </w:r>
      <w:r>
        <w:rPr>
          <w:bCs/>
        </w:rPr>
        <w:t>2</w:t>
      </w:r>
      <w:r>
        <w:rPr>
          <w:bCs/>
        </w:rPr>
        <w:fldChar w:fldCharType="end"/>
      </w:r>
      <w:r>
        <w:rPr>
          <w:bCs/>
        </w:rPr>
        <w:fldChar w:fldCharType="end"/>
      </w:r>
    </w:p>
    <w:p w14:paraId="5AF72DAD">
      <w:pPr>
        <w:pStyle w:val="14"/>
        <w:rPr>
          <w:rFonts w:eastAsiaTheme="minorEastAsia"/>
          <w:bCs/>
          <w:sz w:val="21"/>
          <w:szCs w:val="22"/>
        </w:rPr>
      </w:pPr>
      <w:r>
        <w:fldChar w:fldCharType="begin"/>
      </w:r>
      <w:r>
        <w:instrText xml:space="preserve"> HYPERLINK \l "_Toc181820159" </w:instrText>
      </w:r>
      <w:r>
        <w:fldChar w:fldCharType="separate"/>
      </w:r>
      <w:r>
        <w:rPr>
          <w:rStyle w:val="20"/>
          <w:rFonts w:ascii="楷体" w:hAnsi="楷体"/>
          <w:bCs/>
        </w:rPr>
        <w:t>第二节 生态保护修复成效</w:t>
      </w:r>
      <w:r>
        <w:rPr>
          <w:bCs/>
        </w:rPr>
        <w:tab/>
      </w:r>
      <w:r>
        <w:rPr>
          <w:bCs/>
        </w:rPr>
        <w:fldChar w:fldCharType="begin"/>
      </w:r>
      <w:r>
        <w:rPr>
          <w:bCs/>
        </w:rPr>
        <w:instrText xml:space="preserve"> PAGEREF _Toc181820159 \h </w:instrText>
      </w:r>
      <w:r>
        <w:rPr>
          <w:bCs/>
        </w:rPr>
        <w:fldChar w:fldCharType="separate"/>
      </w:r>
      <w:r>
        <w:rPr>
          <w:bCs/>
        </w:rPr>
        <w:t>6</w:t>
      </w:r>
      <w:r>
        <w:rPr>
          <w:bCs/>
        </w:rPr>
        <w:fldChar w:fldCharType="end"/>
      </w:r>
      <w:r>
        <w:rPr>
          <w:bCs/>
        </w:rPr>
        <w:fldChar w:fldCharType="end"/>
      </w:r>
    </w:p>
    <w:p w14:paraId="17536A52">
      <w:pPr>
        <w:pStyle w:val="14"/>
        <w:rPr>
          <w:rFonts w:eastAsiaTheme="minorEastAsia"/>
          <w:bCs/>
          <w:sz w:val="21"/>
          <w:szCs w:val="22"/>
        </w:rPr>
      </w:pPr>
      <w:r>
        <w:fldChar w:fldCharType="begin"/>
      </w:r>
      <w:r>
        <w:instrText xml:space="preserve"> HYPERLINK \l "_Toc181820160" </w:instrText>
      </w:r>
      <w:r>
        <w:fldChar w:fldCharType="separate"/>
      </w:r>
      <w:r>
        <w:rPr>
          <w:rStyle w:val="20"/>
          <w:rFonts w:ascii="楷体" w:hAnsi="楷体"/>
          <w:bCs/>
        </w:rPr>
        <w:t>第三节 主要生态问题</w:t>
      </w:r>
      <w:r>
        <w:rPr>
          <w:bCs/>
        </w:rPr>
        <w:tab/>
      </w:r>
      <w:r>
        <w:rPr>
          <w:bCs/>
        </w:rPr>
        <w:fldChar w:fldCharType="begin"/>
      </w:r>
      <w:r>
        <w:rPr>
          <w:bCs/>
        </w:rPr>
        <w:instrText xml:space="preserve"> PAGEREF _Toc181820160 \h </w:instrText>
      </w:r>
      <w:r>
        <w:rPr>
          <w:bCs/>
        </w:rPr>
        <w:fldChar w:fldCharType="separate"/>
      </w:r>
      <w:r>
        <w:rPr>
          <w:bCs/>
        </w:rPr>
        <w:t>9</w:t>
      </w:r>
      <w:r>
        <w:rPr>
          <w:bCs/>
        </w:rPr>
        <w:fldChar w:fldCharType="end"/>
      </w:r>
      <w:r>
        <w:rPr>
          <w:bCs/>
        </w:rPr>
        <w:fldChar w:fldCharType="end"/>
      </w:r>
    </w:p>
    <w:p w14:paraId="43C591BB">
      <w:pPr>
        <w:pStyle w:val="14"/>
        <w:rPr>
          <w:rFonts w:eastAsiaTheme="minorEastAsia"/>
          <w:bCs/>
          <w:sz w:val="21"/>
          <w:szCs w:val="22"/>
        </w:rPr>
      </w:pPr>
      <w:r>
        <w:fldChar w:fldCharType="begin"/>
      </w:r>
      <w:r>
        <w:instrText xml:space="preserve"> HYPERLINK \l "_Toc181820161" </w:instrText>
      </w:r>
      <w:r>
        <w:fldChar w:fldCharType="separate"/>
      </w:r>
      <w:r>
        <w:rPr>
          <w:rStyle w:val="20"/>
          <w:rFonts w:ascii="楷体" w:hAnsi="楷体"/>
          <w:bCs/>
        </w:rPr>
        <w:t>第四节 机遇与挑战</w:t>
      </w:r>
      <w:r>
        <w:rPr>
          <w:bCs/>
        </w:rPr>
        <w:tab/>
      </w:r>
      <w:r>
        <w:rPr>
          <w:bCs/>
        </w:rPr>
        <w:fldChar w:fldCharType="begin"/>
      </w:r>
      <w:r>
        <w:rPr>
          <w:bCs/>
        </w:rPr>
        <w:instrText xml:space="preserve"> PAGEREF _Toc181820161 \h </w:instrText>
      </w:r>
      <w:r>
        <w:rPr>
          <w:bCs/>
        </w:rPr>
        <w:fldChar w:fldCharType="separate"/>
      </w:r>
      <w:r>
        <w:rPr>
          <w:bCs/>
        </w:rPr>
        <w:t>17</w:t>
      </w:r>
      <w:r>
        <w:rPr>
          <w:bCs/>
        </w:rPr>
        <w:fldChar w:fldCharType="end"/>
      </w:r>
      <w:r>
        <w:rPr>
          <w:bCs/>
        </w:rPr>
        <w:fldChar w:fldCharType="end"/>
      </w:r>
    </w:p>
    <w:p w14:paraId="06CF5418">
      <w:pPr>
        <w:pStyle w:val="12"/>
        <w:rPr>
          <w:rFonts w:eastAsiaTheme="minorEastAsia"/>
          <w:b w:val="0"/>
          <w:bCs/>
          <w:sz w:val="21"/>
          <w:szCs w:val="22"/>
        </w:rPr>
      </w:pPr>
      <w:r>
        <w:fldChar w:fldCharType="begin"/>
      </w:r>
      <w:r>
        <w:instrText xml:space="preserve"> HYPERLINK \l "_Toc181820162" </w:instrText>
      </w:r>
      <w:r>
        <w:fldChar w:fldCharType="separate"/>
      </w:r>
      <w:r>
        <w:rPr>
          <w:rStyle w:val="20"/>
          <w:rFonts w:ascii="宋体" w:hAnsi="宋体" w:eastAsia="宋体" w:cs="方正小标宋简体"/>
          <w:b w:val="0"/>
          <w:bCs/>
        </w:rPr>
        <w:t>第二章 总体要求与规划目标</w:t>
      </w:r>
      <w:r>
        <w:rPr>
          <w:b w:val="0"/>
          <w:bCs/>
        </w:rPr>
        <w:tab/>
      </w:r>
      <w:r>
        <w:rPr>
          <w:b w:val="0"/>
          <w:bCs/>
        </w:rPr>
        <w:fldChar w:fldCharType="begin"/>
      </w:r>
      <w:r>
        <w:rPr>
          <w:b w:val="0"/>
          <w:bCs/>
        </w:rPr>
        <w:instrText xml:space="preserve"> PAGEREF _Toc181820162 \h </w:instrText>
      </w:r>
      <w:r>
        <w:rPr>
          <w:b w:val="0"/>
          <w:bCs/>
        </w:rPr>
        <w:fldChar w:fldCharType="separate"/>
      </w:r>
      <w:r>
        <w:rPr>
          <w:b w:val="0"/>
          <w:bCs/>
        </w:rPr>
        <w:t>19</w:t>
      </w:r>
      <w:r>
        <w:rPr>
          <w:b w:val="0"/>
          <w:bCs/>
        </w:rPr>
        <w:fldChar w:fldCharType="end"/>
      </w:r>
      <w:r>
        <w:rPr>
          <w:b w:val="0"/>
          <w:bCs/>
        </w:rPr>
        <w:fldChar w:fldCharType="end"/>
      </w:r>
    </w:p>
    <w:p w14:paraId="4AB4E193">
      <w:pPr>
        <w:pStyle w:val="14"/>
        <w:rPr>
          <w:rFonts w:eastAsiaTheme="minorEastAsia"/>
          <w:bCs/>
          <w:sz w:val="21"/>
          <w:szCs w:val="22"/>
        </w:rPr>
      </w:pPr>
      <w:r>
        <w:fldChar w:fldCharType="begin"/>
      </w:r>
      <w:r>
        <w:instrText xml:space="preserve"> HYPERLINK \l "_Toc181820163" </w:instrText>
      </w:r>
      <w:r>
        <w:fldChar w:fldCharType="separate"/>
      </w:r>
      <w:r>
        <w:rPr>
          <w:rStyle w:val="20"/>
          <w:rFonts w:ascii="楷体" w:hAnsi="楷体"/>
          <w:bCs/>
        </w:rPr>
        <w:t>第一节 指导思想</w:t>
      </w:r>
      <w:r>
        <w:rPr>
          <w:bCs/>
        </w:rPr>
        <w:tab/>
      </w:r>
      <w:r>
        <w:rPr>
          <w:bCs/>
        </w:rPr>
        <w:fldChar w:fldCharType="begin"/>
      </w:r>
      <w:r>
        <w:rPr>
          <w:bCs/>
        </w:rPr>
        <w:instrText xml:space="preserve"> PAGEREF _Toc181820163 \h </w:instrText>
      </w:r>
      <w:r>
        <w:rPr>
          <w:bCs/>
        </w:rPr>
        <w:fldChar w:fldCharType="separate"/>
      </w:r>
      <w:r>
        <w:rPr>
          <w:bCs/>
        </w:rPr>
        <w:t>19</w:t>
      </w:r>
      <w:r>
        <w:rPr>
          <w:bCs/>
        </w:rPr>
        <w:fldChar w:fldCharType="end"/>
      </w:r>
      <w:r>
        <w:rPr>
          <w:bCs/>
        </w:rPr>
        <w:fldChar w:fldCharType="end"/>
      </w:r>
    </w:p>
    <w:p w14:paraId="5616F000">
      <w:pPr>
        <w:pStyle w:val="14"/>
        <w:rPr>
          <w:rFonts w:eastAsiaTheme="minorEastAsia"/>
          <w:bCs/>
          <w:sz w:val="21"/>
          <w:szCs w:val="22"/>
        </w:rPr>
      </w:pPr>
      <w:r>
        <w:fldChar w:fldCharType="begin"/>
      </w:r>
      <w:r>
        <w:instrText xml:space="preserve"> HYPERLINK \l "_Toc181820164" </w:instrText>
      </w:r>
      <w:r>
        <w:fldChar w:fldCharType="separate"/>
      </w:r>
      <w:r>
        <w:rPr>
          <w:rStyle w:val="20"/>
          <w:rFonts w:ascii="楷体" w:hAnsi="楷体"/>
          <w:bCs/>
        </w:rPr>
        <w:t>第二节 基本原则</w:t>
      </w:r>
      <w:r>
        <w:rPr>
          <w:bCs/>
        </w:rPr>
        <w:tab/>
      </w:r>
      <w:r>
        <w:rPr>
          <w:bCs/>
        </w:rPr>
        <w:fldChar w:fldCharType="begin"/>
      </w:r>
      <w:r>
        <w:rPr>
          <w:bCs/>
        </w:rPr>
        <w:instrText xml:space="preserve"> PAGEREF _Toc181820164 \h </w:instrText>
      </w:r>
      <w:r>
        <w:rPr>
          <w:bCs/>
        </w:rPr>
        <w:fldChar w:fldCharType="separate"/>
      </w:r>
      <w:r>
        <w:rPr>
          <w:bCs/>
        </w:rPr>
        <w:t>19</w:t>
      </w:r>
      <w:r>
        <w:rPr>
          <w:bCs/>
        </w:rPr>
        <w:fldChar w:fldCharType="end"/>
      </w:r>
      <w:r>
        <w:rPr>
          <w:bCs/>
        </w:rPr>
        <w:fldChar w:fldCharType="end"/>
      </w:r>
    </w:p>
    <w:p w14:paraId="530217F7">
      <w:pPr>
        <w:pStyle w:val="14"/>
        <w:rPr>
          <w:rFonts w:eastAsiaTheme="minorEastAsia"/>
          <w:bCs/>
          <w:sz w:val="21"/>
          <w:szCs w:val="22"/>
        </w:rPr>
      </w:pPr>
      <w:r>
        <w:fldChar w:fldCharType="begin"/>
      </w:r>
      <w:r>
        <w:instrText xml:space="preserve"> HYPERLINK \l "_Toc181820165" </w:instrText>
      </w:r>
      <w:r>
        <w:fldChar w:fldCharType="separate"/>
      </w:r>
      <w:r>
        <w:rPr>
          <w:rStyle w:val="20"/>
          <w:rFonts w:ascii="楷体" w:hAnsi="楷体"/>
          <w:bCs/>
        </w:rPr>
        <w:t>第三节 规划目标</w:t>
      </w:r>
      <w:r>
        <w:rPr>
          <w:bCs/>
        </w:rPr>
        <w:tab/>
      </w:r>
      <w:r>
        <w:rPr>
          <w:bCs/>
        </w:rPr>
        <w:fldChar w:fldCharType="begin"/>
      </w:r>
      <w:r>
        <w:rPr>
          <w:bCs/>
        </w:rPr>
        <w:instrText xml:space="preserve"> PAGEREF _Toc181820165 \h </w:instrText>
      </w:r>
      <w:r>
        <w:rPr>
          <w:bCs/>
        </w:rPr>
        <w:fldChar w:fldCharType="separate"/>
      </w:r>
      <w:r>
        <w:rPr>
          <w:bCs/>
        </w:rPr>
        <w:t>20</w:t>
      </w:r>
      <w:r>
        <w:rPr>
          <w:bCs/>
        </w:rPr>
        <w:fldChar w:fldCharType="end"/>
      </w:r>
      <w:r>
        <w:rPr>
          <w:bCs/>
        </w:rPr>
        <w:fldChar w:fldCharType="end"/>
      </w:r>
    </w:p>
    <w:p w14:paraId="3457B385">
      <w:pPr>
        <w:pStyle w:val="14"/>
        <w:rPr>
          <w:rFonts w:eastAsiaTheme="minorEastAsia"/>
          <w:bCs/>
          <w:sz w:val="21"/>
          <w:szCs w:val="22"/>
        </w:rPr>
      </w:pPr>
      <w:r>
        <w:fldChar w:fldCharType="begin"/>
      </w:r>
      <w:r>
        <w:instrText xml:space="preserve"> HYPERLINK \l "_Toc181820166" </w:instrText>
      </w:r>
      <w:r>
        <w:fldChar w:fldCharType="separate"/>
      </w:r>
      <w:r>
        <w:rPr>
          <w:rStyle w:val="20"/>
          <w:rFonts w:ascii="楷体" w:hAnsi="楷体"/>
          <w:bCs/>
        </w:rPr>
        <w:t>第四节 指标体系</w:t>
      </w:r>
      <w:r>
        <w:rPr>
          <w:bCs/>
        </w:rPr>
        <w:tab/>
      </w:r>
      <w:r>
        <w:rPr>
          <w:bCs/>
        </w:rPr>
        <w:fldChar w:fldCharType="begin"/>
      </w:r>
      <w:r>
        <w:rPr>
          <w:bCs/>
        </w:rPr>
        <w:instrText xml:space="preserve"> PAGEREF _Toc181820166 \h </w:instrText>
      </w:r>
      <w:r>
        <w:rPr>
          <w:bCs/>
        </w:rPr>
        <w:fldChar w:fldCharType="separate"/>
      </w:r>
      <w:r>
        <w:rPr>
          <w:bCs/>
        </w:rPr>
        <w:t>21</w:t>
      </w:r>
      <w:r>
        <w:rPr>
          <w:bCs/>
        </w:rPr>
        <w:fldChar w:fldCharType="end"/>
      </w:r>
      <w:r>
        <w:rPr>
          <w:bCs/>
        </w:rPr>
        <w:fldChar w:fldCharType="end"/>
      </w:r>
    </w:p>
    <w:p w14:paraId="11ED8EBB">
      <w:pPr>
        <w:pStyle w:val="12"/>
        <w:rPr>
          <w:rFonts w:eastAsiaTheme="minorEastAsia"/>
          <w:b w:val="0"/>
          <w:bCs/>
          <w:sz w:val="21"/>
          <w:szCs w:val="22"/>
        </w:rPr>
      </w:pPr>
      <w:r>
        <w:fldChar w:fldCharType="begin"/>
      </w:r>
      <w:r>
        <w:instrText xml:space="preserve"> HYPERLINK \l "_Toc181820167" </w:instrText>
      </w:r>
      <w:r>
        <w:fldChar w:fldCharType="separate"/>
      </w:r>
      <w:r>
        <w:rPr>
          <w:rStyle w:val="20"/>
          <w:rFonts w:ascii="宋体" w:hAnsi="宋体" w:eastAsia="宋体" w:cs="方正小标宋简体"/>
          <w:b w:val="0"/>
          <w:bCs/>
        </w:rPr>
        <w:t>第三章 国土空间生态修复格局与重点区域</w:t>
      </w:r>
      <w:r>
        <w:rPr>
          <w:b w:val="0"/>
          <w:bCs/>
        </w:rPr>
        <w:tab/>
      </w:r>
      <w:r>
        <w:rPr>
          <w:b w:val="0"/>
          <w:bCs/>
        </w:rPr>
        <w:fldChar w:fldCharType="begin"/>
      </w:r>
      <w:r>
        <w:rPr>
          <w:b w:val="0"/>
          <w:bCs/>
        </w:rPr>
        <w:instrText xml:space="preserve"> PAGEREF _Toc181820167 \h </w:instrText>
      </w:r>
      <w:r>
        <w:rPr>
          <w:b w:val="0"/>
          <w:bCs/>
        </w:rPr>
        <w:fldChar w:fldCharType="separate"/>
      </w:r>
      <w:r>
        <w:rPr>
          <w:b w:val="0"/>
          <w:bCs/>
        </w:rPr>
        <w:t>23</w:t>
      </w:r>
      <w:r>
        <w:rPr>
          <w:b w:val="0"/>
          <w:bCs/>
        </w:rPr>
        <w:fldChar w:fldCharType="end"/>
      </w:r>
      <w:r>
        <w:rPr>
          <w:b w:val="0"/>
          <w:bCs/>
        </w:rPr>
        <w:fldChar w:fldCharType="end"/>
      </w:r>
    </w:p>
    <w:p w14:paraId="6D591626">
      <w:pPr>
        <w:pStyle w:val="14"/>
        <w:rPr>
          <w:rFonts w:eastAsiaTheme="minorEastAsia"/>
          <w:bCs/>
          <w:sz w:val="21"/>
          <w:szCs w:val="22"/>
        </w:rPr>
      </w:pPr>
      <w:r>
        <w:fldChar w:fldCharType="begin"/>
      </w:r>
      <w:r>
        <w:instrText xml:space="preserve"> HYPERLINK \l "_Toc181820168" </w:instrText>
      </w:r>
      <w:r>
        <w:fldChar w:fldCharType="separate"/>
      </w:r>
      <w:r>
        <w:rPr>
          <w:rStyle w:val="20"/>
          <w:rFonts w:ascii="楷体" w:hAnsi="楷体"/>
          <w:bCs/>
        </w:rPr>
        <w:t>第一节 国土空间生态修复总体格局</w:t>
      </w:r>
      <w:r>
        <w:rPr>
          <w:bCs/>
        </w:rPr>
        <w:tab/>
      </w:r>
      <w:r>
        <w:rPr>
          <w:bCs/>
        </w:rPr>
        <w:fldChar w:fldCharType="begin"/>
      </w:r>
      <w:r>
        <w:rPr>
          <w:bCs/>
        </w:rPr>
        <w:instrText xml:space="preserve"> PAGEREF _Toc181820168 \h </w:instrText>
      </w:r>
      <w:r>
        <w:rPr>
          <w:bCs/>
        </w:rPr>
        <w:fldChar w:fldCharType="separate"/>
      </w:r>
      <w:r>
        <w:rPr>
          <w:bCs/>
        </w:rPr>
        <w:t>23</w:t>
      </w:r>
      <w:r>
        <w:rPr>
          <w:bCs/>
        </w:rPr>
        <w:fldChar w:fldCharType="end"/>
      </w:r>
      <w:r>
        <w:rPr>
          <w:bCs/>
        </w:rPr>
        <w:fldChar w:fldCharType="end"/>
      </w:r>
    </w:p>
    <w:p w14:paraId="5A04CD30">
      <w:pPr>
        <w:pStyle w:val="14"/>
        <w:rPr>
          <w:rFonts w:eastAsiaTheme="minorEastAsia"/>
          <w:bCs/>
          <w:sz w:val="21"/>
          <w:szCs w:val="22"/>
        </w:rPr>
      </w:pPr>
      <w:r>
        <w:fldChar w:fldCharType="begin"/>
      </w:r>
      <w:r>
        <w:instrText xml:space="preserve"> HYPERLINK \l "_Toc181820169" </w:instrText>
      </w:r>
      <w:r>
        <w:fldChar w:fldCharType="separate"/>
      </w:r>
      <w:r>
        <w:rPr>
          <w:rStyle w:val="20"/>
          <w:rFonts w:ascii="楷体" w:hAnsi="楷体"/>
          <w:bCs/>
        </w:rPr>
        <w:t>第二节 国土空间生态修复分区</w:t>
      </w:r>
      <w:r>
        <w:rPr>
          <w:bCs/>
        </w:rPr>
        <w:tab/>
      </w:r>
      <w:r>
        <w:rPr>
          <w:bCs/>
        </w:rPr>
        <w:fldChar w:fldCharType="begin"/>
      </w:r>
      <w:r>
        <w:rPr>
          <w:bCs/>
        </w:rPr>
        <w:instrText xml:space="preserve"> PAGEREF _Toc181820169 \h </w:instrText>
      </w:r>
      <w:r>
        <w:rPr>
          <w:bCs/>
        </w:rPr>
        <w:fldChar w:fldCharType="separate"/>
      </w:r>
      <w:r>
        <w:rPr>
          <w:bCs/>
        </w:rPr>
        <w:t>24</w:t>
      </w:r>
      <w:r>
        <w:rPr>
          <w:bCs/>
        </w:rPr>
        <w:fldChar w:fldCharType="end"/>
      </w:r>
      <w:r>
        <w:rPr>
          <w:bCs/>
        </w:rPr>
        <w:fldChar w:fldCharType="end"/>
      </w:r>
    </w:p>
    <w:p w14:paraId="1A98B9F6">
      <w:pPr>
        <w:pStyle w:val="14"/>
        <w:rPr>
          <w:rFonts w:eastAsiaTheme="minorEastAsia"/>
          <w:bCs/>
          <w:sz w:val="21"/>
          <w:szCs w:val="22"/>
        </w:rPr>
      </w:pPr>
      <w:r>
        <w:fldChar w:fldCharType="begin"/>
      </w:r>
      <w:r>
        <w:instrText xml:space="preserve"> HYPERLINK \l "_Toc181820170" </w:instrText>
      </w:r>
      <w:r>
        <w:fldChar w:fldCharType="separate"/>
      </w:r>
      <w:r>
        <w:rPr>
          <w:rStyle w:val="20"/>
          <w:rFonts w:ascii="楷体" w:hAnsi="楷体"/>
          <w:bCs/>
        </w:rPr>
        <w:t>第三节 生态保护修复主要任务</w:t>
      </w:r>
      <w:r>
        <w:rPr>
          <w:bCs/>
        </w:rPr>
        <w:tab/>
      </w:r>
      <w:r>
        <w:rPr>
          <w:bCs/>
        </w:rPr>
        <w:fldChar w:fldCharType="begin"/>
      </w:r>
      <w:r>
        <w:rPr>
          <w:bCs/>
        </w:rPr>
        <w:instrText xml:space="preserve"> PAGEREF _Toc181820170 \h </w:instrText>
      </w:r>
      <w:r>
        <w:rPr>
          <w:bCs/>
        </w:rPr>
        <w:fldChar w:fldCharType="separate"/>
      </w:r>
      <w:r>
        <w:rPr>
          <w:bCs/>
        </w:rPr>
        <w:t>31</w:t>
      </w:r>
      <w:r>
        <w:rPr>
          <w:bCs/>
        </w:rPr>
        <w:fldChar w:fldCharType="end"/>
      </w:r>
      <w:r>
        <w:rPr>
          <w:bCs/>
        </w:rPr>
        <w:fldChar w:fldCharType="end"/>
      </w:r>
    </w:p>
    <w:p w14:paraId="66D3F34E">
      <w:pPr>
        <w:pStyle w:val="12"/>
        <w:rPr>
          <w:rFonts w:eastAsiaTheme="minorEastAsia"/>
          <w:b w:val="0"/>
          <w:bCs/>
          <w:sz w:val="21"/>
          <w:szCs w:val="22"/>
        </w:rPr>
      </w:pPr>
      <w:r>
        <w:fldChar w:fldCharType="begin"/>
      </w:r>
      <w:r>
        <w:instrText xml:space="preserve"> HYPERLINK \l "_Toc181820171" </w:instrText>
      </w:r>
      <w:r>
        <w:fldChar w:fldCharType="separate"/>
      </w:r>
      <w:r>
        <w:rPr>
          <w:rStyle w:val="20"/>
          <w:rFonts w:ascii="宋体" w:hAnsi="宋体" w:eastAsia="宋体" w:cs="方正小标宋简体"/>
          <w:b w:val="0"/>
          <w:bCs/>
        </w:rPr>
        <w:t>第四章 推进重要生态空间保护修复</w:t>
      </w:r>
      <w:r>
        <w:rPr>
          <w:b w:val="0"/>
          <w:bCs/>
        </w:rPr>
        <w:tab/>
      </w:r>
      <w:r>
        <w:rPr>
          <w:b w:val="0"/>
          <w:bCs/>
        </w:rPr>
        <w:fldChar w:fldCharType="begin"/>
      </w:r>
      <w:r>
        <w:rPr>
          <w:b w:val="0"/>
          <w:bCs/>
        </w:rPr>
        <w:instrText xml:space="preserve"> PAGEREF _Toc181820171 \h </w:instrText>
      </w:r>
      <w:r>
        <w:rPr>
          <w:b w:val="0"/>
          <w:bCs/>
        </w:rPr>
        <w:fldChar w:fldCharType="separate"/>
      </w:r>
      <w:r>
        <w:rPr>
          <w:b w:val="0"/>
          <w:bCs/>
        </w:rPr>
        <w:t>34</w:t>
      </w:r>
      <w:r>
        <w:rPr>
          <w:b w:val="0"/>
          <w:bCs/>
        </w:rPr>
        <w:fldChar w:fldCharType="end"/>
      </w:r>
      <w:r>
        <w:rPr>
          <w:b w:val="0"/>
          <w:bCs/>
        </w:rPr>
        <w:fldChar w:fldCharType="end"/>
      </w:r>
    </w:p>
    <w:p w14:paraId="4720863B">
      <w:pPr>
        <w:pStyle w:val="14"/>
        <w:rPr>
          <w:rFonts w:eastAsiaTheme="minorEastAsia"/>
          <w:bCs/>
          <w:sz w:val="21"/>
          <w:szCs w:val="22"/>
        </w:rPr>
      </w:pPr>
      <w:r>
        <w:fldChar w:fldCharType="begin"/>
      </w:r>
      <w:r>
        <w:instrText xml:space="preserve"> HYPERLINK \l "_Toc181820172" </w:instrText>
      </w:r>
      <w:r>
        <w:fldChar w:fldCharType="separate"/>
      </w:r>
      <w:r>
        <w:rPr>
          <w:rStyle w:val="20"/>
          <w:rFonts w:ascii="楷体" w:hAnsi="楷体"/>
          <w:bCs/>
        </w:rPr>
        <w:t>第一节 北部绿色山林生态屏障保护和修复</w:t>
      </w:r>
      <w:r>
        <w:rPr>
          <w:bCs/>
        </w:rPr>
        <w:tab/>
      </w:r>
      <w:r>
        <w:rPr>
          <w:bCs/>
        </w:rPr>
        <w:fldChar w:fldCharType="begin"/>
      </w:r>
      <w:r>
        <w:rPr>
          <w:bCs/>
        </w:rPr>
        <w:instrText xml:space="preserve"> PAGEREF _Toc181820172 \h </w:instrText>
      </w:r>
      <w:r>
        <w:rPr>
          <w:bCs/>
        </w:rPr>
        <w:fldChar w:fldCharType="separate"/>
      </w:r>
      <w:r>
        <w:rPr>
          <w:bCs/>
        </w:rPr>
        <w:t>34</w:t>
      </w:r>
      <w:r>
        <w:rPr>
          <w:bCs/>
        </w:rPr>
        <w:fldChar w:fldCharType="end"/>
      </w:r>
      <w:r>
        <w:rPr>
          <w:bCs/>
        </w:rPr>
        <w:fldChar w:fldCharType="end"/>
      </w:r>
    </w:p>
    <w:p w14:paraId="6A142BE4">
      <w:pPr>
        <w:pStyle w:val="14"/>
        <w:rPr>
          <w:rFonts w:eastAsiaTheme="minorEastAsia"/>
          <w:bCs/>
          <w:sz w:val="21"/>
          <w:szCs w:val="22"/>
        </w:rPr>
      </w:pPr>
      <w:r>
        <w:fldChar w:fldCharType="begin"/>
      </w:r>
      <w:r>
        <w:instrText xml:space="preserve"> HYPERLINK \l "_Toc181820173" </w:instrText>
      </w:r>
      <w:r>
        <w:fldChar w:fldCharType="separate"/>
      </w:r>
      <w:r>
        <w:rPr>
          <w:rStyle w:val="20"/>
          <w:rFonts w:ascii="楷体" w:hAnsi="楷体"/>
          <w:bCs/>
        </w:rPr>
        <w:t>第二节 南部蓝色海洋生态屏障保护和修复</w:t>
      </w:r>
      <w:r>
        <w:rPr>
          <w:bCs/>
        </w:rPr>
        <w:tab/>
      </w:r>
      <w:r>
        <w:rPr>
          <w:bCs/>
        </w:rPr>
        <w:fldChar w:fldCharType="begin"/>
      </w:r>
      <w:r>
        <w:rPr>
          <w:bCs/>
        </w:rPr>
        <w:instrText xml:space="preserve"> PAGEREF _Toc181820173 \h </w:instrText>
      </w:r>
      <w:r>
        <w:rPr>
          <w:bCs/>
        </w:rPr>
        <w:fldChar w:fldCharType="separate"/>
      </w:r>
      <w:r>
        <w:rPr>
          <w:bCs/>
        </w:rPr>
        <w:t>35</w:t>
      </w:r>
      <w:r>
        <w:rPr>
          <w:bCs/>
        </w:rPr>
        <w:fldChar w:fldCharType="end"/>
      </w:r>
      <w:r>
        <w:rPr>
          <w:bCs/>
        </w:rPr>
        <w:fldChar w:fldCharType="end"/>
      </w:r>
    </w:p>
    <w:p w14:paraId="4A104315">
      <w:pPr>
        <w:pStyle w:val="14"/>
        <w:rPr>
          <w:rFonts w:eastAsiaTheme="minorEastAsia"/>
          <w:bCs/>
          <w:sz w:val="21"/>
          <w:szCs w:val="22"/>
        </w:rPr>
      </w:pPr>
      <w:r>
        <w:fldChar w:fldCharType="begin"/>
      </w:r>
      <w:r>
        <w:instrText xml:space="preserve"> HYPERLINK \l "_Toc181820174" </w:instrText>
      </w:r>
      <w:r>
        <w:fldChar w:fldCharType="separate"/>
      </w:r>
      <w:r>
        <w:rPr>
          <w:rStyle w:val="20"/>
          <w:rFonts w:ascii="楷体" w:hAnsi="楷体"/>
          <w:bCs/>
        </w:rPr>
        <w:t>第三节 漠阳江生态廊道保护和修复</w:t>
      </w:r>
      <w:r>
        <w:rPr>
          <w:bCs/>
        </w:rPr>
        <w:tab/>
      </w:r>
      <w:r>
        <w:rPr>
          <w:bCs/>
        </w:rPr>
        <w:fldChar w:fldCharType="begin"/>
      </w:r>
      <w:r>
        <w:rPr>
          <w:bCs/>
        </w:rPr>
        <w:instrText xml:space="preserve"> PAGEREF _Toc181820174 \h </w:instrText>
      </w:r>
      <w:r>
        <w:rPr>
          <w:bCs/>
        </w:rPr>
        <w:fldChar w:fldCharType="separate"/>
      </w:r>
      <w:r>
        <w:rPr>
          <w:bCs/>
        </w:rPr>
        <w:t>37</w:t>
      </w:r>
      <w:r>
        <w:rPr>
          <w:bCs/>
        </w:rPr>
        <w:fldChar w:fldCharType="end"/>
      </w:r>
      <w:r>
        <w:rPr>
          <w:bCs/>
        </w:rPr>
        <w:fldChar w:fldCharType="end"/>
      </w:r>
    </w:p>
    <w:p w14:paraId="2B433217">
      <w:pPr>
        <w:pStyle w:val="12"/>
        <w:rPr>
          <w:rFonts w:eastAsiaTheme="minorEastAsia"/>
          <w:b w:val="0"/>
          <w:bCs/>
          <w:sz w:val="21"/>
          <w:szCs w:val="22"/>
        </w:rPr>
      </w:pPr>
      <w:r>
        <w:fldChar w:fldCharType="begin"/>
      </w:r>
      <w:r>
        <w:instrText xml:space="preserve"> HYPERLINK \l "_Toc181820175" </w:instrText>
      </w:r>
      <w:r>
        <w:fldChar w:fldCharType="separate"/>
      </w:r>
      <w:r>
        <w:rPr>
          <w:rStyle w:val="20"/>
          <w:rFonts w:ascii="宋体" w:hAnsi="宋体" w:eastAsia="宋体" w:cs="方正小标宋简体"/>
          <w:b w:val="0"/>
          <w:bCs/>
        </w:rPr>
        <w:t>第五章 统筹农业空间保护修复</w:t>
      </w:r>
      <w:r>
        <w:rPr>
          <w:b w:val="0"/>
          <w:bCs/>
        </w:rPr>
        <w:tab/>
      </w:r>
      <w:r>
        <w:rPr>
          <w:b w:val="0"/>
          <w:bCs/>
        </w:rPr>
        <w:fldChar w:fldCharType="begin"/>
      </w:r>
      <w:r>
        <w:rPr>
          <w:b w:val="0"/>
          <w:bCs/>
        </w:rPr>
        <w:instrText xml:space="preserve"> PAGEREF _Toc181820175 \h </w:instrText>
      </w:r>
      <w:r>
        <w:rPr>
          <w:b w:val="0"/>
          <w:bCs/>
        </w:rPr>
        <w:fldChar w:fldCharType="separate"/>
      </w:r>
      <w:r>
        <w:rPr>
          <w:b w:val="0"/>
          <w:bCs/>
        </w:rPr>
        <w:t>39</w:t>
      </w:r>
      <w:r>
        <w:rPr>
          <w:b w:val="0"/>
          <w:bCs/>
        </w:rPr>
        <w:fldChar w:fldCharType="end"/>
      </w:r>
      <w:r>
        <w:rPr>
          <w:b w:val="0"/>
          <w:bCs/>
        </w:rPr>
        <w:fldChar w:fldCharType="end"/>
      </w:r>
    </w:p>
    <w:p w14:paraId="0F4148F3">
      <w:pPr>
        <w:pStyle w:val="14"/>
        <w:rPr>
          <w:rFonts w:eastAsiaTheme="minorEastAsia"/>
          <w:bCs/>
          <w:sz w:val="21"/>
          <w:szCs w:val="22"/>
        </w:rPr>
      </w:pPr>
      <w:r>
        <w:fldChar w:fldCharType="begin"/>
      </w:r>
      <w:r>
        <w:instrText xml:space="preserve"> HYPERLINK \l "_Toc181820176" </w:instrText>
      </w:r>
      <w:r>
        <w:fldChar w:fldCharType="separate"/>
      </w:r>
      <w:r>
        <w:rPr>
          <w:rStyle w:val="20"/>
          <w:rFonts w:ascii="楷体" w:hAnsi="楷体"/>
          <w:bCs/>
        </w:rPr>
        <w:t>第一节 保护修复农业生产空间</w:t>
      </w:r>
      <w:r>
        <w:rPr>
          <w:bCs/>
        </w:rPr>
        <w:tab/>
      </w:r>
      <w:r>
        <w:rPr>
          <w:bCs/>
        </w:rPr>
        <w:fldChar w:fldCharType="begin"/>
      </w:r>
      <w:r>
        <w:rPr>
          <w:bCs/>
        </w:rPr>
        <w:instrText xml:space="preserve"> PAGEREF _Toc181820176 \h </w:instrText>
      </w:r>
      <w:r>
        <w:rPr>
          <w:bCs/>
        </w:rPr>
        <w:fldChar w:fldCharType="separate"/>
      </w:r>
      <w:r>
        <w:rPr>
          <w:bCs/>
        </w:rPr>
        <w:t>39</w:t>
      </w:r>
      <w:r>
        <w:rPr>
          <w:bCs/>
        </w:rPr>
        <w:fldChar w:fldCharType="end"/>
      </w:r>
      <w:r>
        <w:rPr>
          <w:bCs/>
        </w:rPr>
        <w:fldChar w:fldCharType="end"/>
      </w:r>
    </w:p>
    <w:p w14:paraId="6BA1C37D">
      <w:pPr>
        <w:pStyle w:val="14"/>
        <w:rPr>
          <w:rFonts w:eastAsiaTheme="minorEastAsia"/>
          <w:bCs/>
          <w:sz w:val="21"/>
          <w:szCs w:val="22"/>
        </w:rPr>
      </w:pPr>
      <w:r>
        <w:fldChar w:fldCharType="begin"/>
      </w:r>
      <w:r>
        <w:instrText xml:space="preserve"> HYPERLINK \l "_Toc181820177" </w:instrText>
      </w:r>
      <w:r>
        <w:fldChar w:fldCharType="separate"/>
      </w:r>
      <w:r>
        <w:rPr>
          <w:rStyle w:val="20"/>
          <w:rFonts w:ascii="楷体" w:hAnsi="楷体"/>
          <w:bCs/>
        </w:rPr>
        <w:t>第二节 提升田园生态景观品质</w:t>
      </w:r>
      <w:r>
        <w:rPr>
          <w:bCs/>
        </w:rPr>
        <w:tab/>
      </w:r>
      <w:r>
        <w:rPr>
          <w:bCs/>
        </w:rPr>
        <w:fldChar w:fldCharType="begin"/>
      </w:r>
      <w:r>
        <w:rPr>
          <w:bCs/>
        </w:rPr>
        <w:instrText xml:space="preserve"> PAGEREF _Toc181820177 \h </w:instrText>
      </w:r>
      <w:r>
        <w:rPr>
          <w:bCs/>
        </w:rPr>
        <w:fldChar w:fldCharType="separate"/>
      </w:r>
      <w:r>
        <w:rPr>
          <w:bCs/>
        </w:rPr>
        <w:t>41</w:t>
      </w:r>
      <w:r>
        <w:rPr>
          <w:bCs/>
        </w:rPr>
        <w:fldChar w:fldCharType="end"/>
      </w:r>
      <w:r>
        <w:rPr>
          <w:bCs/>
        </w:rPr>
        <w:fldChar w:fldCharType="end"/>
      </w:r>
    </w:p>
    <w:p w14:paraId="239ADEF8">
      <w:pPr>
        <w:pStyle w:val="14"/>
        <w:rPr>
          <w:rFonts w:eastAsiaTheme="minorEastAsia"/>
          <w:bCs/>
          <w:sz w:val="21"/>
          <w:szCs w:val="22"/>
        </w:rPr>
      </w:pPr>
      <w:r>
        <w:fldChar w:fldCharType="begin"/>
      </w:r>
      <w:r>
        <w:instrText xml:space="preserve"> HYPERLINK \l "_Toc181820178" </w:instrText>
      </w:r>
      <w:r>
        <w:fldChar w:fldCharType="separate"/>
      </w:r>
      <w:r>
        <w:rPr>
          <w:rStyle w:val="20"/>
          <w:rFonts w:ascii="楷体" w:hAnsi="楷体"/>
          <w:bCs/>
        </w:rPr>
        <w:t>第三节 实施全域土地综合整治</w:t>
      </w:r>
      <w:r>
        <w:rPr>
          <w:bCs/>
        </w:rPr>
        <w:tab/>
      </w:r>
      <w:r>
        <w:rPr>
          <w:bCs/>
        </w:rPr>
        <w:fldChar w:fldCharType="begin"/>
      </w:r>
      <w:r>
        <w:rPr>
          <w:bCs/>
        </w:rPr>
        <w:instrText xml:space="preserve"> PAGEREF _Toc181820178 \h </w:instrText>
      </w:r>
      <w:r>
        <w:rPr>
          <w:bCs/>
        </w:rPr>
        <w:fldChar w:fldCharType="separate"/>
      </w:r>
      <w:r>
        <w:rPr>
          <w:bCs/>
        </w:rPr>
        <w:t>43</w:t>
      </w:r>
      <w:r>
        <w:rPr>
          <w:bCs/>
        </w:rPr>
        <w:fldChar w:fldCharType="end"/>
      </w:r>
      <w:r>
        <w:rPr>
          <w:bCs/>
        </w:rPr>
        <w:fldChar w:fldCharType="end"/>
      </w:r>
    </w:p>
    <w:p w14:paraId="7DCE7358">
      <w:pPr>
        <w:pStyle w:val="12"/>
        <w:rPr>
          <w:rFonts w:eastAsiaTheme="minorEastAsia"/>
          <w:b w:val="0"/>
          <w:bCs/>
          <w:sz w:val="21"/>
          <w:szCs w:val="22"/>
        </w:rPr>
      </w:pPr>
      <w:r>
        <w:fldChar w:fldCharType="begin"/>
      </w:r>
      <w:r>
        <w:instrText xml:space="preserve"> HYPERLINK \l "_Toc181820179" </w:instrText>
      </w:r>
      <w:r>
        <w:fldChar w:fldCharType="separate"/>
      </w:r>
      <w:r>
        <w:rPr>
          <w:rStyle w:val="20"/>
          <w:rFonts w:ascii="宋体" w:hAnsi="宋体" w:eastAsia="宋体" w:cs="方正小标宋简体"/>
          <w:b w:val="0"/>
          <w:bCs/>
        </w:rPr>
        <w:t>第六章 推动城镇空间生态品质提升</w:t>
      </w:r>
      <w:r>
        <w:rPr>
          <w:b w:val="0"/>
          <w:bCs/>
        </w:rPr>
        <w:tab/>
      </w:r>
      <w:r>
        <w:rPr>
          <w:b w:val="0"/>
          <w:bCs/>
        </w:rPr>
        <w:fldChar w:fldCharType="begin"/>
      </w:r>
      <w:r>
        <w:rPr>
          <w:b w:val="0"/>
          <w:bCs/>
        </w:rPr>
        <w:instrText xml:space="preserve"> PAGEREF _Toc181820179 \h </w:instrText>
      </w:r>
      <w:r>
        <w:rPr>
          <w:b w:val="0"/>
          <w:bCs/>
        </w:rPr>
        <w:fldChar w:fldCharType="separate"/>
      </w:r>
      <w:r>
        <w:rPr>
          <w:b w:val="0"/>
          <w:bCs/>
        </w:rPr>
        <w:t>45</w:t>
      </w:r>
      <w:r>
        <w:rPr>
          <w:b w:val="0"/>
          <w:bCs/>
        </w:rPr>
        <w:fldChar w:fldCharType="end"/>
      </w:r>
      <w:r>
        <w:rPr>
          <w:b w:val="0"/>
          <w:bCs/>
        </w:rPr>
        <w:fldChar w:fldCharType="end"/>
      </w:r>
    </w:p>
    <w:p w14:paraId="34682111">
      <w:pPr>
        <w:pStyle w:val="14"/>
        <w:rPr>
          <w:rFonts w:eastAsiaTheme="minorEastAsia"/>
          <w:bCs/>
          <w:sz w:val="21"/>
          <w:szCs w:val="22"/>
        </w:rPr>
      </w:pPr>
      <w:r>
        <w:fldChar w:fldCharType="begin"/>
      </w:r>
      <w:r>
        <w:instrText xml:space="preserve"> HYPERLINK \l "_Toc181820180" </w:instrText>
      </w:r>
      <w:r>
        <w:fldChar w:fldCharType="separate"/>
      </w:r>
      <w:r>
        <w:rPr>
          <w:rStyle w:val="20"/>
          <w:rFonts w:ascii="楷体" w:hAnsi="楷体"/>
          <w:bCs/>
        </w:rPr>
        <w:t>第一节 推进南亚热带滨海绿色开敞空间体系建设</w:t>
      </w:r>
      <w:r>
        <w:rPr>
          <w:bCs/>
        </w:rPr>
        <w:tab/>
      </w:r>
      <w:r>
        <w:rPr>
          <w:bCs/>
        </w:rPr>
        <w:fldChar w:fldCharType="begin"/>
      </w:r>
      <w:r>
        <w:rPr>
          <w:bCs/>
        </w:rPr>
        <w:instrText xml:space="preserve"> PAGEREF _Toc181820180 \h </w:instrText>
      </w:r>
      <w:r>
        <w:rPr>
          <w:bCs/>
        </w:rPr>
        <w:fldChar w:fldCharType="separate"/>
      </w:r>
      <w:r>
        <w:rPr>
          <w:bCs/>
        </w:rPr>
        <w:t>45</w:t>
      </w:r>
      <w:r>
        <w:rPr>
          <w:bCs/>
        </w:rPr>
        <w:fldChar w:fldCharType="end"/>
      </w:r>
      <w:r>
        <w:rPr>
          <w:bCs/>
        </w:rPr>
        <w:fldChar w:fldCharType="end"/>
      </w:r>
    </w:p>
    <w:p w14:paraId="2C1E39F1">
      <w:pPr>
        <w:pStyle w:val="14"/>
        <w:rPr>
          <w:rFonts w:eastAsiaTheme="minorEastAsia"/>
          <w:bCs/>
          <w:sz w:val="21"/>
          <w:szCs w:val="22"/>
        </w:rPr>
      </w:pPr>
      <w:r>
        <w:fldChar w:fldCharType="begin"/>
      </w:r>
      <w:r>
        <w:instrText xml:space="preserve"> HYPERLINK \l "_Toc181820181" </w:instrText>
      </w:r>
      <w:r>
        <w:fldChar w:fldCharType="separate"/>
      </w:r>
      <w:r>
        <w:rPr>
          <w:rStyle w:val="20"/>
          <w:rFonts w:ascii="楷体" w:hAnsi="楷体"/>
          <w:bCs/>
        </w:rPr>
        <w:t>第二节 保护修复城市蓝带绿网</w:t>
      </w:r>
      <w:r>
        <w:rPr>
          <w:bCs/>
        </w:rPr>
        <w:tab/>
      </w:r>
      <w:r>
        <w:rPr>
          <w:bCs/>
        </w:rPr>
        <w:fldChar w:fldCharType="begin"/>
      </w:r>
      <w:r>
        <w:rPr>
          <w:bCs/>
        </w:rPr>
        <w:instrText xml:space="preserve"> PAGEREF _Toc181820181 \h </w:instrText>
      </w:r>
      <w:r>
        <w:rPr>
          <w:bCs/>
        </w:rPr>
        <w:fldChar w:fldCharType="separate"/>
      </w:r>
      <w:r>
        <w:rPr>
          <w:bCs/>
        </w:rPr>
        <w:t>46</w:t>
      </w:r>
      <w:r>
        <w:rPr>
          <w:bCs/>
        </w:rPr>
        <w:fldChar w:fldCharType="end"/>
      </w:r>
      <w:r>
        <w:rPr>
          <w:bCs/>
        </w:rPr>
        <w:fldChar w:fldCharType="end"/>
      </w:r>
    </w:p>
    <w:p w14:paraId="28227B3E">
      <w:pPr>
        <w:pStyle w:val="14"/>
        <w:rPr>
          <w:rFonts w:eastAsiaTheme="minorEastAsia"/>
          <w:bCs/>
          <w:sz w:val="21"/>
          <w:szCs w:val="22"/>
        </w:rPr>
      </w:pPr>
      <w:r>
        <w:fldChar w:fldCharType="begin"/>
      </w:r>
      <w:r>
        <w:instrText xml:space="preserve"> HYPERLINK \l "_Toc181820182" </w:instrText>
      </w:r>
      <w:r>
        <w:fldChar w:fldCharType="separate"/>
      </w:r>
      <w:r>
        <w:rPr>
          <w:rStyle w:val="20"/>
          <w:rFonts w:ascii="楷体" w:hAnsi="楷体"/>
          <w:bCs/>
        </w:rPr>
        <w:t>第三节 加强城市生态韧性治理</w:t>
      </w:r>
      <w:r>
        <w:rPr>
          <w:bCs/>
        </w:rPr>
        <w:tab/>
      </w:r>
      <w:r>
        <w:rPr>
          <w:bCs/>
        </w:rPr>
        <w:fldChar w:fldCharType="begin"/>
      </w:r>
      <w:r>
        <w:rPr>
          <w:bCs/>
        </w:rPr>
        <w:instrText xml:space="preserve"> PAGEREF _Toc181820182 \h </w:instrText>
      </w:r>
      <w:r>
        <w:rPr>
          <w:bCs/>
        </w:rPr>
        <w:fldChar w:fldCharType="separate"/>
      </w:r>
      <w:r>
        <w:rPr>
          <w:bCs/>
        </w:rPr>
        <w:t>47</w:t>
      </w:r>
      <w:r>
        <w:rPr>
          <w:bCs/>
        </w:rPr>
        <w:fldChar w:fldCharType="end"/>
      </w:r>
      <w:r>
        <w:rPr>
          <w:bCs/>
        </w:rPr>
        <w:fldChar w:fldCharType="end"/>
      </w:r>
    </w:p>
    <w:p w14:paraId="016F8E45">
      <w:pPr>
        <w:pStyle w:val="12"/>
        <w:rPr>
          <w:rFonts w:eastAsiaTheme="minorEastAsia"/>
          <w:b w:val="0"/>
          <w:bCs/>
          <w:sz w:val="21"/>
          <w:szCs w:val="22"/>
        </w:rPr>
      </w:pPr>
      <w:r>
        <w:fldChar w:fldCharType="begin"/>
      </w:r>
      <w:r>
        <w:instrText xml:space="preserve"> HYPERLINK \l "_Toc181820183" </w:instrText>
      </w:r>
      <w:r>
        <w:fldChar w:fldCharType="separate"/>
      </w:r>
      <w:r>
        <w:rPr>
          <w:rStyle w:val="20"/>
          <w:rFonts w:ascii="宋体" w:hAnsi="宋体" w:eastAsia="宋体" w:cs="方正小标宋简体"/>
          <w:b w:val="0"/>
          <w:bCs/>
        </w:rPr>
        <w:t>第七章 生态保护修复重大工程与重点项目</w:t>
      </w:r>
      <w:r>
        <w:rPr>
          <w:b w:val="0"/>
          <w:bCs/>
        </w:rPr>
        <w:tab/>
      </w:r>
      <w:r>
        <w:rPr>
          <w:b w:val="0"/>
          <w:bCs/>
        </w:rPr>
        <w:fldChar w:fldCharType="begin"/>
      </w:r>
      <w:r>
        <w:rPr>
          <w:b w:val="0"/>
          <w:bCs/>
        </w:rPr>
        <w:instrText xml:space="preserve"> PAGEREF _Toc181820183 \h </w:instrText>
      </w:r>
      <w:r>
        <w:rPr>
          <w:b w:val="0"/>
          <w:bCs/>
        </w:rPr>
        <w:fldChar w:fldCharType="separate"/>
      </w:r>
      <w:r>
        <w:rPr>
          <w:b w:val="0"/>
          <w:bCs/>
        </w:rPr>
        <w:t>49</w:t>
      </w:r>
      <w:r>
        <w:rPr>
          <w:b w:val="0"/>
          <w:bCs/>
        </w:rPr>
        <w:fldChar w:fldCharType="end"/>
      </w:r>
      <w:r>
        <w:rPr>
          <w:b w:val="0"/>
          <w:bCs/>
        </w:rPr>
        <w:fldChar w:fldCharType="end"/>
      </w:r>
    </w:p>
    <w:p w14:paraId="12796E1C">
      <w:pPr>
        <w:pStyle w:val="14"/>
        <w:rPr>
          <w:rFonts w:eastAsiaTheme="minorEastAsia"/>
          <w:bCs/>
          <w:sz w:val="21"/>
          <w:szCs w:val="22"/>
        </w:rPr>
      </w:pPr>
      <w:r>
        <w:fldChar w:fldCharType="begin"/>
      </w:r>
      <w:r>
        <w:instrText xml:space="preserve"> HYPERLINK \l "_Toc181820184" </w:instrText>
      </w:r>
      <w:r>
        <w:fldChar w:fldCharType="separate"/>
      </w:r>
      <w:r>
        <w:rPr>
          <w:rStyle w:val="20"/>
          <w:rFonts w:ascii="楷体" w:hAnsi="楷体"/>
          <w:bCs/>
        </w:rPr>
        <w:t>第一节 海洋生态保护修复工程</w:t>
      </w:r>
      <w:r>
        <w:rPr>
          <w:bCs/>
        </w:rPr>
        <w:tab/>
      </w:r>
      <w:r>
        <w:rPr>
          <w:bCs/>
        </w:rPr>
        <w:fldChar w:fldCharType="begin"/>
      </w:r>
      <w:r>
        <w:rPr>
          <w:bCs/>
        </w:rPr>
        <w:instrText xml:space="preserve"> PAGEREF _Toc181820184 \h </w:instrText>
      </w:r>
      <w:r>
        <w:rPr>
          <w:bCs/>
        </w:rPr>
        <w:fldChar w:fldCharType="separate"/>
      </w:r>
      <w:r>
        <w:rPr>
          <w:bCs/>
        </w:rPr>
        <w:t>49</w:t>
      </w:r>
      <w:r>
        <w:rPr>
          <w:bCs/>
        </w:rPr>
        <w:fldChar w:fldCharType="end"/>
      </w:r>
      <w:r>
        <w:rPr>
          <w:bCs/>
        </w:rPr>
        <w:fldChar w:fldCharType="end"/>
      </w:r>
    </w:p>
    <w:p w14:paraId="7835F1B7">
      <w:pPr>
        <w:pStyle w:val="14"/>
        <w:rPr>
          <w:rFonts w:eastAsiaTheme="minorEastAsia"/>
          <w:bCs/>
          <w:sz w:val="21"/>
          <w:szCs w:val="22"/>
        </w:rPr>
      </w:pPr>
      <w:r>
        <w:fldChar w:fldCharType="begin"/>
      </w:r>
      <w:r>
        <w:instrText xml:space="preserve"> HYPERLINK \l "_Toc181820185" </w:instrText>
      </w:r>
      <w:r>
        <w:fldChar w:fldCharType="separate"/>
      </w:r>
      <w:r>
        <w:rPr>
          <w:rStyle w:val="20"/>
          <w:rFonts w:ascii="楷体" w:hAnsi="楷体"/>
          <w:bCs/>
        </w:rPr>
        <w:t>第二节 江河流域生态保护修复工程</w:t>
      </w:r>
      <w:r>
        <w:rPr>
          <w:bCs/>
        </w:rPr>
        <w:tab/>
      </w:r>
      <w:r>
        <w:rPr>
          <w:bCs/>
        </w:rPr>
        <w:fldChar w:fldCharType="begin"/>
      </w:r>
      <w:r>
        <w:rPr>
          <w:bCs/>
        </w:rPr>
        <w:instrText xml:space="preserve"> PAGEREF _Toc181820185 \h </w:instrText>
      </w:r>
      <w:r>
        <w:rPr>
          <w:bCs/>
        </w:rPr>
        <w:fldChar w:fldCharType="separate"/>
      </w:r>
      <w:r>
        <w:rPr>
          <w:bCs/>
        </w:rPr>
        <w:t>50</w:t>
      </w:r>
      <w:r>
        <w:rPr>
          <w:bCs/>
        </w:rPr>
        <w:fldChar w:fldCharType="end"/>
      </w:r>
      <w:r>
        <w:rPr>
          <w:bCs/>
        </w:rPr>
        <w:fldChar w:fldCharType="end"/>
      </w:r>
    </w:p>
    <w:p w14:paraId="5705A314">
      <w:pPr>
        <w:pStyle w:val="14"/>
        <w:rPr>
          <w:rFonts w:eastAsiaTheme="minorEastAsia"/>
          <w:bCs/>
          <w:sz w:val="21"/>
          <w:szCs w:val="22"/>
        </w:rPr>
      </w:pPr>
      <w:r>
        <w:fldChar w:fldCharType="begin"/>
      </w:r>
      <w:r>
        <w:instrText xml:space="preserve"> HYPERLINK \l "_Toc181820186" </w:instrText>
      </w:r>
      <w:r>
        <w:fldChar w:fldCharType="separate"/>
      </w:r>
      <w:r>
        <w:rPr>
          <w:rStyle w:val="20"/>
          <w:rFonts w:ascii="楷体" w:hAnsi="楷体"/>
          <w:bCs/>
        </w:rPr>
        <w:t>第三节 废旧矿山及地质灾害修复治理工程</w:t>
      </w:r>
      <w:r>
        <w:rPr>
          <w:bCs/>
        </w:rPr>
        <w:tab/>
      </w:r>
      <w:r>
        <w:rPr>
          <w:bCs/>
        </w:rPr>
        <w:fldChar w:fldCharType="begin"/>
      </w:r>
      <w:r>
        <w:rPr>
          <w:bCs/>
        </w:rPr>
        <w:instrText xml:space="preserve"> PAGEREF _Toc181820186 \h </w:instrText>
      </w:r>
      <w:r>
        <w:rPr>
          <w:bCs/>
        </w:rPr>
        <w:fldChar w:fldCharType="separate"/>
      </w:r>
      <w:r>
        <w:rPr>
          <w:bCs/>
        </w:rPr>
        <w:t>53</w:t>
      </w:r>
      <w:r>
        <w:rPr>
          <w:bCs/>
        </w:rPr>
        <w:fldChar w:fldCharType="end"/>
      </w:r>
      <w:r>
        <w:rPr>
          <w:bCs/>
        </w:rPr>
        <w:fldChar w:fldCharType="end"/>
      </w:r>
    </w:p>
    <w:p w14:paraId="116835F5">
      <w:pPr>
        <w:pStyle w:val="14"/>
        <w:rPr>
          <w:rFonts w:eastAsiaTheme="minorEastAsia"/>
          <w:bCs/>
          <w:sz w:val="21"/>
          <w:szCs w:val="22"/>
        </w:rPr>
      </w:pPr>
      <w:r>
        <w:fldChar w:fldCharType="begin"/>
      </w:r>
      <w:r>
        <w:instrText xml:space="preserve"> HYPERLINK \l "_Toc181820187" </w:instrText>
      </w:r>
      <w:r>
        <w:fldChar w:fldCharType="separate"/>
      </w:r>
      <w:r>
        <w:rPr>
          <w:rStyle w:val="20"/>
          <w:rFonts w:ascii="楷体" w:hAnsi="楷体"/>
          <w:bCs/>
        </w:rPr>
        <w:t>第四节 绿美阳江城市绿化工程</w:t>
      </w:r>
      <w:r>
        <w:rPr>
          <w:bCs/>
        </w:rPr>
        <w:tab/>
      </w:r>
      <w:r>
        <w:rPr>
          <w:bCs/>
        </w:rPr>
        <w:fldChar w:fldCharType="begin"/>
      </w:r>
      <w:r>
        <w:rPr>
          <w:bCs/>
        </w:rPr>
        <w:instrText xml:space="preserve"> PAGEREF _Toc181820187 \h </w:instrText>
      </w:r>
      <w:r>
        <w:rPr>
          <w:bCs/>
        </w:rPr>
        <w:fldChar w:fldCharType="separate"/>
      </w:r>
      <w:r>
        <w:rPr>
          <w:bCs/>
        </w:rPr>
        <w:t>54</w:t>
      </w:r>
      <w:r>
        <w:rPr>
          <w:bCs/>
        </w:rPr>
        <w:fldChar w:fldCharType="end"/>
      </w:r>
      <w:r>
        <w:rPr>
          <w:bCs/>
        </w:rPr>
        <w:fldChar w:fldCharType="end"/>
      </w:r>
    </w:p>
    <w:p w14:paraId="02ABF4A5">
      <w:pPr>
        <w:pStyle w:val="14"/>
        <w:rPr>
          <w:rFonts w:eastAsiaTheme="minorEastAsia"/>
          <w:bCs/>
          <w:sz w:val="21"/>
          <w:szCs w:val="22"/>
        </w:rPr>
      </w:pPr>
      <w:r>
        <w:fldChar w:fldCharType="begin"/>
      </w:r>
      <w:r>
        <w:instrText xml:space="preserve"> HYPERLINK \l "_Toc181820188" </w:instrText>
      </w:r>
      <w:r>
        <w:fldChar w:fldCharType="separate"/>
      </w:r>
      <w:r>
        <w:rPr>
          <w:rStyle w:val="20"/>
          <w:rFonts w:ascii="楷体" w:hAnsi="楷体"/>
          <w:bCs/>
        </w:rPr>
        <w:t>第五节 农业农村生态保护和修复重点工程</w:t>
      </w:r>
      <w:r>
        <w:rPr>
          <w:bCs/>
        </w:rPr>
        <w:tab/>
      </w:r>
      <w:r>
        <w:rPr>
          <w:bCs/>
        </w:rPr>
        <w:fldChar w:fldCharType="begin"/>
      </w:r>
      <w:r>
        <w:rPr>
          <w:bCs/>
        </w:rPr>
        <w:instrText xml:space="preserve"> PAGEREF _Toc181820188 \h </w:instrText>
      </w:r>
      <w:r>
        <w:rPr>
          <w:bCs/>
        </w:rPr>
        <w:fldChar w:fldCharType="separate"/>
      </w:r>
      <w:r>
        <w:rPr>
          <w:bCs/>
        </w:rPr>
        <w:t>55</w:t>
      </w:r>
      <w:r>
        <w:rPr>
          <w:bCs/>
        </w:rPr>
        <w:fldChar w:fldCharType="end"/>
      </w:r>
      <w:r>
        <w:rPr>
          <w:bCs/>
        </w:rPr>
        <w:fldChar w:fldCharType="end"/>
      </w:r>
    </w:p>
    <w:p w14:paraId="3AEFD3B5">
      <w:pPr>
        <w:pStyle w:val="14"/>
        <w:rPr>
          <w:rFonts w:eastAsiaTheme="minorEastAsia"/>
          <w:bCs/>
          <w:sz w:val="21"/>
          <w:szCs w:val="22"/>
        </w:rPr>
      </w:pPr>
      <w:r>
        <w:fldChar w:fldCharType="begin"/>
      </w:r>
      <w:r>
        <w:instrText xml:space="preserve"> HYPERLINK \l "_Toc181820189" </w:instrText>
      </w:r>
      <w:r>
        <w:fldChar w:fldCharType="separate"/>
      </w:r>
      <w:r>
        <w:rPr>
          <w:rStyle w:val="20"/>
          <w:rFonts w:ascii="楷体" w:hAnsi="楷体"/>
          <w:bCs/>
        </w:rPr>
        <w:t>第六节 城镇景观品质提升和修复重点工程</w:t>
      </w:r>
      <w:r>
        <w:rPr>
          <w:bCs/>
        </w:rPr>
        <w:tab/>
      </w:r>
      <w:r>
        <w:rPr>
          <w:bCs/>
        </w:rPr>
        <w:fldChar w:fldCharType="begin"/>
      </w:r>
      <w:r>
        <w:rPr>
          <w:bCs/>
        </w:rPr>
        <w:instrText xml:space="preserve"> PAGEREF _Toc181820189 \h </w:instrText>
      </w:r>
      <w:r>
        <w:rPr>
          <w:bCs/>
        </w:rPr>
        <w:fldChar w:fldCharType="separate"/>
      </w:r>
      <w:r>
        <w:rPr>
          <w:bCs/>
        </w:rPr>
        <w:t>57</w:t>
      </w:r>
      <w:r>
        <w:rPr>
          <w:bCs/>
        </w:rPr>
        <w:fldChar w:fldCharType="end"/>
      </w:r>
      <w:r>
        <w:rPr>
          <w:bCs/>
        </w:rPr>
        <w:fldChar w:fldCharType="end"/>
      </w:r>
    </w:p>
    <w:p w14:paraId="51B08B06">
      <w:pPr>
        <w:pStyle w:val="14"/>
        <w:rPr>
          <w:rFonts w:eastAsiaTheme="minorEastAsia"/>
          <w:bCs/>
          <w:sz w:val="21"/>
          <w:szCs w:val="22"/>
        </w:rPr>
      </w:pPr>
      <w:r>
        <w:fldChar w:fldCharType="begin"/>
      </w:r>
      <w:r>
        <w:instrText xml:space="preserve"> HYPERLINK \l "_Toc181820190" </w:instrText>
      </w:r>
      <w:r>
        <w:fldChar w:fldCharType="separate"/>
      </w:r>
      <w:r>
        <w:rPr>
          <w:rStyle w:val="20"/>
          <w:rFonts w:ascii="楷体" w:hAnsi="楷体"/>
          <w:bCs/>
        </w:rPr>
        <w:t>第七节 自然保护地建设及生物多样性保护重点工程</w:t>
      </w:r>
      <w:r>
        <w:rPr>
          <w:bCs/>
        </w:rPr>
        <w:tab/>
      </w:r>
      <w:r>
        <w:rPr>
          <w:bCs/>
        </w:rPr>
        <w:fldChar w:fldCharType="begin"/>
      </w:r>
      <w:r>
        <w:rPr>
          <w:bCs/>
        </w:rPr>
        <w:instrText xml:space="preserve"> PAGEREF _Toc181820190 \h </w:instrText>
      </w:r>
      <w:r>
        <w:rPr>
          <w:bCs/>
        </w:rPr>
        <w:fldChar w:fldCharType="separate"/>
      </w:r>
      <w:r>
        <w:rPr>
          <w:bCs/>
        </w:rPr>
        <w:t>59</w:t>
      </w:r>
      <w:r>
        <w:rPr>
          <w:bCs/>
        </w:rPr>
        <w:fldChar w:fldCharType="end"/>
      </w:r>
      <w:r>
        <w:rPr>
          <w:bCs/>
        </w:rPr>
        <w:fldChar w:fldCharType="end"/>
      </w:r>
    </w:p>
    <w:p w14:paraId="25F78C81">
      <w:pPr>
        <w:pStyle w:val="14"/>
        <w:rPr>
          <w:rFonts w:eastAsiaTheme="minorEastAsia"/>
          <w:bCs/>
          <w:sz w:val="21"/>
          <w:szCs w:val="22"/>
        </w:rPr>
      </w:pPr>
      <w:r>
        <w:fldChar w:fldCharType="begin"/>
      </w:r>
      <w:r>
        <w:instrText xml:space="preserve"> HYPERLINK \l "_Toc181820191" </w:instrText>
      </w:r>
      <w:r>
        <w:fldChar w:fldCharType="separate"/>
      </w:r>
      <w:r>
        <w:rPr>
          <w:rStyle w:val="20"/>
          <w:rFonts w:ascii="楷体" w:hAnsi="楷体"/>
          <w:bCs/>
        </w:rPr>
        <w:t>第八节 生态保护和修复支撑体系重点工程</w:t>
      </w:r>
      <w:r>
        <w:rPr>
          <w:bCs/>
        </w:rPr>
        <w:tab/>
      </w:r>
      <w:r>
        <w:rPr>
          <w:bCs/>
        </w:rPr>
        <w:fldChar w:fldCharType="begin"/>
      </w:r>
      <w:r>
        <w:rPr>
          <w:bCs/>
        </w:rPr>
        <w:instrText xml:space="preserve"> PAGEREF _Toc181820191 \h </w:instrText>
      </w:r>
      <w:r>
        <w:rPr>
          <w:bCs/>
        </w:rPr>
        <w:fldChar w:fldCharType="separate"/>
      </w:r>
      <w:r>
        <w:rPr>
          <w:bCs/>
        </w:rPr>
        <w:t>60</w:t>
      </w:r>
      <w:r>
        <w:rPr>
          <w:bCs/>
        </w:rPr>
        <w:fldChar w:fldCharType="end"/>
      </w:r>
      <w:r>
        <w:rPr>
          <w:bCs/>
        </w:rPr>
        <w:fldChar w:fldCharType="end"/>
      </w:r>
    </w:p>
    <w:p w14:paraId="21E083FC">
      <w:pPr>
        <w:pStyle w:val="12"/>
        <w:rPr>
          <w:rFonts w:eastAsiaTheme="minorEastAsia"/>
          <w:b w:val="0"/>
          <w:bCs/>
          <w:sz w:val="21"/>
          <w:szCs w:val="22"/>
        </w:rPr>
      </w:pPr>
      <w:r>
        <w:fldChar w:fldCharType="begin"/>
      </w:r>
      <w:r>
        <w:instrText xml:space="preserve"> HYPERLINK \l "_Toc181820192" </w:instrText>
      </w:r>
      <w:r>
        <w:fldChar w:fldCharType="separate"/>
      </w:r>
      <w:r>
        <w:rPr>
          <w:rStyle w:val="20"/>
          <w:rFonts w:ascii="宋体" w:hAnsi="宋体" w:eastAsia="宋体" w:cs="方正小标宋简体"/>
          <w:b w:val="0"/>
          <w:bCs/>
        </w:rPr>
        <w:t>第八章 成本效益</w:t>
      </w:r>
      <w:r>
        <w:rPr>
          <w:b w:val="0"/>
          <w:bCs/>
        </w:rPr>
        <w:tab/>
      </w:r>
      <w:r>
        <w:rPr>
          <w:b w:val="0"/>
          <w:bCs/>
        </w:rPr>
        <w:fldChar w:fldCharType="begin"/>
      </w:r>
      <w:r>
        <w:rPr>
          <w:b w:val="0"/>
          <w:bCs/>
        </w:rPr>
        <w:instrText xml:space="preserve"> PAGEREF _Toc181820192 \h </w:instrText>
      </w:r>
      <w:r>
        <w:rPr>
          <w:b w:val="0"/>
          <w:bCs/>
        </w:rPr>
        <w:fldChar w:fldCharType="separate"/>
      </w:r>
      <w:r>
        <w:rPr>
          <w:b w:val="0"/>
          <w:bCs/>
        </w:rPr>
        <w:t>62</w:t>
      </w:r>
      <w:r>
        <w:rPr>
          <w:b w:val="0"/>
          <w:bCs/>
        </w:rPr>
        <w:fldChar w:fldCharType="end"/>
      </w:r>
      <w:r>
        <w:rPr>
          <w:b w:val="0"/>
          <w:bCs/>
        </w:rPr>
        <w:fldChar w:fldCharType="end"/>
      </w:r>
    </w:p>
    <w:p w14:paraId="158FEE27">
      <w:pPr>
        <w:pStyle w:val="14"/>
        <w:rPr>
          <w:rFonts w:eastAsiaTheme="minorEastAsia"/>
          <w:bCs/>
          <w:sz w:val="21"/>
          <w:szCs w:val="22"/>
        </w:rPr>
      </w:pPr>
      <w:r>
        <w:fldChar w:fldCharType="begin"/>
      </w:r>
      <w:r>
        <w:instrText xml:space="preserve"> HYPERLINK \l "_Toc181820193" </w:instrText>
      </w:r>
      <w:r>
        <w:fldChar w:fldCharType="separate"/>
      </w:r>
      <w:r>
        <w:rPr>
          <w:rStyle w:val="20"/>
          <w:rFonts w:ascii="楷体" w:hAnsi="楷体"/>
          <w:bCs/>
        </w:rPr>
        <w:t>第一节 资金需求及估算依据</w:t>
      </w:r>
      <w:r>
        <w:rPr>
          <w:bCs/>
        </w:rPr>
        <w:tab/>
      </w:r>
      <w:r>
        <w:rPr>
          <w:bCs/>
        </w:rPr>
        <w:fldChar w:fldCharType="begin"/>
      </w:r>
      <w:r>
        <w:rPr>
          <w:bCs/>
        </w:rPr>
        <w:instrText xml:space="preserve"> PAGEREF _Toc181820193 \h </w:instrText>
      </w:r>
      <w:r>
        <w:rPr>
          <w:bCs/>
        </w:rPr>
        <w:fldChar w:fldCharType="separate"/>
      </w:r>
      <w:r>
        <w:rPr>
          <w:bCs/>
        </w:rPr>
        <w:t>62</w:t>
      </w:r>
      <w:r>
        <w:rPr>
          <w:bCs/>
        </w:rPr>
        <w:fldChar w:fldCharType="end"/>
      </w:r>
      <w:r>
        <w:rPr>
          <w:bCs/>
        </w:rPr>
        <w:fldChar w:fldCharType="end"/>
      </w:r>
    </w:p>
    <w:p w14:paraId="55D94838">
      <w:pPr>
        <w:pStyle w:val="14"/>
        <w:rPr>
          <w:rFonts w:eastAsiaTheme="minorEastAsia"/>
          <w:bCs/>
          <w:sz w:val="21"/>
          <w:szCs w:val="22"/>
        </w:rPr>
      </w:pPr>
      <w:r>
        <w:fldChar w:fldCharType="begin"/>
      </w:r>
      <w:r>
        <w:instrText xml:space="preserve"> HYPERLINK \l "_Toc181820194" </w:instrText>
      </w:r>
      <w:r>
        <w:fldChar w:fldCharType="separate"/>
      </w:r>
      <w:r>
        <w:rPr>
          <w:rStyle w:val="20"/>
          <w:rFonts w:ascii="楷体" w:hAnsi="楷体"/>
          <w:bCs/>
        </w:rPr>
        <w:t>第二节 资金筹措</w:t>
      </w:r>
      <w:r>
        <w:rPr>
          <w:bCs/>
        </w:rPr>
        <w:tab/>
      </w:r>
      <w:r>
        <w:rPr>
          <w:bCs/>
        </w:rPr>
        <w:fldChar w:fldCharType="begin"/>
      </w:r>
      <w:r>
        <w:rPr>
          <w:bCs/>
        </w:rPr>
        <w:instrText xml:space="preserve"> PAGEREF _Toc181820194 \h </w:instrText>
      </w:r>
      <w:r>
        <w:rPr>
          <w:bCs/>
        </w:rPr>
        <w:fldChar w:fldCharType="separate"/>
      </w:r>
      <w:r>
        <w:rPr>
          <w:bCs/>
        </w:rPr>
        <w:t>63</w:t>
      </w:r>
      <w:r>
        <w:rPr>
          <w:bCs/>
        </w:rPr>
        <w:fldChar w:fldCharType="end"/>
      </w:r>
      <w:r>
        <w:rPr>
          <w:bCs/>
        </w:rPr>
        <w:fldChar w:fldCharType="end"/>
      </w:r>
    </w:p>
    <w:p w14:paraId="17D414B1">
      <w:pPr>
        <w:pStyle w:val="14"/>
        <w:rPr>
          <w:rFonts w:eastAsiaTheme="minorEastAsia"/>
          <w:bCs/>
          <w:sz w:val="21"/>
          <w:szCs w:val="22"/>
        </w:rPr>
      </w:pPr>
      <w:r>
        <w:fldChar w:fldCharType="begin"/>
      </w:r>
      <w:r>
        <w:instrText xml:space="preserve"> HYPERLINK \l "_Toc181820195" </w:instrText>
      </w:r>
      <w:r>
        <w:fldChar w:fldCharType="separate"/>
      </w:r>
      <w:r>
        <w:rPr>
          <w:rStyle w:val="20"/>
          <w:rFonts w:ascii="楷体" w:hAnsi="楷体"/>
          <w:bCs/>
        </w:rPr>
        <w:t>第三节 规划实施效益</w:t>
      </w:r>
      <w:r>
        <w:rPr>
          <w:bCs/>
        </w:rPr>
        <w:tab/>
      </w:r>
      <w:r>
        <w:rPr>
          <w:bCs/>
        </w:rPr>
        <w:fldChar w:fldCharType="begin"/>
      </w:r>
      <w:r>
        <w:rPr>
          <w:bCs/>
        </w:rPr>
        <w:instrText xml:space="preserve"> PAGEREF _Toc181820195 \h </w:instrText>
      </w:r>
      <w:r>
        <w:rPr>
          <w:bCs/>
        </w:rPr>
        <w:fldChar w:fldCharType="separate"/>
      </w:r>
      <w:r>
        <w:rPr>
          <w:bCs/>
        </w:rPr>
        <w:t>64</w:t>
      </w:r>
      <w:r>
        <w:rPr>
          <w:bCs/>
        </w:rPr>
        <w:fldChar w:fldCharType="end"/>
      </w:r>
      <w:r>
        <w:rPr>
          <w:bCs/>
        </w:rPr>
        <w:fldChar w:fldCharType="end"/>
      </w:r>
    </w:p>
    <w:p w14:paraId="677A03B6">
      <w:pPr>
        <w:pStyle w:val="12"/>
        <w:rPr>
          <w:rFonts w:eastAsiaTheme="minorEastAsia"/>
          <w:b w:val="0"/>
          <w:bCs/>
          <w:sz w:val="21"/>
          <w:szCs w:val="22"/>
        </w:rPr>
      </w:pPr>
      <w:r>
        <w:fldChar w:fldCharType="begin"/>
      </w:r>
      <w:r>
        <w:instrText xml:space="preserve"> HYPERLINK \l "_Toc181820196" </w:instrText>
      </w:r>
      <w:r>
        <w:fldChar w:fldCharType="separate"/>
      </w:r>
      <w:r>
        <w:rPr>
          <w:rStyle w:val="20"/>
          <w:rFonts w:ascii="宋体" w:hAnsi="宋体" w:eastAsia="宋体" w:cs="方正小标宋简体"/>
          <w:b w:val="0"/>
          <w:bCs/>
        </w:rPr>
        <w:t>第九章 保障机制</w:t>
      </w:r>
      <w:r>
        <w:rPr>
          <w:b w:val="0"/>
          <w:bCs/>
        </w:rPr>
        <w:tab/>
      </w:r>
      <w:r>
        <w:rPr>
          <w:b w:val="0"/>
          <w:bCs/>
        </w:rPr>
        <w:fldChar w:fldCharType="begin"/>
      </w:r>
      <w:r>
        <w:rPr>
          <w:b w:val="0"/>
          <w:bCs/>
        </w:rPr>
        <w:instrText xml:space="preserve"> PAGEREF _Toc181820196 \h </w:instrText>
      </w:r>
      <w:r>
        <w:rPr>
          <w:b w:val="0"/>
          <w:bCs/>
        </w:rPr>
        <w:fldChar w:fldCharType="separate"/>
      </w:r>
      <w:r>
        <w:rPr>
          <w:b w:val="0"/>
          <w:bCs/>
        </w:rPr>
        <w:t>67</w:t>
      </w:r>
      <w:r>
        <w:rPr>
          <w:b w:val="0"/>
          <w:bCs/>
        </w:rPr>
        <w:fldChar w:fldCharType="end"/>
      </w:r>
      <w:r>
        <w:rPr>
          <w:b w:val="0"/>
          <w:bCs/>
        </w:rPr>
        <w:fldChar w:fldCharType="end"/>
      </w:r>
    </w:p>
    <w:p w14:paraId="0171B9D4">
      <w:pPr>
        <w:pStyle w:val="14"/>
        <w:rPr>
          <w:rFonts w:eastAsiaTheme="minorEastAsia"/>
          <w:bCs/>
          <w:sz w:val="21"/>
          <w:szCs w:val="22"/>
        </w:rPr>
      </w:pPr>
      <w:r>
        <w:fldChar w:fldCharType="begin"/>
      </w:r>
      <w:r>
        <w:instrText xml:space="preserve"> HYPERLINK \l "_Toc181820197" </w:instrText>
      </w:r>
      <w:r>
        <w:fldChar w:fldCharType="separate"/>
      </w:r>
      <w:r>
        <w:rPr>
          <w:rStyle w:val="20"/>
          <w:rFonts w:ascii="楷体" w:hAnsi="楷体"/>
          <w:bCs/>
        </w:rPr>
        <w:t>第一节 加强组织领导</w:t>
      </w:r>
      <w:r>
        <w:rPr>
          <w:bCs/>
        </w:rPr>
        <w:tab/>
      </w:r>
      <w:r>
        <w:rPr>
          <w:bCs/>
        </w:rPr>
        <w:fldChar w:fldCharType="begin"/>
      </w:r>
      <w:r>
        <w:rPr>
          <w:bCs/>
        </w:rPr>
        <w:instrText xml:space="preserve"> PAGEREF _Toc181820197 \h </w:instrText>
      </w:r>
      <w:r>
        <w:rPr>
          <w:bCs/>
        </w:rPr>
        <w:fldChar w:fldCharType="separate"/>
      </w:r>
      <w:r>
        <w:rPr>
          <w:bCs/>
        </w:rPr>
        <w:t>67</w:t>
      </w:r>
      <w:r>
        <w:rPr>
          <w:bCs/>
        </w:rPr>
        <w:fldChar w:fldCharType="end"/>
      </w:r>
      <w:r>
        <w:rPr>
          <w:bCs/>
        </w:rPr>
        <w:fldChar w:fldCharType="end"/>
      </w:r>
    </w:p>
    <w:p w14:paraId="049B8022">
      <w:pPr>
        <w:pStyle w:val="14"/>
        <w:rPr>
          <w:rFonts w:eastAsiaTheme="minorEastAsia"/>
          <w:bCs/>
          <w:sz w:val="21"/>
          <w:szCs w:val="22"/>
        </w:rPr>
      </w:pPr>
      <w:r>
        <w:fldChar w:fldCharType="begin"/>
      </w:r>
      <w:r>
        <w:instrText xml:space="preserve"> HYPERLINK \l "_Toc181820198" </w:instrText>
      </w:r>
      <w:r>
        <w:fldChar w:fldCharType="separate"/>
      </w:r>
      <w:r>
        <w:rPr>
          <w:rStyle w:val="20"/>
          <w:rFonts w:ascii="楷体" w:hAnsi="楷体"/>
          <w:bCs/>
        </w:rPr>
        <w:t>第二节 创新政策体系</w:t>
      </w:r>
      <w:r>
        <w:rPr>
          <w:bCs/>
        </w:rPr>
        <w:tab/>
      </w:r>
      <w:r>
        <w:rPr>
          <w:bCs/>
        </w:rPr>
        <w:fldChar w:fldCharType="begin"/>
      </w:r>
      <w:r>
        <w:rPr>
          <w:bCs/>
        </w:rPr>
        <w:instrText xml:space="preserve"> PAGEREF _Toc181820198 \h </w:instrText>
      </w:r>
      <w:r>
        <w:rPr>
          <w:bCs/>
        </w:rPr>
        <w:fldChar w:fldCharType="separate"/>
      </w:r>
      <w:r>
        <w:rPr>
          <w:bCs/>
        </w:rPr>
        <w:t>68</w:t>
      </w:r>
      <w:r>
        <w:rPr>
          <w:bCs/>
        </w:rPr>
        <w:fldChar w:fldCharType="end"/>
      </w:r>
      <w:r>
        <w:rPr>
          <w:bCs/>
        </w:rPr>
        <w:fldChar w:fldCharType="end"/>
      </w:r>
    </w:p>
    <w:p w14:paraId="6806DF4D">
      <w:pPr>
        <w:pStyle w:val="14"/>
        <w:rPr>
          <w:rFonts w:eastAsiaTheme="minorEastAsia"/>
          <w:bCs/>
          <w:sz w:val="21"/>
          <w:szCs w:val="22"/>
        </w:rPr>
      </w:pPr>
      <w:r>
        <w:fldChar w:fldCharType="begin"/>
      </w:r>
      <w:r>
        <w:instrText xml:space="preserve"> HYPERLINK \l "_Toc181820199" </w:instrText>
      </w:r>
      <w:r>
        <w:fldChar w:fldCharType="separate"/>
      </w:r>
      <w:r>
        <w:rPr>
          <w:rStyle w:val="20"/>
          <w:rFonts w:ascii="楷体" w:hAnsi="楷体"/>
          <w:bCs/>
        </w:rPr>
        <w:t>第三节 加强科技支撑</w:t>
      </w:r>
      <w:r>
        <w:rPr>
          <w:bCs/>
        </w:rPr>
        <w:tab/>
      </w:r>
      <w:r>
        <w:rPr>
          <w:bCs/>
        </w:rPr>
        <w:fldChar w:fldCharType="begin"/>
      </w:r>
      <w:r>
        <w:rPr>
          <w:bCs/>
        </w:rPr>
        <w:instrText xml:space="preserve"> PAGEREF _Toc181820199 \h </w:instrText>
      </w:r>
      <w:r>
        <w:rPr>
          <w:bCs/>
        </w:rPr>
        <w:fldChar w:fldCharType="separate"/>
      </w:r>
      <w:r>
        <w:rPr>
          <w:bCs/>
        </w:rPr>
        <w:t>69</w:t>
      </w:r>
      <w:r>
        <w:rPr>
          <w:bCs/>
        </w:rPr>
        <w:fldChar w:fldCharType="end"/>
      </w:r>
      <w:r>
        <w:rPr>
          <w:bCs/>
        </w:rPr>
        <w:fldChar w:fldCharType="end"/>
      </w:r>
    </w:p>
    <w:p w14:paraId="6B8106C6">
      <w:pPr>
        <w:pStyle w:val="14"/>
        <w:rPr>
          <w:rFonts w:eastAsiaTheme="minorEastAsia"/>
          <w:bCs/>
          <w:sz w:val="21"/>
          <w:szCs w:val="22"/>
        </w:rPr>
      </w:pPr>
      <w:r>
        <w:fldChar w:fldCharType="begin"/>
      </w:r>
      <w:r>
        <w:instrText xml:space="preserve"> HYPERLINK \l "_Toc181820200" </w:instrText>
      </w:r>
      <w:r>
        <w:fldChar w:fldCharType="separate"/>
      </w:r>
      <w:r>
        <w:rPr>
          <w:rStyle w:val="20"/>
          <w:rFonts w:ascii="楷体" w:hAnsi="楷体"/>
          <w:bCs/>
        </w:rPr>
        <w:t>第四节 强化评估监管</w:t>
      </w:r>
      <w:r>
        <w:rPr>
          <w:bCs/>
        </w:rPr>
        <w:tab/>
      </w:r>
      <w:r>
        <w:rPr>
          <w:bCs/>
        </w:rPr>
        <w:fldChar w:fldCharType="begin"/>
      </w:r>
      <w:r>
        <w:rPr>
          <w:bCs/>
        </w:rPr>
        <w:instrText xml:space="preserve"> PAGEREF _Toc181820200 \h </w:instrText>
      </w:r>
      <w:r>
        <w:rPr>
          <w:bCs/>
        </w:rPr>
        <w:fldChar w:fldCharType="separate"/>
      </w:r>
      <w:r>
        <w:rPr>
          <w:bCs/>
        </w:rPr>
        <w:t>70</w:t>
      </w:r>
      <w:r>
        <w:rPr>
          <w:bCs/>
        </w:rPr>
        <w:fldChar w:fldCharType="end"/>
      </w:r>
      <w:r>
        <w:rPr>
          <w:bCs/>
        </w:rPr>
        <w:fldChar w:fldCharType="end"/>
      </w:r>
    </w:p>
    <w:p w14:paraId="40F9ABC1">
      <w:pPr>
        <w:pStyle w:val="14"/>
        <w:rPr>
          <w:rFonts w:eastAsiaTheme="minorEastAsia"/>
          <w:bCs/>
          <w:sz w:val="21"/>
          <w:szCs w:val="22"/>
        </w:rPr>
      </w:pPr>
      <w:r>
        <w:fldChar w:fldCharType="begin"/>
      </w:r>
      <w:r>
        <w:instrText xml:space="preserve"> HYPERLINK \l "_Toc181820201" </w:instrText>
      </w:r>
      <w:r>
        <w:fldChar w:fldCharType="separate"/>
      </w:r>
      <w:r>
        <w:rPr>
          <w:rStyle w:val="20"/>
          <w:rFonts w:ascii="楷体" w:hAnsi="楷体"/>
          <w:bCs/>
        </w:rPr>
        <w:t>第五节 鼓励公众参与</w:t>
      </w:r>
      <w:r>
        <w:rPr>
          <w:bCs/>
        </w:rPr>
        <w:tab/>
      </w:r>
      <w:r>
        <w:rPr>
          <w:bCs/>
        </w:rPr>
        <w:fldChar w:fldCharType="begin"/>
      </w:r>
      <w:r>
        <w:rPr>
          <w:bCs/>
        </w:rPr>
        <w:instrText xml:space="preserve"> PAGEREF _Toc181820201 \h </w:instrText>
      </w:r>
      <w:r>
        <w:rPr>
          <w:bCs/>
        </w:rPr>
        <w:fldChar w:fldCharType="separate"/>
      </w:r>
      <w:r>
        <w:rPr>
          <w:bCs/>
        </w:rPr>
        <w:t>70</w:t>
      </w:r>
      <w:r>
        <w:rPr>
          <w:bCs/>
        </w:rPr>
        <w:fldChar w:fldCharType="end"/>
      </w:r>
      <w:r>
        <w:rPr>
          <w:bCs/>
        </w:rPr>
        <w:fldChar w:fldCharType="end"/>
      </w:r>
    </w:p>
    <w:p w14:paraId="70D7E3E6">
      <w:pPr>
        <w:pStyle w:val="12"/>
        <w:rPr>
          <w:rFonts w:eastAsiaTheme="minorEastAsia"/>
          <w:b w:val="0"/>
          <w:bCs/>
          <w:sz w:val="21"/>
          <w:szCs w:val="22"/>
        </w:rPr>
      </w:pPr>
      <w:r>
        <w:fldChar w:fldCharType="begin"/>
      </w:r>
      <w:r>
        <w:instrText xml:space="preserve"> HYPERLINK \l "_Toc181820202" </w:instrText>
      </w:r>
      <w:r>
        <w:fldChar w:fldCharType="separate"/>
      </w:r>
      <w:r>
        <w:rPr>
          <w:rStyle w:val="20"/>
          <w:rFonts w:ascii="宋体" w:hAnsi="宋体" w:eastAsia="宋体" w:cs="方正小标宋简体"/>
          <w:b w:val="0"/>
          <w:bCs/>
        </w:rPr>
        <w:t>附表一 规划指标表</w:t>
      </w:r>
      <w:r>
        <w:rPr>
          <w:b w:val="0"/>
          <w:bCs/>
        </w:rPr>
        <w:tab/>
      </w:r>
      <w:r>
        <w:rPr>
          <w:b w:val="0"/>
          <w:bCs/>
        </w:rPr>
        <w:fldChar w:fldCharType="begin"/>
      </w:r>
      <w:r>
        <w:rPr>
          <w:b w:val="0"/>
          <w:bCs/>
        </w:rPr>
        <w:instrText xml:space="preserve"> PAGEREF _Toc181820202 \h </w:instrText>
      </w:r>
      <w:r>
        <w:rPr>
          <w:b w:val="0"/>
          <w:bCs/>
        </w:rPr>
        <w:fldChar w:fldCharType="separate"/>
      </w:r>
      <w:r>
        <w:rPr>
          <w:b w:val="0"/>
          <w:bCs/>
        </w:rPr>
        <w:t>72</w:t>
      </w:r>
      <w:r>
        <w:rPr>
          <w:b w:val="0"/>
          <w:bCs/>
        </w:rPr>
        <w:fldChar w:fldCharType="end"/>
      </w:r>
      <w:r>
        <w:rPr>
          <w:b w:val="0"/>
          <w:bCs/>
        </w:rPr>
        <w:fldChar w:fldCharType="end"/>
      </w:r>
    </w:p>
    <w:p w14:paraId="6E0991C2">
      <w:pPr>
        <w:pStyle w:val="12"/>
        <w:rPr>
          <w:rFonts w:eastAsiaTheme="minorEastAsia"/>
          <w:b w:val="0"/>
          <w:bCs/>
          <w:sz w:val="21"/>
          <w:szCs w:val="22"/>
        </w:rPr>
      </w:pPr>
      <w:r>
        <w:fldChar w:fldCharType="begin"/>
      </w:r>
      <w:r>
        <w:instrText xml:space="preserve"> HYPERLINK \l "_Toc181820203" </w:instrText>
      </w:r>
      <w:r>
        <w:fldChar w:fldCharType="separate"/>
      </w:r>
      <w:r>
        <w:rPr>
          <w:rStyle w:val="20"/>
          <w:rFonts w:ascii="宋体" w:hAnsi="宋体" w:eastAsia="宋体" w:cs="方正小标宋简体"/>
          <w:b w:val="0"/>
          <w:bCs/>
        </w:rPr>
        <w:t>附表二 国土空间生态修复修复分区表</w:t>
      </w:r>
      <w:r>
        <w:rPr>
          <w:b w:val="0"/>
          <w:bCs/>
        </w:rPr>
        <w:tab/>
      </w:r>
      <w:r>
        <w:rPr>
          <w:b w:val="0"/>
          <w:bCs/>
        </w:rPr>
        <w:fldChar w:fldCharType="begin"/>
      </w:r>
      <w:r>
        <w:rPr>
          <w:b w:val="0"/>
          <w:bCs/>
        </w:rPr>
        <w:instrText xml:space="preserve"> PAGEREF _Toc181820203 \h </w:instrText>
      </w:r>
      <w:r>
        <w:rPr>
          <w:b w:val="0"/>
          <w:bCs/>
        </w:rPr>
        <w:fldChar w:fldCharType="separate"/>
      </w:r>
      <w:r>
        <w:rPr>
          <w:b w:val="0"/>
          <w:bCs/>
        </w:rPr>
        <w:t>74</w:t>
      </w:r>
      <w:r>
        <w:rPr>
          <w:b w:val="0"/>
          <w:bCs/>
        </w:rPr>
        <w:fldChar w:fldCharType="end"/>
      </w:r>
      <w:r>
        <w:rPr>
          <w:b w:val="0"/>
          <w:bCs/>
        </w:rPr>
        <w:fldChar w:fldCharType="end"/>
      </w:r>
    </w:p>
    <w:p w14:paraId="2DA16DB7">
      <w:pPr>
        <w:pStyle w:val="12"/>
        <w:rPr>
          <w:rFonts w:eastAsiaTheme="minorEastAsia"/>
          <w:b w:val="0"/>
          <w:bCs/>
          <w:sz w:val="21"/>
          <w:szCs w:val="22"/>
        </w:rPr>
      </w:pPr>
      <w:r>
        <w:fldChar w:fldCharType="begin"/>
      </w:r>
      <w:r>
        <w:instrText xml:space="preserve"> HYPERLINK \l "_Toc181820204" </w:instrText>
      </w:r>
      <w:r>
        <w:fldChar w:fldCharType="separate"/>
      </w:r>
      <w:r>
        <w:rPr>
          <w:rStyle w:val="20"/>
          <w:rFonts w:ascii="宋体" w:hAnsi="宋体" w:eastAsia="宋体" w:cs="方正小标宋简体"/>
          <w:b w:val="0"/>
          <w:bCs/>
        </w:rPr>
        <w:t>附表三 国土空间生态修复重点工程安排表</w:t>
      </w:r>
      <w:r>
        <w:rPr>
          <w:b w:val="0"/>
          <w:bCs/>
        </w:rPr>
        <w:tab/>
      </w:r>
      <w:r>
        <w:rPr>
          <w:b w:val="0"/>
          <w:bCs/>
        </w:rPr>
        <w:fldChar w:fldCharType="begin"/>
      </w:r>
      <w:r>
        <w:rPr>
          <w:b w:val="0"/>
          <w:bCs/>
        </w:rPr>
        <w:instrText xml:space="preserve"> PAGEREF _Toc181820204 \h </w:instrText>
      </w:r>
      <w:r>
        <w:rPr>
          <w:b w:val="0"/>
          <w:bCs/>
        </w:rPr>
        <w:fldChar w:fldCharType="separate"/>
      </w:r>
      <w:r>
        <w:rPr>
          <w:b w:val="0"/>
          <w:bCs/>
        </w:rPr>
        <w:t>75</w:t>
      </w:r>
      <w:r>
        <w:rPr>
          <w:b w:val="0"/>
          <w:bCs/>
        </w:rPr>
        <w:fldChar w:fldCharType="end"/>
      </w:r>
      <w:r>
        <w:rPr>
          <w:b w:val="0"/>
          <w:bCs/>
        </w:rPr>
        <w:fldChar w:fldCharType="end"/>
      </w:r>
    </w:p>
    <w:p w14:paraId="7918C47B">
      <w:pPr>
        <w:widowControl/>
        <w:jc w:val="left"/>
        <w:rPr>
          <w:rFonts w:ascii="微软雅黑" w:hAnsi="微软雅黑" w:eastAsia="微软雅黑" w:cs="微软雅黑"/>
          <w:b/>
          <w:bCs/>
          <w:sz w:val="32"/>
          <w:szCs w:val="40"/>
        </w:rPr>
        <w:sectPr>
          <w:footnotePr>
            <w:numRestart w:val="eachPage"/>
          </w:footnotePr>
          <w:pgSz w:w="11906" w:h="16838"/>
          <w:pgMar w:top="1440" w:right="1800" w:bottom="1440" w:left="1800" w:header="851" w:footer="992" w:gutter="0"/>
          <w:cols w:space="425" w:num="1"/>
          <w:docGrid w:type="lines" w:linePitch="312" w:charSpace="0"/>
        </w:sectPr>
      </w:pPr>
      <w:r>
        <w:rPr>
          <w:rFonts w:ascii="微软雅黑" w:hAnsi="微软雅黑" w:eastAsia="微软雅黑" w:cs="微软雅黑"/>
          <w:bCs/>
          <w:sz w:val="32"/>
          <w:szCs w:val="40"/>
        </w:rPr>
        <w:fldChar w:fldCharType="end"/>
      </w:r>
    </w:p>
    <w:p w14:paraId="7E8216C3">
      <w:pPr>
        <w:pStyle w:val="2"/>
        <w:pageBreakBefore w:val="0"/>
        <w:spacing w:line="240" w:lineRule="auto"/>
        <w:rPr>
          <w:rFonts w:ascii="宋体" w:hAnsi="宋体" w:eastAsia="宋体" w:cs="方正小标宋简体"/>
          <w:b/>
          <w:bCs/>
          <w:sz w:val="40"/>
          <w:szCs w:val="40"/>
        </w:rPr>
      </w:pPr>
      <w:bookmarkStart w:id="0" w:name="_Toc181820156"/>
      <w:r>
        <w:rPr>
          <w:rFonts w:hint="eastAsia" w:ascii="宋体" w:hAnsi="宋体" w:eastAsia="宋体" w:cs="方正小标宋简体"/>
          <w:b/>
          <w:bCs/>
          <w:sz w:val="40"/>
          <w:szCs w:val="40"/>
        </w:rPr>
        <w:t>前 言</w:t>
      </w:r>
      <w:bookmarkEnd w:id="0"/>
    </w:p>
    <w:p w14:paraId="6874A5C1">
      <w:pPr>
        <w:spacing w:line="600" w:lineRule="exact"/>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国土空间生态修复是我国生态文明建设的重大举措，也是关系国家、区域生态安全和民生福祉的重要战略任务。为深入学习贯彻习近平生态文明思想，坚持新发展理念，统筹山水林田湖草海一体化保护和修复，全面落实习近平总书记对广东省做出的系列重要讲话指示批示，深入落实党中央、国务院重大决策部署及省政府、市政府要求，编制《阳江市国土空间生态修复规</w:t>
      </w:r>
      <w:r>
        <w:rPr>
          <w:rFonts w:ascii="Times New Roman" w:hAnsi="Times New Roman" w:eastAsia="仿宋_GB2312" w:cs="Times New Roman"/>
          <w:sz w:val="32"/>
          <w:szCs w:val="32"/>
        </w:rPr>
        <w:t>划（2022-2035年）》</w:t>
      </w:r>
      <w:r>
        <w:rPr>
          <w:rFonts w:hint="eastAsia" w:ascii="Calibri" w:hAnsi="Calibri" w:eastAsia="仿宋_GB2312" w:cs="Times New Roman"/>
          <w:sz w:val="32"/>
          <w:szCs w:val="32"/>
        </w:rPr>
        <w:t>（以下简称《规划》）。</w:t>
      </w:r>
    </w:p>
    <w:p w14:paraId="73FF8DCA">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规划》衔接区域发展战略，落实国家、省级、市级国土空间规划和《全国重要生态系统保护和修复重大工程总体规划（2021-2035年）》《广东省重要生态系统保护和修复重大工程总体规划（2021—2035年）》《广东省国土空间生态修复规划（2021-2035年）》规划成果，落实广东省《市级国土空间生态修复规划编制规程》要求，明确阳江市域国土空间生态修复目标任务、总体布局、修复分区和重大工程，提出规划实施的保障措施，是阳江市域国土空间生态修复工作的总纲领和空间指引，是实施国土空间生态保护修复的重要依据。规划范围为阳江市域内全部国土空间，包括陆域面积7966.79平方公里，海域面积11900平方公里</w:t>
      </w:r>
      <w:r>
        <w:rPr>
          <w:rStyle w:val="22"/>
          <w:rFonts w:ascii="Times New Roman" w:hAnsi="Times New Roman" w:eastAsia="仿宋_GB2312" w:cs="Times New Roman"/>
          <w:sz w:val="32"/>
          <w:szCs w:val="32"/>
        </w:rPr>
        <w:footnoteReference w:id="0"/>
      </w:r>
      <w:r>
        <w:rPr>
          <w:rFonts w:ascii="Times New Roman" w:hAnsi="Times New Roman" w:eastAsia="仿宋_GB2312" w:cs="Times New Roman"/>
          <w:sz w:val="32"/>
          <w:szCs w:val="32"/>
        </w:rPr>
        <w:t>。规划期为2022-2035年，目标年为2035年，近期目标年为2025年，基准年为2022年。</w:t>
      </w:r>
      <w:r>
        <w:rPr>
          <w:rFonts w:ascii="Times New Roman" w:hAnsi="Times New Roman" w:eastAsia="仿宋_GB2312" w:cs="Times New Roman"/>
          <w:sz w:val="32"/>
          <w:szCs w:val="32"/>
        </w:rPr>
        <w:br w:type="page"/>
      </w:r>
    </w:p>
    <w:p w14:paraId="5AF729C0">
      <w:pPr>
        <w:pStyle w:val="2"/>
        <w:pageBreakBefore w:val="0"/>
        <w:numPr>
          <w:ilvl w:val="0"/>
          <w:numId w:val="1"/>
        </w:numPr>
        <w:spacing w:line="240" w:lineRule="auto"/>
        <w:rPr>
          <w:rFonts w:ascii="宋体" w:hAnsi="宋体" w:eastAsia="宋体" w:cs="方正小标宋简体"/>
          <w:b/>
          <w:bCs/>
          <w:sz w:val="40"/>
          <w:szCs w:val="40"/>
        </w:rPr>
      </w:pPr>
      <w:bookmarkStart w:id="1" w:name="_Toc181820157"/>
      <w:r>
        <w:rPr>
          <w:rFonts w:hint="eastAsia" w:ascii="宋体" w:hAnsi="宋体" w:eastAsia="宋体" w:cs="方正小标宋简体"/>
          <w:b/>
          <w:bCs/>
          <w:sz w:val="40"/>
          <w:szCs w:val="40"/>
        </w:rPr>
        <w:t>现状与形势</w:t>
      </w:r>
      <w:bookmarkEnd w:id="1"/>
    </w:p>
    <w:p w14:paraId="3CCFC166">
      <w:pPr>
        <w:pStyle w:val="3"/>
        <w:spacing w:beforeLines="50" w:afterLines="50"/>
        <w:ind w:firstLine="0" w:firstLineChars="0"/>
        <w:jc w:val="center"/>
        <w:rPr>
          <w:rFonts w:ascii="楷体" w:hAnsi="楷体" w:eastAsia="楷体"/>
          <w:b/>
          <w:bCs w:val="0"/>
        </w:rPr>
      </w:pPr>
      <w:bookmarkStart w:id="2" w:name="_Toc181820158"/>
      <w:r>
        <w:rPr>
          <w:rFonts w:hint="eastAsia" w:ascii="楷体" w:hAnsi="楷体" w:eastAsia="楷体"/>
          <w:b/>
          <w:bCs w:val="0"/>
        </w:rPr>
        <w:t>第一节 自然地理和生态现状</w:t>
      </w:r>
      <w:bookmarkEnd w:id="2"/>
    </w:p>
    <w:p w14:paraId="70086235">
      <w:pPr>
        <w:pStyle w:val="4"/>
        <w:spacing w:before="0" w:after="0" w:line="600" w:lineRule="exact"/>
        <w:ind w:firstLine="643"/>
        <w:rPr>
          <w:rFonts w:ascii="仿宋" w:hAnsi="仿宋" w:eastAsia="仿宋"/>
        </w:rPr>
      </w:pPr>
      <w:r>
        <w:rPr>
          <w:rFonts w:hint="eastAsia" w:ascii="仿宋" w:hAnsi="仿宋" w:eastAsia="仿宋"/>
        </w:rPr>
        <w:t>一、自然地理认知</w:t>
      </w:r>
    </w:p>
    <w:p w14:paraId="7D0CF46A">
      <w:pPr>
        <w:spacing w:line="600" w:lineRule="exact"/>
        <w:ind w:firstLine="643" w:firstLineChars="200"/>
        <w:rPr>
          <w:rFonts w:ascii="Calibri" w:hAnsi="Calibri" w:eastAsia="仿宋_GB2312" w:cs="Times New Roman"/>
          <w:b/>
          <w:bCs/>
          <w:sz w:val="32"/>
          <w:szCs w:val="32"/>
        </w:rPr>
      </w:pPr>
      <w:r>
        <w:rPr>
          <w:rFonts w:hint="eastAsia" w:ascii="Calibri" w:hAnsi="Calibri" w:eastAsia="仿宋_GB2312" w:cs="Times New Roman"/>
          <w:b/>
          <w:bCs/>
          <w:sz w:val="32"/>
          <w:szCs w:val="32"/>
        </w:rPr>
        <w:t>（一）生态区位：广东省“山海生态屏障交汇节点”</w:t>
      </w:r>
    </w:p>
    <w:p w14:paraId="2D02E234">
      <w:pPr>
        <w:spacing w:line="600" w:lineRule="exact"/>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阳江市地处广东省西南沿海，属于国家生态安全战略格局“三区四带”中的南方丘陵山地带与海岸带，生态区位优越，生态保护修复地位关键。北部的天露山脉、云雾山脉分别是粤港澳大湾区外围丘陵浅山生态屏障与南岭生态屏障的重要组成部分，中部的漠阳江水系属于广东省主要生态廊道网络的重要串联段，南部的阳江湾、海陵岛、海陵湾等沿海地区与海域属于蓝色海洋生态屏障的重要组成部分，对省域山林及海湾生态系统维育、生物多样性保护具有重要意义。</w:t>
      </w:r>
    </w:p>
    <w:p w14:paraId="096E6A56">
      <w:pPr>
        <w:spacing w:line="600" w:lineRule="exact"/>
        <w:ind w:firstLine="643" w:firstLineChars="200"/>
        <w:rPr>
          <w:rFonts w:ascii="Calibri" w:hAnsi="Calibri" w:eastAsia="仿宋_GB2312" w:cs="Times New Roman"/>
          <w:b/>
          <w:bCs/>
          <w:sz w:val="32"/>
          <w:szCs w:val="32"/>
        </w:rPr>
      </w:pPr>
      <w:r>
        <w:rPr>
          <w:rFonts w:hint="eastAsia" w:ascii="Calibri" w:hAnsi="Calibri" w:eastAsia="仿宋_GB2312" w:cs="Times New Roman"/>
          <w:b/>
          <w:bCs/>
          <w:sz w:val="32"/>
          <w:szCs w:val="32"/>
        </w:rPr>
        <w:t>（二）自然地理格局：环山筑屏、一脉润城、拥湾面海</w:t>
      </w:r>
    </w:p>
    <w:p w14:paraId="50CEC0A3">
      <w:pPr>
        <w:spacing w:line="600" w:lineRule="exact"/>
        <w:ind w:firstLine="640" w:firstLineChars="200"/>
        <w:rPr>
          <w:rFonts w:ascii="Calibri" w:hAnsi="Calibri" w:eastAsia="仿宋_GB2312" w:cs="Times New Roman"/>
          <w:sz w:val="32"/>
          <w:szCs w:val="32"/>
        </w:rPr>
      </w:pPr>
      <w:r>
        <w:rPr>
          <w:rFonts w:ascii="Times New Roman" w:hAnsi="Times New Roman" w:eastAsia="仿宋_GB2312" w:cs="Times New Roman"/>
          <w:sz w:val="32"/>
          <w:szCs w:val="32"/>
        </w:rPr>
        <w:t>阳江市山水林田湖海要素齐全，山地、丘陵、平原、滩涂、海岛等各类地貌兼备，以山地丘陵为主，山地面积占42.0%、丘陵占25.6%、平原占21.8%</w:t>
      </w:r>
      <w:r>
        <w:rPr>
          <w:rStyle w:val="22"/>
          <w:rFonts w:ascii="Times New Roman" w:hAnsi="Times New Roman" w:eastAsia="仿宋_GB2312" w:cs="Times New Roman"/>
          <w:sz w:val="32"/>
          <w:szCs w:val="32"/>
        </w:rPr>
        <w:footnoteReference w:id="1"/>
      </w:r>
      <w:r>
        <w:rPr>
          <w:rFonts w:ascii="Times New Roman" w:hAnsi="Times New Roman" w:eastAsia="仿宋_GB2312" w:cs="Times New Roman"/>
          <w:sz w:val="32"/>
          <w:szCs w:val="32"/>
        </w:rPr>
        <w:t>。北部有云雾山脉与天露山脉环绕，山峦连绵、群峰起伏，全市最高点为河尾山鹅凰嶂，海拔1337.6米</w:t>
      </w:r>
      <w:r>
        <w:rPr>
          <w:rStyle w:val="22"/>
          <w:rFonts w:ascii="Times New Roman" w:hAnsi="Times New Roman" w:eastAsia="仿宋_GB2312" w:cs="Times New Roman"/>
          <w:sz w:val="32"/>
          <w:szCs w:val="32"/>
        </w:rPr>
        <w:footnoteReference w:id="2"/>
      </w:r>
      <w:r>
        <w:rPr>
          <w:rFonts w:ascii="Times New Roman" w:hAnsi="Times New Roman" w:eastAsia="仿宋_GB2312" w:cs="Times New Roman"/>
          <w:sz w:val="32"/>
          <w:szCs w:val="32"/>
        </w:rPr>
        <w:t>；中部以漠阳江流域为主，自北向南穿城而过，干流长199公里</w:t>
      </w:r>
      <w:r>
        <w:rPr>
          <w:rStyle w:val="22"/>
          <w:rFonts w:ascii="Times New Roman" w:hAnsi="Times New Roman" w:eastAsia="仿宋_GB2312" w:cs="Times New Roman"/>
          <w:sz w:val="32"/>
          <w:szCs w:val="32"/>
        </w:rPr>
        <w:footnoteReference w:id="3"/>
      </w:r>
      <w:r>
        <w:rPr>
          <w:rFonts w:ascii="Times New Roman" w:hAnsi="Times New Roman" w:eastAsia="仿宋_GB2312" w:cs="Times New Roman"/>
          <w:sz w:val="32"/>
          <w:szCs w:val="32"/>
        </w:rPr>
        <w:t>，径流量排名粤西第二；全市大陆海岸线总长331.7公里</w:t>
      </w:r>
      <w:r>
        <w:rPr>
          <w:rStyle w:val="22"/>
          <w:rFonts w:ascii="Times New Roman" w:hAnsi="Times New Roman" w:eastAsia="仿宋_GB2312" w:cs="Times New Roman"/>
          <w:sz w:val="32"/>
          <w:szCs w:val="32"/>
        </w:rPr>
        <w:footnoteReference w:id="4"/>
      </w:r>
      <w:r>
        <w:rPr>
          <w:rFonts w:ascii="Times New Roman" w:hAnsi="Times New Roman" w:eastAsia="仿宋_GB2312" w:cs="Times New Roman"/>
          <w:sz w:val="32"/>
          <w:szCs w:val="32"/>
        </w:rPr>
        <w:t>，海域面积11900平方公里，分布有122处海</w:t>
      </w:r>
      <w:r>
        <w:rPr>
          <w:rFonts w:hint="eastAsia" w:ascii="Calibri" w:hAnsi="Calibri" w:eastAsia="仿宋_GB2312" w:cs="Times New Roman"/>
          <w:sz w:val="32"/>
          <w:szCs w:val="32"/>
        </w:rPr>
        <w:t>岛</w:t>
      </w:r>
      <w:r>
        <w:rPr>
          <w:rStyle w:val="22"/>
          <w:rFonts w:ascii="Calibri" w:hAnsi="Calibri" w:eastAsia="仿宋_GB2312" w:cs="Times New Roman"/>
          <w:sz w:val="32"/>
          <w:szCs w:val="32"/>
        </w:rPr>
        <w:footnoteReference w:id="5"/>
      </w:r>
      <w:r>
        <w:rPr>
          <w:rFonts w:hint="eastAsia" w:ascii="Calibri" w:hAnsi="Calibri" w:eastAsia="仿宋_GB2312" w:cs="Times New Roman"/>
          <w:sz w:val="32"/>
          <w:szCs w:val="32"/>
        </w:rPr>
        <w:t>，其中海陵岛是广东省第四大海岛，拥有珊瑚礁、红树林等海湾生态系统。</w:t>
      </w:r>
    </w:p>
    <w:p w14:paraId="3E625D6F">
      <w:pPr>
        <w:spacing w:line="600" w:lineRule="exact"/>
        <w:ind w:firstLine="643" w:firstLineChars="200"/>
        <w:rPr>
          <w:rFonts w:ascii="Calibri" w:hAnsi="Calibri" w:eastAsia="仿宋_GB2312" w:cs="Times New Roman"/>
          <w:b/>
          <w:bCs/>
          <w:sz w:val="32"/>
          <w:szCs w:val="32"/>
        </w:rPr>
      </w:pPr>
      <w:r>
        <w:rPr>
          <w:rFonts w:hint="eastAsia" w:ascii="Calibri" w:hAnsi="Calibri" w:eastAsia="仿宋_GB2312" w:cs="Times New Roman"/>
          <w:b/>
          <w:bCs/>
          <w:sz w:val="32"/>
          <w:szCs w:val="32"/>
        </w:rPr>
        <w:t>（三）南亚热带特征的生物多样性热点地区</w:t>
      </w:r>
    </w:p>
    <w:p w14:paraId="47A8AAA7">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阳江属于云雾山-天露山、阳江湾海域生物多样性优先保护区，于阳江港分布有一处全球候鸟迁徙节点，生物多样性丰富，广东阳春鹅凰嶂省级自然保护区是全国唯一亚热带珍稀濒危植物王国。市域建有21个自然保护区，29个森林公园，6个湿地公园，其中包含2个红树林国家湿地公园</w:t>
      </w:r>
      <w:r>
        <w:rPr>
          <w:rStyle w:val="22"/>
          <w:rFonts w:ascii="Times New Roman" w:hAnsi="Times New Roman" w:eastAsia="仿宋_GB2312" w:cs="Times New Roman"/>
          <w:sz w:val="32"/>
          <w:szCs w:val="32"/>
        </w:rPr>
        <w:footnoteReference w:id="6"/>
      </w:r>
      <w:r>
        <w:rPr>
          <w:rFonts w:ascii="Times New Roman" w:hAnsi="Times New Roman" w:eastAsia="仿宋_GB2312" w:cs="Times New Roman"/>
          <w:sz w:val="32"/>
          <w:szCs w:val="32"/>
        </w:rPr>
        <w:t>。全市共有维管植物222科969属2300种，有杜鹃红山茶、苏铁、伯乐树、桫椤、猪血木5种国家一级保护植物，以及深山含笑、香樟等16种国家二级保护植物。市域内分布有野生动物366种，鸟类275种，国家一级保护动物包括蟒、巨蜥、白鹳、中华穿山甲共4种，国家二级保护动物23种</w:t>
      </w:r>
      <w:r>
        <w:rPr>
          <w:rStyle w:val="22"/>
          <w:rFonts w:ascii="Times New Roman" w:hAnsi="Times New Roman" w:eastAsia="仿宋_GB2312" w:cs="Times New Roman"/>
          <w:sz w:val="32"/>
          <w:szCs w:val="32"/>
        </w:rPr>
        <w:footnoteReference w:id="7"/>
      </w:r>
      <w:r>
        <w:rPr>
          <w:rFonts w:ascii="Times New Roman" w:hAnsi="Times New Roman" w:eastAsia="仿宋_GB2312" w:cs="Times New Roman"/>
          <w:sz w:val="32"/>
          <w:szCs w:val="32"/>
        </w:rPr>
        <w:t>。阳江市渔业资源丰富，建成海洋与水产类型保护区10个，有海洋滩涂面积19.7万亩，可供养殖15万亩，海水产品产量居全省第二位</w:t>
      </w:r>
      <w:r>
        <w:rPr>
          <w:rStyle w:val="22"/>
          <w:rFonts w:ascii="Times New Roman" w:hAnsi="Times New Roman" w:eastAsia="仿宋_GB2312" w:cs="Times New Roman"/>
          <w:sz w:val="32"/>
          <w:szCs w:val="32"/>
        </w:rPr>
        <w:footnoteReference w:id="8"/>
      </w:r>
      <w:r>
        <w:rPr>
          <w:rFonts w:ascii="Times New Roman" w:hAnsi="Times New Roman" w:eastAsia="仿宋_GB2312" w:cs="Times New Roman"/>
          <w:sz w:val="32"/>
          <w:szCs w:val="32"/>
        </w:rPr>
        <w:t>。</w:t>
      </w:r>
    </w:p>
    <w:p w14:paraId="727C26F1">
      <w:pPr>
        <w:pStyle w:val="4"/>
        <w:spacing w:before="0" w:after="0" w:line="600" w:lineRule="exact"/>
        <w:ind w:firstLine="643"/>
        <w:rPr>
          <w:rFonts w:ascii="仿宋" w:hAnsi="仿宋" w:eastAsia="仿宋"/>
        </w:rPr>
      </w:pPr>
      <w:bookmarkStart w:id="3" w:name="_Toc144401586"/>
      <w:r>
        <w:rPr>
          <w:rFonts w:hint="eastAsia" w:ascii="仿宋" w:hAnsi="仿宋" w:eastAsia="仿宋"/>
        </w:rPr>
        <w:t>二、生态特征</w:t>
      </w:r>
      <w:bookmarkEnd w:id="3"/>
    </w:p>
    <w:p w14:paraId="12BB602D">
      <w:pPr>
        <w:numPr>
          <w:ilvl w:val="0"/>
          <w:numId w:val="2"/>
        </w:numPr>
        <w:spacing w:line="600" w:lineRule="exact"/>
        <w:ind w:firstLine="643" w:firstLineChars="200"/>
        <w:rPr>
          <w:rFonts w:ascii="Calibri" w:hAnsi="Calibri" w:eastAsia="仿宋_GB2312" w:cs="Times New Roman"/>
          <w:b/>
          <w:bCs/>
          <w:sz w:val="32"/>
          <w:szCs w:val="32"/>
        </w:rPr>
      </w:pPr>
      <w:r>
        <w:rPr>
          <w:rFonts w:hint="eastAsia" w:ascii="Calibri" w:hAnsi="Calibri" w:eastAsia="仿宋_GB2312" w:cs="Times New Roman"/>
          <w:b/>
          <w:bCs/>
          <w:sz w:val="32"/>
          <w:szCs w:val="32"/>
        </w:rPr>
        <w:t>生态保护重要性评价：生态本底良好，生态保护极重要区占比较大</w:t>
      </w:r>
    </w:p>
    <w:p w14:paraId="3B61E900">
      <w:pPr>
        <w:spacing w:line="600" w:lineRule="exact"/>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衔接阳江市资源环境承载能力和国土空间开发适宜性评价，全市陆域生态保护极重要</w:t>
      </w:r>
      <w:r>
        <w:rPr>
          <w:rFonts w:ascii="Times New Roman" w:hAnsi="Times New Roman" w:eastAsia="仿宋_GB2312" w:cs="Times New Roman"/>
          <w:sz w:val="32"/>
          <w:szCs w:val="32"/>
        </w:rPr>
        <w:t>区3680.28 平方</w:t>
      </w:r>
      <w:r>
        <w:rPr>
          <w:rFonts w:hint="eastAsia" w:ascii="Calibri" w:hAnsi="Calibri" w:eastAsia="仿宋_GB2312" w:cs="Times New Roman"/>
          <w:sz w:val="32"/>
          <w:szCs w:val="32"/>
        </w:rPr>
        <w:t>公里，占全</w:t>
      </w:r>
      <w:r>
        <w:rPr>
          <w:rFonts w:ascii="Times New Roman" w:hAnsi="Times New Roman" w:eastAsia="仿宋_GB2312" w:cs="Times New Roman"/>
          <w:sz w:val="32"/>
          <w:szCs w:val="32"/>
        </w:rPr>
        <w:t>市土地总面积的46.25%</w:t>
      </w:r>
      <w:r>
        <w:rPr>
          <w:rStyle w:val="22"/>
          <w:rFonts w:ascii="Times New Roman" w:hAnsi="Times New Roman" w:eastAsia="仿宋_GB2312" w:cs="Times New Roman"/>
          <w:sz w:val="32"/>
          <w:szCs w:val="32"/>
        </w:rPr>
        <w:footnoteReference w:id="9"/>
      </w:r>
      <w:r>
        <w:rPr>
          <w:rFonts w:ascii="Times New Roman" w:hAnsi="Times New Roman" w:eastAsia="仿宋_GB2312" w:cs="Times New Roman"/>
          <w:sz w:val="32"/>
          <w:szCs w:val="32"/>
        </w:rPr>
        <w:t>，主要分布在云雾山、天露山、河尾山等山体以及主要河流。海域生态保护极重要区899.05平方公里，占海域面积的7.54%，主要分布在海陵大堤东、青洲岛、大树岛、海陵岛南外海重要渔业海域、海头湾重要砂质岸线、海陵湾近江牡蛎国家级水产种质资源保护区以及南鹏列岛海洋生态地方级自然保护区等。</w:t>
      </w:r>
    </w:p>
    <w:p w14:paraId="5C592809">
      <w:pPr>
        <w:numPr>
          <w:ilvl w:val="0"/>
          <w:numId w:val="2"/>
        </w:numPr>
        <w:spacing w:line="60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生态系统敏感性评价：中高敏感地区占市域面积比例超60%</w:t>
      </w:r>
    </w:p>
    <w:p w14:paraId="537302F7">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阳江市生态系统敏感区域占全市陆域面积比例约为85.7%，呈北高南低的分布态势，主要生态系统类型包括森林生态系统、河流生态系统、农田生态系统等。通过对阳江市生态系统敏感性总体评价发现：全市中高敏感区域面积约4983平方公里，占阳江市陆域面积比例约为62.55%，主要分布在北部和西部的山体屏障，包括云雾山、天露山、河尾山等区域，该区域强降雨时易发生崩塌、滑坡、泥石流等灾害风险，需进行重点保护。</w:t>
      </w:r>
    </w:p>
    <w:p w14:paraId="1D10490F">
      <w:pPr>
        <w:numPr>
          <w:ilvl w:val="0"/>
          <w:numId w:val="2"/>
        </w:numPr>
        <w:spacing w:line="600" w:lineRule="exact"/>
        <w:ind w:firstLine="643" w:firstLineChars="200"/>
        <w:rPr>
          <w:rFonts w:ascii="Calibri" w:hAnsi="Calibri" w:eastAsia="仿宋_GB2312" w:cs="Times New Roman"/>
          <w:b/>
          <w:bCs/>
          <w:sz w:val="32"/>
          <w:szCs w:val="32"/>
        </w:rPr>
      </w:pPr>
      <w:r>
        <w:rPr>
          <w:rFonts w:hint="eastAsia" w:ascii="Calibri" w:hAnsi="Calibri" w:eastAsia="仿宋_GB2312" w:cs="Times New Roman"/>
          <w:b/>
          <w:bCs/>
          <w:sz w:val="32"/>
          <w:szCs w:val="32"/>
        </w:rPr>
        <w:t>生态系统恢复力评价：中心城区周边生态系统质量存在下降趋势</w:t>
      </w:r>
    </w:p>
    <w:p w14:paraId="5A546E79">
      <w:pPr>
        <w:spacing w:line="600" w:lineRule="exact"/>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根据阳江市历年土地利用类型、植被因子覆盖等空间数据的变化情况，进行多源数据时空对比分析，开展阳江市生态系统退化程度综合评价。全市建设用地近二十年呈现出逐年递增且不断向外扩展的趋势，中心城区周边生态系统质量下降较为明显，由于不规范工程项目建设及周边矿山开采，加剧了植被退化、水土流失的风险，漠阳江水域周边及阳江市海岸线周边整体生态质量有所降低，存在一定的退化情况。此外，紫罗山、大岗岭及龙高山周边由于生态环境的保护维育，其生态系统质量有一定提升。</w:t>
      </w:r>
    </w:p>
    <w:p w14:paraId="2754AF62">
      <w:pPr>
        <w:numPr>
          <w:ilvl w:val="0"/>
          <w:numId w:val="2"/>
        </w:numPr>
        <w:spacing w:line="600" w:lineRule="exact"/>
        <w:ind w:firstLine="643" w:firstLineChars="200"/>
        <w:rPr>
          <w:rFonts w:ascii="Calibri" w:hAnsi="Calibri" w:eastAsia="仿宋_GB2312" w:cs="Times New Roman"/>
          <w:b/>
          <w:bCs/>
          <w:sz w:val="32"/>
          <w:szCs w:val="32"/>
        </w:rPr>
      </w:pPr>
      <w:r>
        <w:rPr>
          <w:rFonts w:hint="eastAsia" w:ascii="Calibri" w:hAnsi="Calibri" w:eastAsia="仿宋_GB2312" w:cs="Times New Roman"/>
          <w:b/>
          <w:bCs/>
          <w:sz w:val="32"/>
          <w:szCs w:val="32"/>
        </w:rPr>
        <w:t>生态网络格局综合评估：城区地带缺乏稳定生态廊道结构连接</w:t>
      </w:r>
    </w:p>
    <w:p w14:paraId="2F5C15CB">
      <w:pPr>
        <w:spacing w:line="600" w:lineRule="exact"/>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基于阳江市第三次全国国土调查数据，采用最小累积阻力模型（</w:t>
      </w:r>
      <w:r>
        <w:rPr>
          <w:rFonts w:ascii="Times New Roman" w:hAnsi="Times New Roman" w:eastAsia="仿宋_GB2312" w:cs="Times New Roman"/>
          <w:sz w:val="32"/>
          <w:szCs w:val="32"/>
        </w:rPr>
        <w:t>MCR</w:t>
      </w:r>
      <w:r>
        <w:rPr>
          <w:rFonts w:hint="eastAsia" w:ascii="Calibri" w:hAnsi="Calibri" w:eastAsia="仿宋_GB2312" w:cs="Times New Roman"/>
          <w:sz w:val="32"/>
          <w:szCs w:val="32"/>
        </w:rPr>
        <w:t>）开展现状生态保护网络格局评估。生态源地主要分布于云雾山脉与天露山脉周边，包括龙高山、望夫山、东岸岭等重要山体，以及程村湾、漠阳江出海口等湿地滩涂区域。该区域受人类干扰较少，生境质量相对较好。生态阻力较高区域主要分布于阳江市中心城区、区（县）驻地、大型农村居民点、线性交通道路及周边区域，该区域受人类活动影响较大，生态空间受到城镇发展的挤压和蚕食。</w:t>
      </w:r>
    </w:p>
    <w:p w14:paraId="4455C6F5">
      <w:pPr>
        <w:spacing w:line="600" w:lineRule="exact"/>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全</w:t>
      </w:r>
      <w:r>
        <w:rPr>
          <w:rFonts w:ascii="Times New Roman" w:hAnsi="Times New Roman" w:eastAsia="仿宋_GB2312" w:cs="Times New Roman"/>
          <w:sz w:val="32"/>
          <w:szCs w:val="32"/>
        </w:rPr>
        <w:t>市现有38处生态源地、84条生态廊道构成生态保护网络体系。市域生态廊道集中分布于北部山地森</w:t>
      </w:r>
      <w:r>
        <w:rPr>
          <w:rFonts w:hint="eastAsia" w:ascii="Calibri" w:hAnsi="Calibri" w:eastAsia="仿宋_GB2312" w:cs="Times New Roman"/>
          <w:sz w:val="32"/>
          <w:szCs w:val="32"/>
        </w:rPr>
        <w:t>林屏障区域，廊道密集且宽度较宽，生态质量较高。中心城区周边尤其是漠阳江下游地区由于缺乏大型生态斑块作为生态“中转站”，廊道稀疏且连接长度较长，生态脆弱性相对较高，容易出现断裂情况。穿越中心城区内部的生态廊道数量较少且宽度较窄，生态效益不明显。全市生态源地和生态斑块之间的廊道主要以河流水系作为连通纽带，对维护区域生态、农业、城镇地区的生物多样性具有重要作用。</w:t>
      </w:r>
    </w:p>
    <w:p w14:paraId="22A6590A">
      <w:pPr>
        <w:pStyle w:val="3"/>
        <w:spacing w:beforeLines="50" w:afterLines="50"/>
        <w:ind w:firstLine="0" w:firstLineChars="0"/>
        <w:jc w:val="center"/>
        <w:rPr>
          <w:rFonts w:ascii="楷体" w:hAnsi="楷体" w:eastAsia="楷体"/>
          <w:b/>
          <w:bCs w:val="0"/>
        </w:rPr>
      </w:pPr>
      <w:bookmarkStart w:id="4" w:name="_Toc181820159"/>
      <w:r>
        <w:rPr>
          <w:rFonts w:hint="eastAsia" w:ascii="楷体" w:hAnsi="楷体" w:eastAsia="楷体"/>
          <w:b/>
          <w:bCs w:val="0"/>
        </w:rPr>
        <w:t>第二节 生态保护修复成效</w:t>
      </w:r>
      <w:bookmarkEnd w:id="4"/>
    </w:p>
    <w:p w14:paraId="4F8DB549">
      <w:pPr>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全市生态保护格局逐步完善。</w:t>
      </w:r>
      <w:r>
        <w:rPr>
          <w:rFonts w:ascii="Times New Roman" w:hAnsi="Times New Roman" w:eastAsia="仿宋_GB2312" w:cs="Times New Roman"/>
          <w:sz w:val="32"/>
          <w:szCs w:val="32"/>
        </w:rPr>
        <w:t>全市划定生态保护红线3000.46平方公里，以百涌、鹅凰嶂自然保护区，海陵岛风景名胜区，东水山、寿长河、凌霄岩、月亮湾自然公园等为主体的自然保护地体系基本建立。重要野生动物、南亚热带季风常绿阔叶林、红树林等主要陆地与海洋生态系统得到有效保护，森林、河湖、湿地、海洋等生态状况明显改善。</w:t>
      </w:r>
    </w:p>
    <w:p w14:paraId="7752EC23">
      <w:pPr>
        <w:ind w:firstLine="643" w:firstLineChars="200"/>
        <w:rPr>
          <w:rFonts w:ascii="Calibri" w:hAnsi="Calibri" w:eastAsia="仿宋_GB2312" w:cs="Times New Roman"/>
          <w:sz w:val="32"/>
          <w:szCs w:val="32"/>
        </w:rPr>
      </w:pPr>
      <w:r>
        <w:rPr>
          <w:rFonts w:ascii="Times New Roman" w:hAnsi="Times New Roman" w:eastAsia="仿宋_GB2312" w:cs="Times New Roman"/>
          <w:b/>
          <w:sz w:val="32"/>
          <w:szCs w:val="32"/>
        </w:rPr>
        <w:t>森林资源保护能力全面提升。</w:t>
      </w:r>
      <w:r>
        <w:rPr>
          <w:rFonts w:ascii="Times New Roman" w:hAnsi="Times New Roman" w:eastAsia="仿宋_GB2312" w:cs="Times New Roman"/>
          <w:bCs/>
          <w:sz w:val="32"/>
          <w:szCs w:val="32"/>
        </w:rPr>
        <w:t>一是</w:t>
      </w:r>
      <w:r>
        <w:rPr>
          <w:rFonts w:ascii="Times New Roman" w:hAnsi="Times New Roman" w:eastAsia="仿宋_GB2312" w:cs="Times New Roman"/>
          <w:sz w:val="32"/>
          <w:szCs w:val="32"/>
        </w:rPr>
        <w:t>森林资源总量稳步增长。截至2022年底，阳江市森林蓄积量达3039.72万立方米，森林覆盖率57.62%</w:t>
      </w:r>
      <w:r>
        <w:rPr>
          <w:rStyle w:val="22"/>
          <w:rFonts w:ascii="Times New Roman" w:hAnsi="Times New Roman" w:eastAsia="仿宋_GB2312" w:cs="Times New Roman"/>
          <w:sz w:val="32"/>
          <w:szCs w:val="32"/>
        </w:rPr>
        <w:footnoteReference w:id="10"/>
      </w:r>
      <w:r>
        <w:rPr>
          <w:rFonts w:ascii="Times New Roman" w:hAnsi="Times New Roman" w:eastAsia="仿宋_GB2312" w:cs="Times New Roman"/>
          <w:sz w:val="32"/>
          <w:szCs w:val="32"/>
        </w:rPr>
        <w:t>，阳春获评“岭南生态康养胜地”</w:t>
      </w:r>
      <w:r>
        <w:rPr>
          <w:rStyle w:val="22"/>
          <w:rFonts w:ascii="Times New Roman" w:hAnsi="Times New Roman" w:eastAsia="仿宋_GB2312" w:cs="Times New Roman"/>
          <w:sz w:val="32"/>
          <w:szCs w:val="32"/>
        </w:rPr>
        <w:footnoteReference w:id="11"/>
      </w:r>
      <w:r>
        <w:rPr>
          <w:rFonts w:ascii="Times New Roman" w:hAnsi="Times New Roman" w:eastAsia="仿宋_GB2312" w:cs="Times New Roman"/>
          <w:sz w:val="32"/>
          <w:szCs w:val="32"/>
        </w:rPr>
        <w:t>。</w:t>
      </w:r>
      <w:r>
        <w:rPr>
          <w:rFonts w:ascii="Times New Roman" w:hAnsi="Times New Roman" w:eastAsia="仿宋_GB2312" w:cs="Times New Roman"/>
          <w:bCs/>
          <w:sz w:val="32"/>
          <w:szCs w:val="32"/>
        </w:rPr>
        <w:t>二是</w:t>
      </w:r>
      <w:r>
        <w:rPr>
          <w:rFonts w:ascii="Times New Roman" w:hAnsi="Times New Roman" w:eastAsia="仿宋_GB2312" w:cs="Times New Roman"/>
          <w:sz w:val="32"/>
          <w:szCs w:val="32"/>
        </w:rPr>
        <w:t>生物多样性保护成果明显。2012-2022年，阳江境内发现野生动物种类从266种发展到466种。2021年，科研监测发现中华穿山甲，为粤西地区首次。季节性迁徙途经阳江市的野生鸟类逐年增多，勺嘴鹬、黑脸琵鹭等国家一级珍稀濒危鸟类频繁造访</w:t>
      </w:r>
      <w:r>
        <w:rPr>
          <w:rStyle w:val="22"/>
          <w:rFonts w:ascii="Times New Roman" w:hAnsi="Times New Roman" w:eastAsia="仿宋_GB2312" w:cs="Times New Roman"/>
          <w:sz w:val="32"/>
          <w:szCs w:val="32"/>
        </w:rPr>
        <w:footnoteReference w:id="12"/>
      </w:r>
      <w:r>
        <w:rPr>
          <w:rFonts w:ascii="Times New Roman" w:hAnsi="Times New Roman" w:eastAsia="仿宋_GB2312" w:cs="Times New Roman"/>
          <w:sz w:val="32"/>
          <w:szCs w:val="32"/>
        </w:rPr>
        <w:t>。三是城市绿化质量大幅提升。“2020至2022年间，全市建成区绿地率由28.35%增加到34.68%，绿化覆盖率由29.03%增加到37.33%</w:t>
      </w:r>
      <w:r>
        <w:rPr>
          <w:rStyle w:val="22"/>
          <w:rFonts w:ascii="Times New Roman" w:hAnsi="Times New Roman" w:eastAsia="仿宋_GB2312" w:cs="Times New Roman"/>
          <w:sz w:val="32"/>
          <w:szCs w:val="32"/>
        </w:rPr>
        <w:footnoteReference w:id="13"/>
      </w:r>
      <w:r>
        <w:rPr>
          <w:rFonts w:ascii="Times New Roman" w:hAnsi="Times New Roman" w:eastAsia="仿宋_GB2312" w:cs="Times New Roman"/>
          <w:sz w:val="32"/>
          <w:szCs w:val="32"/>
        </w:rPr>
        <w:t>，2022年，阳江市城市人均公园绿地面积25.79平方米。</w:t>
      </w:r>
    </w:p>
    <w:p w14:paraId="6A85E2D6">
      <w:pPr>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漠阳江流域及周边湖库生态治理成效明显。</w:t>
      </w:r>
      <w:r>
        <w:rPr>
          <w:rFonts w:ascii="Times New Roman" w:hAnsi="Times New Roman" w:eastAsia="仿宋_GB2312" w:cs="Times New Roman"/>
          <w:sz w:val="32"/>
          <w:szCs w:val="32"/>
        </w:rPr>
        <w:t>截止</w:t>
      </w:r>
      <w:r>
        <w:rPr>
          <w:rFonts w:ascii="Times New Roman" w:hAnsi="Times New Roman" w:eastAsia="仿宋_GB2312" w:cs="Times New Roman"/>
          <w:color w:val="0C0C0C" w:themeColor="text1" w:themeTint="F2"/>
          <w:sz w:val="32"/>
          <w:szCs w:val="32"/>
        </w:rPr>
        <w:t>2022年底，全市地表水资源量为131.7亿立方米，折合年径流深 1674.5 毫米，人均地表水资源位列全省较前位置</w:t>
      </w:r>
      <w:r>
        <w:rPr>
          <w:rStyle w:val="22"/>
          <w:rFonts w:ascii="Times New Roman" w:hAnsi="Times New Roman" w:eastAsia="仿宋_GB2312" w:cs="Times New Roman"/>
          <w:sz w:val="32"/>
          <w:szCs w:val="32"/>
        </w:rPr>
        <w:footnoteReference w:id="14"/>
      </w:r>
      <w:r>
        <w:rPr>
          <w:rFonts w:ascii="Times New Roman" w:hAnsi="Times New Roman" w:eastAsia="仿宋_GB2312" w:cs="Times New Roman"/>
          <w:color w:val="0C0C0C" w:themeColor="text1" w:themeTint="F2"/>
          <w:sz w:val="32"/>
          <w:szCs w:val="32"/>
        </w:rPr>
        <w:t>。23个水功能区中，主要河流漠阳江、西山河和潭水河水质皆达到或优于Ⅲ类；13宗水库中有12宗达到或优于Ⅲ类</w:t>
      </w:r>
      <w:r>
        <w:rPr>
          <w:rStyle w:val="22"/>
          <w:rFonts w:ascii="Times New Roman" w:hAnsi="Times New Roman" w:eastAsia="仿宋_GB2312" w:cs="Times New Roman"/>
          <w:sz w:val="32"/>
          <w:szCs w:val="32"/>
        </w:rPr>
        <w:footnoteReference w:id="15"/>
      </w:r>
      <w:r>
        <w:rPr>
          <w:rFonts w:ascii="Times New Roman" w:hAnsi="Times New Roman" w:eastAsia="仿宋_GB2312" w:cs="Times New Roman"/>
          <w:color w:val="0C0C0C" w:themeColor="text1" w:themeTint="F2"/>
          <w:sz w:val="32"/>
          <w:szCs w:val="32"/>
        </w:rPr>
        <w:t>。</w:t>
      </w:r>
      <w:r>
        <w:rPr>
          <w:rFonts w:ascii="Times New Roman" w:hAnsi="Times New Roman" w:eastAsia="仿宋_GB2312" w:cs="Times New Roman"/>
          <w:sz w:val="32"/>
          <w:szCs w:val="32"/>
        </w:rPr>
        <w:t>近年来，通过漠阳江流域综合整治，在水资源保护上取得了一系列成绩，尤其是在全面推行河长制工作上，有力推动了全市河湖面貌持续改善，不断提升阳江建设宜居宜业宜游现代化滨海城市的“颜值”和生态宜居水平。</w:t>
      </w:r>
    </w:p>
    <w:p w14:paraId="6E5A48C1">
      <w:pPr>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历史遗留矿山修复治理工作、绿色矿山建设工作稳步推进。</w:t>
      </w:r>
      <w:r>
        <w:rPr>
          <w:rFonts w:ascii="Times New Roman" w:hAnsi="Times New Roman" w:eastAsia="仿宋_GB2312" w:cs="Times New Roman"/>
          <w:sz w:val="32"/>
          <w:szCs w:val="32"/>
        </w:rPr>
        <w:t>截至2021年10月，市域内历史遗留矿山（10类图斑）总数为60处，总面积约为160.81公顷，其中已恢复治理14处，面积约为104.90公顷，已恢复治理面积占比65.2%</w:t>
      </w:r>
      <w:r>
        <w:rPr>
          <w:rStyle w:val="22"/>
          <w:rFonts w:ascii="Times New Roman" w:hAnsi="Times New Roman" w:cs="Times New Roman"/>
          <w:sz w:val="32"/>
          <w:szCs w:val="32"/>
        </w:rPr>
        <w:footnoteReference w:id="16"/>
      </w:r>
      <w:r>
        <w:rPr>
          <w:rFonts w:ascii="Times New Roman" w:hAnsi="Times New Roman" w:eastAsia="仿宋_GB2312" w:cs="Times New Roman"/>
          <w:sz w:val="32"/>
          <w:szCs w:val="32"/>
        </w:rPr>
        <w:t>。2017年至2022年，我市共建成绿色矿山21个，其中省级绿色矿山13个（其中1个被评为国家级绿色矿山），市级绿色矿山8个。</w:t>
      </w:r>
    </w:p>
    <w:p w14:paraId="6A6D1C2D">
      <w:pPr>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海洋生态环境持续改善。</w:t>
      </w:r>
      <w:r>
        <w:rPr>
          <w:rFonts w:ascii="Times New Roman" w:hAnsi="Times New Roman" w:eastAsia="仿宋_GB2312" w:cs="Times New Roman"/>
          <w:sz w:val="32"/>
          <w:szCs w:val="32"/>
        </w:rPr>
        <w:t>一是持续净化近岸海域水环境，2022年阳江市优良近岸海域水质面积比例为98.1%，高于考核目标（96.4%）1.7个百分点，较2021年上升0.4个百分点。其中一类水质面积比例为88.4%，二类水质面积比例为9.7%。劣四类面积比例为0.6%，较2021年下降0.2个百分点</w:t>
      </w:r>
      <w:r>
        <w:rPr>
          <w:rStyle w:val="22"/>
          <w:rFonts w:ascii="Times New Roman" w:hAnsi="Times New Roman" w:eastAsia="仿宋_GB2312" w:cs="Times New Roman"/>
          <w:sz w:val="32"/>
          <w:szCs w:val="32"/>
        </w:rPr>
        <w:footnoteReference w:id="17"/>
      </w:r>
      <w:r>
        <w:rPr>
          <w:rFonts w:ascii="Times New Roman" w:hAnsi="Times New Roman" w:eastAsia="仿宋_GB2312" w:cs="Times New Roman"/>
          <w:sz w:val="32"/>
          <w:szCs w:val="32"/>
        </w:rPr>
        <w:t>。二是持续推进海水养殖尾水治理工作。至2022年年底，全市沿海有需整改养殖尾水整改的面积约10.6563万亩，已完成整改的养殖面积有6.0554万亩，完成率为56.82 %</w:t>
      </w:r>
      <w:r>
        <w:rPr>
          <w:rStyle w:val="22"/>
          <w:rFonts w:ascii="Times New Roman" w:hAnsi="Times New Roman" w:eastAsia="仿宋_GB2312" w:cs="Times New Roman"/>
          <w:sz w:val="32"/>
          <w:szCs w:val="32"/>
        </w:rPr>
        <w:footnoteReference w:id="18"/>
      </w:r>
      <w:r>
        <w:rPr>
          <w:rFonts w:ascii="Times New Roman" w:hAnsi="Times New Roman" w:eastAsia="仿宋_GB2312" w:cs="Times New Roman"/>
          <w:sz w:val="32"/>
          <w:szCs w:val="32"/>
        </w:rPr>
        <w:t>。完成了2022年的阶段性任务。三是入河（海）排污口排查整改，至2022年，阳江市206个入河排污口中已完成排查整改的有133个，完成整治任务的64.56%</w:t>
      </w:r>
      <w:r>
        <w:rPr>
          <w:rStyle w:val="22"/>
          <w:rFonts w:ascii="Times New Roman" w:hAnsi="Times New Roman" w:eastAsia="仿宋_GB2312" w:cs="Times New Roman"/>
          <w:sz w:val="32"/>
          <w:szCs w:val="32"/>
        </w:rPr>
        <w:footnoteReference w:id="19"/>
      </w:r>
      <w:r>
        <w:rPr>
          <w:rFonts w:ascii="Times New Roman" w:hAnsi="Times New Roman" w:eastAsia="仿宋_GB2312" w:cs="Times New Roman"/>
          <w:sz w:val="32"/>
          <w:szCs w:val="32"/>
        </w:rPr>
        <w:t>。四是</w:t>
      </w:r>
      <w:bookmarkStart w:id="5" w:name="_Hlk181811728"/>
      <w:r>
        <w:rPr>
          <w:rFonts w:ascii="Times New Roman" w:hAnsi="Times New Roman" w:eastAsia="仿宋_GB2312" w:cs="Times New Roman"/>
          <w:sz w:val="32"/>
          <w:szCs w:val="32"/>
        </w:rPr>
        <w:t>高标准推进红树林修复</w:t>
      </w:r>
      <w:bookmarkEnd w:id="5"/>
      <w:r>
        <w:rPr>
          <w:rFonts w:ascii="Times New Roman" w:hAnsi="Times New Roman" w:eastAsia="仿宋_GB2312" w:cs="Times New Roman"/>
          <w:sz w:val="32"/>
          <w:szCs w:val="32"/>
        </w:rPr>
        <w:t>，2022年6月，阳西县启动程村湾“蓝色海湾”综合整治行动，作为2020年广东唯一入选中央海洋生态保护修复项目清单的项目，该项目红树林修复面积为200公顷，构建鸟类栖息地和觅食地面积107.74公顷，总投资约1.7亿元</w:t>
      </w:r>
      <w:r>
        <w:rPr>
          <w:rStyle w:val="22"/>
          <w:rFonts w:ascii="Times New Roman" w:hAnsi="Times New Roman" w:eastAsia="仿宋_GB2312" w:cs="Times New Roman"/>
          <w:sz w:val="32"/>
          <w:szCs w:val="32"/>
        </w:rPr>
        <w:footnoteReference w:id="20"/>
      </w:r>
      <w:r>
        <w:rPr>
          <w:rFonts w:ascii="Times New Roman" w:hAnsi="Times New Roman" w:eastAsia="仿宋_GB2312" w:cs="Times New Roman"/>
          <w:sz w:val="32"/>
          <w:szCs w:val="32"/>
        </w:rPr>
        <w:t>。</w:t>
      </w:r>
    </w:p>
    <w:p w14:paraId="4278AC97">
      <w:pPr>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高标准推进红树林修复。</w:t>
      </w:r>
      <w:r>
        <w:rPr>
          <w:rFonts w:ascii="Times New Roman" w:hAnsi="Times New Roman" w:eastAsia="仿宋_GB2312" w:cs="Times New Roman"/>
          <w:sz w:val="32"/>
          <w:szCs w:val="32"/>
        </w:rPr>
        <w:t>近年来，阳江不断加大力度推进红树林的保护和建设，已建成约2万亩红树林，各大红树林湿地公园已初具规模，创出了“阳江经验”。2019年，阳江市海陵岛红树林国家湿地公园通过验收，正式成为“国家湿地公园”；2022年，阳东寿长河红树林国家湿地公园通过验收、成为全省首个河流型红树林国家湿地公园。2020-2022年，全市种植红树林面积4210多亩</w:t>
      </w:r>
      <w:r>
        <w:rPr>
          <w:rStyle w:val="22"/>
          <w:rFonts w:ascii="Times New Roman" w:hAnsi="Times New Roman" w:eastAsia="仿宋_GB2312" w:cs="Times New Roman"/>
          <w:sz w:val="32"/>
          <w:szCs w:val="32"/>
        </w:rPr>
        <w:footnoteReference w:id="21"/>
      </w:r>
      <w:r>
        <w:rPr>
          <w:rFonts w:ascii="Times New Roman" w:hAnsi="Times New Roman" w:eastAsia="仿宋_GB2312" w:cs="Times New Roman"/>
          <w:sz w:val="32"/>
          <w:szCs w:val="32"/>
        </w:rPr>
        <w:t>，抚育红树林面积1790多亩，初步形成湿地公园和自然保护区的保护体系，形成了具有生物多样性和保护良好的“海上森林”。</w:t>
      </w:r>
    </w:p>
    <w:p w14:paraId="0FE021A1">
      <w:pPr>
        <w:pStyle w:val="3"/>
        <w:spacing w:beforeLines="50" w:afterLines="50"/>
        <w:ind w:firstLine="0" w:firstLineChars="0"/>
        <w:jc w:val="center"/>
        <w:rPr>
          <w:rFonts w:ascii="楷体" w:hAnsi="楷体" w:eastAsia="楷体"/>
          <w:b/>
          <w:bCs w:val="0"/>
        </w:rPr>
      </w:pPr>
      <w:bookmarkStart w:id="6" w:name="_Toc181820160"/>
      <w:r>
        <w:rPr>
          <w:rFonts w:hint="eastAsia" w:ascii="楷体" w:hAnsi="楷体" w:eastAsia="楷体"/>
          <w:b/>
          <w:bCs w:val="0"/>
        </w:rPr>
        <w:t>第三节 主要生态问题</w:t>
      </w:r>
      <w:bookmarkEnd w:id="6"/>
    </w:p>
    <w:p w14:paraId="56108DCC">
      <w:pPr>
        <w:pStyle w:val="4"/>
        <w:spacing w:before="0" w:after="0" w:line="600" w:lineRule="exact"/>
        <w:ind w:firstLine="643"/>
        <w:rPr>
          <w:rFonts w:ascii="仿宋" w:hAnsi="仿宋" w:eastAsia="仿宋"/>
        </w:rPr>
      </w:pPr>
      <w:r>
        <w:rPr>
          <w:rFonts w:hint="eastAsia" w:ascii="仿宋" w:hAnsi="仿宋" w:eastAsia="仿宋"/>
        </w:rPr>
        <w:t>一、全域系统性生态问题</w:t>
      </w:r>
    </w:p>
    <w:p w14:paraId="0E84B7E9">
      <w:pPr>
        <w:spacing w:line="600" w:lineRule="exact"/>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阳江市山水林田湖海等各类自然生态要素齐备，但近年来随着城镇化工业化的快速推进，全域生态系统质量和功能有所下降，市域生态廊道网络结构和体系有待进一步优化和提升，具体表现为：</w:t>
      </w:r>
    </w:p>
    <w:p w14:paraId="23AA646A">
      <w:pPr>
        <w:spacing w:line="600" w:lineRule="exact"/>
        <w:ind w:firstLine="643" w:firstLineChars="200"/>
        <w:rPr>
          <w:rFonts w:ascii="Calibri" w:hAnsi="Calibri" w:eastAsia="仿宋_GB2312" w:cs="Times New Roman"/>
          <w:b/>
          <w:bCs/>
          <w:sz w:val="32"/>
          <w:szCs w:val="32"/>
        </w:rPr>
      </w:pPr>
      <w:r>
        <w:rPr>
          <w:rFonts w:hint="eastAsia" w:ascii="Calibri" w:hAnsi="Calibri" w:eastAsia="仿宋_GB2312" w:cs="Times New Roman"/>
          <w:b/>
          <w:bCs/>
          <w:sz w:val="32"/>
          <w:szCs w:val="32"/>
        </w:rPr>
        <w:t>（一）全域生态系统的质量和功能有所下降</w:t>
      </w:r>
    </w:p>
    <w:p w14:paraId="3505547E">
      <w:pPr>
        <w:spacing w:line="600" w:lineRule="exact"/>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由于城市建设、矿业开采、农业开发和其他人类活动胁迫影响，天露山、云雾山及漠阳江等部分自然生态系统存在受损、退化或破坏现象，生态</w:t>
      </w:r>
      <w:r>
        <w:rPr>
          <w:rFonts w:ascii="Times New Roman" w:hAnsi="Times New Roman" w:eastAsia="仿宋_GB2312" w:cs="Times New Roman"/>
          <w:sz w:val="32"/>
          <w:szCs w:val="32"/>
        </w:rPr>
        <w:t>用地呈现破碎化趋势。近30年来中心城区范围内生态退化程度最为明显，退化区域占全市退化范围的60%以上。整体生态系统的质量和功能有待进一步提升，布局有待进一步优化。</w:t>
      </w:r>
    </w:p>
    <w:p w14:paraId="29C8CC68">
      <w:pPr>
        <w:spacing w:line="600" w:lineRule="exact"/>
        <w:ind w:firstLine="643" w:firstLineChars="200"/>
        <w:rPr>
          <w:rFonts w:ascii="Calibri" w:hAnsi="Calibri" w:eastAsia="仿宋_GB2312" w:cs="Times New Roman"/>
          <w:b/>
          <w:bCs/>
          <w:sz w:val="32"/>
          <w:szCs w:val="32"/>
        </w:rPr>
      </w:pPr>
      <w:r>
        <w:rPr>
          <w:rFonts w:hint="eastAsia" w:ascii="Calibri" w:hAnsi="Calibri" w:eastAsia="仿宋_GB2312" w:cs="Times New Roman"/>
          <w:b/>
          <w:bCs/>
          <w:sz w:val="32"/>
          <w:szCs w:val="32"/>
        </w:rPr>
        <w:t>（二）生态廊道网络结构有待进一步优化提升</w:t>
      </w:r>
    </w:p>
    <w:p w14:paraId="29F74B8D">
      <w:pPr>
        <w:spacing w:line="600" w:lineRule="exact"/>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全市现状生态网络存在空间分布不均衡的情况。市域范围内大型生态源地斑块主要集中在北部，云雾山、天露山范围内的生态源地斑块及廊道数量占比达到七成以上。中心城区范围内生态源地斑块整体数量较少、质量不高，主要生态源之间缺乏连续贯通的生态联系通道，廊道真空区域达到60%。且受到城镇与农业空间开发利用的影响，整体景观格局呈现出孤岛化和碎片化状态，致使部分生态廊道连通路径过长，稳定性程度不足，整体廊道网络结构有待进一步优化和提升。</w:t>
      </w:r>
    </w:p>
    <w:p w14:paraId="13D8C771">
      <w:pPr>
        <w:spacing w:line="600" w:lineRule="exact"/>
        <w:ind w:firstLine="643" w:firstLineChars="200"/>
        <w:rPr>
          <w:rFonts w:ascii="Calibri" w:hAnsi="Calibri" w:eastAsia="仿宋_GB2312" w:cs="Times New Roman"/>
          <w:b/>
          <w:bCs/>
          <w:sz w:val="32"/>
          <w:szCs w:val="32"/>
        </w:rPr>
      </w:pPr>
      <w:r>
        <w:rPr>
          <w:rFonts w:hint="eastAsia" w:ascii="Calibri" w:hAnsi="Calibri" w:eastAsia="仿宋_GB2312" w:cs="Times New Roman"/>
          <w:b/>
          <w:bCs/>
          <w:sz w:val="32"/>
          <w:szCs w:val="32"/>
        </w:rPr>
        <w:t>（三）三类空间比例失调引发生态系统功能退化</w:t>
      </w:r>
    </w:p>
    <w:p w14:paraId="39B0EFEC">
      <w:pPr>
        <w:spacing w:line="600" w:lineRule="exact"/>
        <w:ind w:firstLine="640" w:firstLineChars="200"/>
        <w:rPr>
          <w:rFonts w:ascii="黑体" w:hAnsi="黑体" w:eastAsia="黑体" w:cs="Times New Roman"/>
          <w:sz w:val="32"/>
          <w:szCs w:val="32"/>
        </w:rPr>
      </w:pPr>
      <w:r>
        <w:rPr>
          <w:rFonts w:hint="eastAsia" w:ascii="Calibri" w:hAnsi="Calibri" w:eastAsia="仿宋_GB2312" w:cs="Times New Roman"/>
          <w:sz w:val="32"/>
          <w:szCs w:val="32"/>
        </w:rPr>
        <w:t>随着阳江市城市化进程的推进，一定程度上影响了生态系统原有的物质循环、能量流动关系。部分生态空间由于人类活动及矿山开采影响，出现了水土流失、河湖污染、林地退化等生态退化风险。全市中高敏感区域占陆域面积比例超过60%，极易受到城镇空间与农业空间的挤压，导致生态保护压力较大。农业空间则受到快速城镇化的影响，带来耕地质量下降、农业面源污染等问题，农村人居环境品质也有待进一步提升。而城镇空间中市区建成区面积近二十年间增加了4.6倍，对全域生态系统的稳定性造成了较大的冲击。</w:t>
      </w:r>
    </w:p>
    <w:p w14:paraId="0E7C3717">
      <w:pPr>
        <w:pStyle w:val="4"/>
        <w:spacing w:before="0" w:after="0" w:line="600" w:lineRule="exact"/>
        <w:ind w:firstLine="643"/>
        <w:rPr>
          <w:rFonts w:ascii="仿宋" w:hAnsi="仿宋" w:eastAsia="仿宋"/>
        </w:rPr>
      </w:pPr>
      <w:r>
        <w:rPr>
          <w:rFonts w:hint="eastAsia" w:ascii="仿宋" w:hAnsi="仿宋" w:eastAsia="仿宋"/>
        </w:rPr>
        <w:t>二、生态空间主要生态问题</w:t>
      </w:r>
    </w:p>
    <w:p w14:paraId="2C9CCF64">
      <w:pPr>
        <w:spacing w:line="600" w:lineRule="exact"/>
        <w:ind w:firstLine="643" w:firstLineChars="200"/>
        <w:rPr>
          <w:rFonts w:ascii="Calibri" w:hAnsi="Calibri" w:eastAsia="仿宋_GB2312" w:cs="Times New Roman"/>
          <w:b/>
          <w:bCs/>
          <w:sz w:val="32"/>
          <w:szCs w:val="32"/>
        </w:rPr>
      </w:pPr>
      <w:r>
        <w:rPr>
          <w:rFonts w:hint="eastAsia" w:ascii="Calibri" w:hAnsi="Calibri" w:eastAsia="仿宋_GB2312" w:cs="Times New Roman"/>
          <w:b/>
          <w:bCs/>
          <w:sz w:val="32"/>
          <w:szCs w:val="32"/>
        </w:rPr>
        <w:t>（一）部分历史遗留矿山尚待恢复治理，水土流失与地质灾害存在隐患</w:t>
      </w:r>
    </w:p>
    <w:p w14:paraId="41F73322">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目前阳江市未治理历史遗留矿山共46处，总面积约为55.91公顷，矿山生态问题主要包括43处土地损毁（含挖损、占压、塌陷土地）、2处植被破坏与1处地质环境问题（含地面塌陷、地裂缝、崩塌、滑坡体等）</w:t>
      </w:r>
      <w:r>
        <w:rPr>
          <w:rStyle w:val="22"/>
          <w:rFonts w:ascii="Times New Roman" w:hAnsi="Times New Roman" w:eastAsia="仿宋_GB2312" w:cs="Times New Roman"/>
          <w:sz w:val="32"/>
          <w:szCs w:val="32"/>
        </w:rPr>
        <w:footnoteReference w:id="22"/>
      </w:r>
      <w:r>
        <w:rPr>
          <w:rFonts w:ascii="Times New Roman" w:hAnsi="Times New Roman" w:eastAsia="仿宋_GB2312" w:cs="Times New Roman"/>
          <w:sz w:val="32"/>
          <w:szCs w:val="32"/>
        </w:rPr>
        <w:t>。部分历史遗留矿山存在过度地下开采问题，影响山体斜坡的稳定，使矿区周围岩石结构松动，易导致地面塌陷、开裂、崩塌。</w:t>
      </w:r>
    </w:p>
    <w:p w14:paraId="781AA15E">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水土流失方面，阳江市所属的土壤侵蚀类型区属于以水力侵蚀为主的南方红壤丘陵区，水土流失总面积为767.95平方公里，占全市土地总面积的9.64%</w:t>
      </w:r>
      <w:r>
        <w:rPr>
          <w:rStyle w:val="22"/>
          <w:rFonts w:ascii="Times New Roman" w:hAnsi="Times New Roman" w:eastAsia="仿宋_GB2312" w:cs="Times New Roman"/>
          <w:sz w:val="32"/>
          <w:szCs w:val="32"/>
        </w:rPr>
        <w:footnoteReference w:id="23"/>
      </w:r>
      <w:r>
        <w:rPr>
          <w:rFonts w:ascii="Times New Roman" w:hAnsi="Times New Roman" w:eastAsia="仿宋_GB2312" w:cs="Times New Roman"/>
          <w:sz w:val="32"/>
          <w:szCs w:val="32"/>
        </w:rPr>
        <w:t>。</w:t>
      </w:r>
    </w:p>
    <w:p w14:paraId="4C933800">
      <w:pPr>
        <w:spacing w:line="600" w:lineRule="exact"/>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地质灾害方面，阳江地处东南沿海地震带中西段，</w:t>
      </w:r>
      <w:r>
        <w:rPr>
          <w:rFonts w:ascii="Times New Roman" w:hAnsi="Times New Roman" w:eastAsia="仿宋_GB2312" w:cs="Times New Roman"/>
          <w:sz w:val="32"/>
          <w:szCs w:val="32"/>
        </w:rPr>
        <w:t>属Ⅶ度地震区，是广东省三大老震区之一，存在中强地震灾害风</w:t>
      </w:r>
      <w:r>
        <w:rPr>
          <w:rFonts w:hint="eastAsia" w:ascii="Calibri" w:hAnsi="Calibri" w:eastAsia="仿宋_GB2312" w:cs="Times New Roman"/>
          <w:sz w:val="32"/>
          <w:szCs w:val="32"/>
        </w:rPr>
        <w:t>险，南部滨海平原风险较高；而北部及东西两翼低山、丘陵区强降雨时易诱发崩塌、滑坡、泥石流等地质灾害，枯水期阳春东北部岩溶区地面塌陷风险</w:t>
      </w:r>
      <w:r>
        <w:rPr>
          <w:rFonts w:ascii="Times New Roman" w:hAnsi="Times New Roman" w:eastAsia="仿宋_GB2312" w:cs="Times New Roman"/>
          <w:sz w:val="32"/>
          <w:szCs w:val="32"/>
        </w:rPr>
        <w:t>较高。2022年，全市共有在册地质灾害隐患点共51处，威胁总人数约1.1万人，潜在经济损失4.14亿元，其中有威胁100人以上的地灾点12处，威胁10人至100人的有30处，威胁10人以下的有9处。</w:t>
      </w:r>
    </w:p>
    <w:p w14:paraId="3FBB4F23">
      <w:pPr>
        <w:spacing w:line="600" w:lineRule="exact"/>
        <w:ind w:firstLine="643" w:firstLineChars="200"/>
        <w:rPr>
          <w:rFonts w:ascii="Calibri" w:hAnsi="Calibri" w:eastAsia="仿宋_GB2312" w:cs="Times New Roman"/>
          <w:b/>
          <w:bCs/>
          <w:sz w:val="32"/>
          <w:szCs w:val="32"/>
        </w:rPr>
      </w:pPr>
      <w:r>
        <w:rPr>
          <w:rFonts w:hint="eastAsia" w:ascii="Calibri" w:hAnsi="Calibri" w:eastAsia="仿宋_GB2312" w:cs="Times New Roman"/>
          <w:b/>
          <w:bCs/>
          <w:sz w:val="32"/>
          <w:szCs w:val="32"/>
        </w:rPr>
        <w:t>（二）近海区域水质存在局部污染，部分水利设施需更新提质</w:t>
      </w:r>
    </w:p>
    <w:p w14:paraId="06BBC502">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阳江市近海水域存在局部污染风险。在19个近岸海域水质检测国控点位中，阳江港与阳江湾附近存在两个劣Ⅳ类水质点位与一个Ⅳ类水质点位</w:t>
      </w:r>
      <w:r>
        <w:rPr>
          <w:rStyle w:val="22"/>
          <w:rFonts w:ascii="Times New Roman" w:hAnsi="Times New Roman" w:eastAsia="仿宋_GB2312" w:cs="Times New Roman"/>
          <w:sz w:val="32"/>
          <w:szCs w:val="32"/>
        </w:rPr>
        <w:footnoteReference w:id="24"/>
      </w:r>
      <w:r>
        <w:rPr>
          <w:rFonts w:ascii="Times New Roman" w:hAnsi="Times New Roman" w:eastAsia="仿宋_GB2312" w:cs="Times New Roman"/>
          <w:sz w:val="32"/>
          <w:szCs w:val="32"/>
        </w:rPr>
        <w:t>，主要污染物为工农业生产与生活污水排放带来的活性磷酸盐、无机氮等。</w:t>
      </w:r>
    </w:p>
    <w:p w14:paraId="08612FCD">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阳江市人工岸线占比高达63.3%</w:t>
      </w:r>
      <w:r>
        <w:rPr>
          <w:rStyle w:val="22"/>
          <w:rFonts w:ascii="Times New Roman" w:hAnsi="Times New Roman" w:eastAsia="仿宋_GB2312" w:cs="Times New Roman"/>
          <w:sz w:val="32"/>
          <w:szCs w:val="32"/>
        </w:rPr>
        <w:footnoteReference w:id="25"/>
      </w:r>
      <w:r>
        <w:rPr>
          <w:rFonts w:ascii="Times New Roman" w:hAnsi="Times New Roman" w:eastAsia="仿宋_GB2312" w:cs="Times New Roman"/>
          <w:sz w:val="32"/>
          <w:szCs w:val="32"/>
        </w:rPr>
        <w:t>，存在防灾缓冲能力弱化、岸线景观单一的问题。部分水库工程设施老旧、库容较小，难以满足天然径流调节与下游城镇供水需求。阳江市现状已建各类水库的天然径流调节能力为10.98%，低于全国（17.6%）和广东省（24.4%）平均水平</w:t>
      </w:r>
      <w:r>
        <w:rPr>
          <w:rStyle w:val="22"/>
          <w:rFonts w:ascii="Times New Roman" w:hAnsi="Times New Roman" w:eastAsia="仿宋_GB2312" w:cs="Times New Roman"/>
          <w:sz w:val="32"/>
          <w:szCs w:val="32"/>
        </w:rPr>
        <w:footnoteReference w:id="26"/>
      </w:r>
      <w:r>
        <w:rPr>
          <w:rFonts w:ascii="Times New Roman" w:hAnsi="Times New Roman" w:eastAsia="仿宋_GB2312" w:cs="Times New Roman"/>
          <w:sz w:val="32"/>
          <w:szCs w:val="32"/>
        </w:rPr>
        <w:t>，工程调蓄能力不足。此外，北河水库、合水水库等部分水库水利设施存在设施老化问题。</w:t>
      </w:r>
    </w:p>
    <w:p w14:paraId="062DCA01">
      <w:pPr>
        <w:spacing w:line="600" w:lineRule="exact"/>
        <w:ind w:firstLine="643" w:firstLineChars="200"/>
        <w:rPr>
          <w:rFonts w:ascii="Calibri" w:hAnsi="Calibri" w:eastAsia="仿宋_GB2312" w:cs="Times New Roman"/>
          <w:b/>
          <w:bCs/>
          <w:sz w:val="32"/>
          <w:szCs w:val="32"/>
        </w:rPr>
      </w:pPr>
      <w:r>
        <w:rPr>
          <w:rFonts w:hint="eastAsia" w:ascii="Calibri" w:hAnsi="Calibri" w:eastAsia="仿宋_GB2312" w:cs="Times New Roman"/>
          <w:b/>
          <w:bCs/>
          <w:sz w:val="32"/>
          <w:szCs w:val="32"/>
        </w:rPr>
        <w:t>（三）林龄结构不够合理，沿海防护林建设有待完善</w:t>
      </w:r>
    </w:p>
    <w:p w14:paraId="59653723">
      <w:pPr>
        <w:spacing w:line="600" w:lineRule="exact"/>
        <w:ind w:firstLine="640" w:firstLineChars="200"/>
        <w:rPr>
          <w:rFonts w:ascii="Times New Roman" w:hAnsi="Times New Roman" w:eastAsia="仿宋_GB2312" w:cs="Times New Roman"/>
          <w:sz w:val="32"/>
          <w:szCs w:val="32"/>
        </w:rPr>
      </w:pPr>
      <w:r>
        <w:rPr>
          <w:rFonts w:hint="eastAsia" w:ascii="Calibri" w:hAnsi="Calibri" w:eastAsia="仿宋_GB2312" w:cs="Times New Roman"/>
          <w:sz w:val="32"/>
          <w:szCs w:val="32"/>
        </w:rPr>
        <w:t xml:space="preserve">阳江市成熟林、过熟林比重偏大，占乔木林总面积的 </w:t>
      </w:r>
      <w:r>
        <w:rPr>
          <w:rFonts w:ascii="Times New Roman" w:hAnsi="Times New Roman" w:eastAsia="仿宋_GB2312" w:cs="Times New Roman"/>
          <w:sz w:val="32"/>
          <w:szCs w:val="32"/>
        </w:rPr>
        <w:t>55.04%，林龄结构有待优化；全市乔木林地单位面积森林蓄积量为 67.83m</w:t>
      </w:r>
      <w:r>
        <w:rPr>
          <w:rFonts w:ascii="Times New Roman" w:hAnsi="Times New Roman" w:eastAsia="仿宋_GB2312" w:cs="Times New Roman"/>
          <w:sz w:val="32"/>
          <w:szCs w:val="32"/>
          <w:vertAlign w:val="superscript"/>
        </w:rPr>
        <w:t>3</w:t>
      </w:r>
      <w:r>
        <w:rPr>
          <w:rFonts w:ascii="Times New Roman" w:hAnsi="Times New Roman" w:eastAsia="仿宋_GB2312" w:cs="Times New Roman"/>
          <w:sz w:val="32"/>
          <w:szCs w:val="32"/>
        </w:rPr>
        <w:t>/hm</w:t>
      </w:r>
      <w:r>
        <w:rPr>
          <w:rFonts w:ascii="Times New Roman" w:hAnsi="Times New Roman" w:eastAsia="仿宋_GB2312" w:cs="Times New Roman"/>
          <w:sz w:val="32"/>
          <w:szCs w:val="32"/>
          <w:vertAlign w:val="superscript"/>
        </w:rPr>
        <w:t>2</w:t>
      </w:r>
      <w:r>
        <w:rPr>
          <w:rFonts w:ascii="Times New Roman" w:hAnsi="Times New Roman" w:eastAsia="仿宋_GB2312" w:cs="Times New Roman"/>
          <w:sz w:val="32"/>
          <w:szCs w:val="32"/>
        </w:rPr>
        <w:t>，低于全国平均水平（89.79m</w:t>
      </w:r>
      <w:r>
        <w:rPr>
          <w:rFonts w:ascii="Times New Roman" w:hAnsi="Times New Roman" w:eastAsia="仿宋_GB2312" w:cs="Times New Roman"/>
          <w:sz w:val="32"/>
          <w:szCs w:val="32"/>
          <w:vertAlign w:val="superscript"/>
        </w:rPr>
        <w:t>3</w:t>
      </w:r>
      <w:r>
        <w:rPr>
          <w:rFonts w:ascii="Times New Roman" w:hAnsi="Times New Roman" w:eastAsia="仿宋_GB2312" w:cs="Times New Roman"/>
          <w:sz w:val="32"/>
          <w:szCs w:val="32"/>
        </w:rPr>
        <w:t>/hm</w:t>
      </w:r>
      <w:r>
        <w:rPr>
          <w:rFonts w:ascii="Times New Roman" w:hAnsi="Times New Roman" w:eastAsia="仿宋_GB2312" w:cs="Times New Roman"/>
          <w:sz w:val="32"/>
          <w:szCs w:val="32"/>
          <w:vertAlign w:val="superscript"/>
        </w:rPr>
        <w:t>2</w:t>
      </w:r>
      <w:r>
        <w:rPr>
          <w:rFonts w:ascii="Times New Roman" w:hAnsi="Times New Roman" w:eastAsia="仿宋_GB2312" w:cs="Times New Roman"/>
          <w:sz w:val="32"/>
          <w:szCs w:val="32"/>
        </w:rPr>
        <w:t>），高于全省平均水平，森林质量有待提升</w:t>
      </w:r>
      <w:r>
        <w:rPr>
          <w:rStyle w:val="22"/>
          <w:rFonts w:ascii="Times New Roman" w:hAnsi="Times New Roman" w:eastAsia="仿宋_GB2312" w:cs="Times New Roman"/>
          <w:sz w:val="32"/>
          <w:szCs w:val="32"/>
        </w:rPr>
        <w:footnoteReference w:id="27"/>
      </w:r>
      <w:r>
        <w:rPr>
          <w:rFonts w:ascii="Times New Roman" w:hAnsi="Times New Roman" w:eastAsia="仿宋_GB2312" w:cs="Times New Roman"/>
          <w:sz w:val="32"/>
          <w:szCs w:val="32"/>
        </w:rPr>
        <w:t>。南部大沟村、三丫村、儒洞石楼等区域沿海防护林存在林带断档，建设标准不高，抵御灾害能力不强等问题，总面积约350公顷</w:t>
      </w:r>
      <w:r>
        <w:rPr>
          <w:rStyle w:val="22"/>
          <w:rFonts w:ascii="Times New Roman" w:hAnsi="Times New Roman" w:eastAsia="仿宋_GB2312" w:cs="Times New Roman"/>
          <w:sz w:val="32"/>
          <w:szCs w:val="32"/>
        </w:rPr>
        <w:footnoteReference w:id="28"/>
      </w:r>
      <w:r>
        <w:rPr>
          <w:rFonts w:ascii="Times New Roman" w:hAnsi="Times New Roman" w:eastAsia="仿宋_GB2312" w:cs="Times New Roman"/>
          <w:sz w:val="32"/>
          <w:szCs w:val="32"/>
        </w:rPr>
        <w:t>。</w:t>
      </w:r>
    </w:p>
    <w:p w14:paraId="273D1DC1">
      <w:pPr>
        <w:spacing w:line="600" w:lineRule="exact"/>
        <w:ind w:firstLine="643" w:firstLineChars="200"/>
        <w:rPr>
          <w:rFonts w:ascii="Calibri" w:hAnsi="Calibri" w:eastAsia="仿宋_GB2312" w:cs="Times New Roman"/>
          <w:b/>
          <w:bCs/>
          <w:sz w:val="32"/>
          <w:szCs w:val="32"/>
        </w:rPr>
      </w:pPr>
      <w:r>
        <w:rPr>
          <w:rFonts w:ascii="Times New Roman" w:hAnsi="Times New Roman" w:eastAsia="仿宋_GB2312" w:cs="Times New Roman"/>
          <w:b/>
          <w:bCs/>
          <w:sz w:val="32"/>
          <w:szCs w:val="32"/>
        </w:rPr>
        <w:t>（四）</w:t>
      </w:r>
      <w:r>
        <w:rPr>
          <w:rFonts w:ascii="Times New Roman" w:hAnsi="Times New Roman" w:eastAsia="仿宋_GB2312" w:cs="Times New Roman"/>
          <w:b/>
          <w:sz w:val="32"/>
          <w:szCs w:val="32"/>
        </w:rPr>
        <w:t>自然生境分布零</w:t>
      </w:r>
      <w:r>
        <w:rPr>
          <w:rFonts w:hint="eastAsia" w:ascii="Calibri" w:hAnsi="Calibri" w:eastAsia="仿宋_GB2312" w:cs="Times New Roman"/>
          <w:b/>
          <w:sz w:val="32"/>
          <w:szCs w:val="32"/>
        </w:rPr>
        <w:t>散，漠阳江及滨海红树林存在外来入侵物种问题</w:t>
      </w:r>
    </w:p>
    <w:p w14:paraId="34735278">
      <w:pPr>
        <w:spacing w:line="600" w:lineRule="exact"/>
        <w:ind w:firstLine="640" w:firstLineChars="200"/>
        <w:rPr>
          <w:rFonts w:ascii="黑体" w:hAnsi="黑体" w:eastAsia="黑体" w:cs="Times New Roman"/>
          <w:sz w:val="32"/>
          <w:szCs w:val="32"/>
        </w:rPr>
      </w:pPr>
      <w:r>
        <w:rPr>
          <w:rFonts w:hint="eastAsia" w:ascii="Calibri" w:hAnsi="Calibri" w:eastAsia="仿宋_GB2312" w:cs="Times New Roman"/>
          <w:sz w:val="32"/>
          <w:szCs w:val="32"/>
        </w:rPr>
        <w:t>市域自然保护地布局较分散，缺乏必要的廊道结构连通。沿海围垦和滩涂养殖造成红树林湿地受损严重，面积下降并呈破碎化分布，导致生物多样性下降。</w:t>
      </w:r>
    </w:p>
    <w:p w14:paraId="01405B8E">
      <w:pPr>
        <w:spacing w:line="600" w:lineRule="exact"/>
        <w:ind w:firstLine="640" w:firstLineChars="200"/>
        <w:rPr>
          <w:rFonts w:ascii="黑体" w:hAnsi="黑体" w:eastAsia="黑体" w:cs="Times New Roman"/>
          <w:sz w:val="32"/>
          <w:szCs w:val="32"/>
        </w:rPr>
      </w:pPr>
      <w:r>
        <w:rPr>
          <w:rFonts w:hint="eastAsia" w:ascii="Calibri" w:hAnsi="Calibri" w:eastAsia="仿宋_GB2312" w:cs="Times New Roman"/>
          <w:sz w:val="32"/>
          <w:szCs w:val="32"/>
        </w:rPr>
        <w:t>漠阳江流域中，尼罗罗非鱼已成为优势种甚至绝对优势种，影响渔业资源与水生生物结构的稳定；海陵岛存在一定的互花米草分布，挤占红树林及其鸟类生存空间，对区域生物多样性构成威胁。</w:t>
      </w:r>
    </w:p>
    <w:p w14:paraId="24686394">
      <w:pPr>
        <w:pStyle w:val="4"/>
        <w:spacing w:before="0" w:after="0" w:line="600" w:lineRule="exact"/>
        <w:ind w:firstLine="643"/>
        <w:rPr>
          <w:rFonts w:ascii="仿宋" w:hAnsi="仿宋" w:eastAsia="仿宋"/>
        </w:rPr>
      </w:pPr>
      <w:r>
        <w:rPr>
          <w:rFonts w:hint="eastAsia" w:ascii="仿宋" w:hAnsi="仿宋" w:eastAsia="仿宋"/>
        </w:rPr>
        <w:t>三、农业空间主要生态问题</w:t>
      </w:r>
    </w:p>
    <w:p w14:paraId="7A76F642">
      <w:pPr>
        <w:spacing w:line="600" w:lineRule="exact"/>
        <w:ind w:firstLine="643" w:firstLineChars="200"/>
        <w:rPr>
          <w:rFonts w:ascii="Calibri" w:hAnsi="Calibri" w:eastAsia="仿宋_GB2312" w:cs="Times New Roman"/>
          <w:b/>
          <w:bCs/>
          <w:sz w:val="32"/>
          <w:szCs w:val="32"/>
        </w:rPr>
      </w:pPr>
      <w:r>
        <w:rPr>
          <w:rFonts w:hint="eastAsia" w:ascii="Calibri" w:hAnsi="Calibri" w:eastAsia="仿宋_GB2312" w:cs="Times New Roman"/>
          <w:b/>
          <w:bCs/>
          <w:sz w:val="32"/>
          <w:szCs w:val="32"/>
        </w:rPr>
        <w:t>（一）耕地整体质量较好，但仍有提升空间</w:t>
      </w:r>
    </w:p>
    <w:p w14:paraId="17F44C5C">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截止2022年末，阳江市耕地平均质量等级为4.26等</w:t>
      </w:r>
      <w:r>
        <w:rPr>
          <w:rStyle w:val="22"/>
          <w:rFonts w:ascii="Times New Roman" w:hAnsi="Times New Roman" w:eastAsia="仿宋_GB2312" w:cs="Times New Roman"/>
          <w:sz w:val="32"/>
          <w:szCs w:val="32"/>
        </w:rPr>
        <w:footnoteReference w:id="29"/>
      </w:r>
      <w:r>
        <w:rPr>
          <w:rFonts w:ascii="Times New Roman" w:hAnsi="Times New Roman" w:eastAsia="仿宋_GB2312" w:cs="Times New Roman"/>
          <w:sz w:val="32"/>
          <w:szCs w:val="32"/>
        </w:rPr>
        <w:t>。2022年阳江市高产的1-3等耕地面积合计达46517公顷，占全市耕地总面积的42.83%，其中，三等地占比达到16.3%，主要分布于阳东区和阳西县；一等地占比为14.5%，主要分布于阳春市；中产的4-6等耕地面积合计为40603公顷，占全市耕地总面积的37.39%，其中四等地面积最大，占比为15.1%，主要分布于江城区；低产的7-10等耕地面积达21477公顷，占全市耕地总面积的19.8%。表明阳江市2022年耕地总体质量处于中高等水平，但中低产耕地面积比例过半，具有较大提升空间。</w:t>
      </w:r>
    </w:p>
    <w:p w14:paraId="064A430B">
      <w:pPr>
        <w:spacing w:line="60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（二）高标准农田建设成效显著，未来建设任务艰巨</w:t>
      </w:r>
    </w:p>
    <w:p w14:paraId="4811DAA8">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新一轮全国规划提出了高标准农田新增建设和改造提升并重，同步推进高效节水灌溉，建设任务更加繁重。至2022年末，全市已累计建成高标准农田148.7万亩</w:t>
      </w:r>
      <w:r>
        <w:rPr>
          <w:rStyle w:val="22"/>
          <w:rFonts w:ascii="Times New Roman" w:hAnsi="Times New Roman" w:eastAsia="仿宋_GB2312" w:cs="Times New Roman"/>
          <w:sz w:val="32"/>
          <w:szCs w:val="32"/>
        </w:rPr>
        <w:footnoteReference w:id="30"/>
      </w:r>
      <w:r>
        <w:rPr>
          <w:rFonts w:ascii="Times New Roman" w:hAnsi="Times New Roman" w:eastAsia="仿宋_GB2312" w:cs="Times New Roman"/>
          <w:sz w:val="32"/>
          <w:szCs w:val="32"/>
        </w:rPr>
        <w:t>，已建高标准农田占耕地面积比重已经超过八成，剩余未建高标准农田耕地的立地条件、基础设施和耕地质量普遍较差，加之现状非农建设占用耕地以及农田碎片化问题突出，碎片化农田整合整治有待加强，高标准农田建设任务艰巨。</w:t>
      </w:r>
    </w:p>
    <w:p w14:paraId="039ECE3D">
      <w:pPr>
        <w:spacing w:line="60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（三）农用地整治潜力较大</w:t>
      </w:r>
    </w:p>
    <w:p w14:paraId="23CCFD90">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存在一定非粮化种植与未种植耕地。根据2022年广东省“三区三线”划定成果，阳江市耕地保护目标总量约为155.147万亩。其中，未耕种的耕地面积占耕地保有量比例约为28%，主要分布于江城区和阳东区；非粮食作物的种植面积占耕地保有量比例约为12%，主要分布于江城区与阳东区。此外还存在林粮间作、粮与非粮轮作等种植类型，以上类型具有较大的整治潜力，是未来阳江市进行土地综合整治的重点治理片区。</w:t>
      </w:r>
    </w:p>
    <w:p w14:paraId="156961E4">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（四）农业面源污染对农业生态造成破坏</w:t>
      </w:r>
    </w:p>
    <w:p w14:paraId="1B0A6004">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2022年，阳江市农用化肥施用量（折纯）88434吨</w:t>
      </w:r>
      <w:r>
        <w:rPr>
          <w:rStyle w:val="22"/>
          <w:rFonts w:ascii="Times New Roman" w:hAnsi="Times New Roman" w:eastAsia="仿宋_GB2312" w:cs="Times New Roman"/>
          <w:sz w:val="32"/>
          <w:szCs w:val="32"/>
        </w:rPr>
        <w:footnoteReference w:id="31"/>
      </w:r>
      <w:r>
        <w:rPr>
          <w:rFonts w:ascii="Times New Roman" w:hAnsi="Times New Roman" w:eastAsia="仿宋_GB2312" w:cs="Times New Roman"/>
          <w:sz w:val="32"/>
          <w:szCs w:val="32"/>
        </w:rPr>
        <w:t>，农作物化肥减量，特别是蔬菜、水果的肥料减量仍有较大的空间；化肥施用方式仍有待改善，机械施肥、水肥一体化等肥料利用效率较高的施肥技术推广覆盖面仍有待进一步拓展；禽畜粪肥利用和作物秸杆还田综合利用还需要进一步强化。畜禽养殖、水产养殖污染情况依然存在。主要畜禽粪便随意排放造成水体富营养化，严重污染了土壤和水体，进而影响水质和生态环境。</w:t>
      </w:r>
    </w:p>
    <w:p w14:paraId="39C68C39">
      <w:pPr>
        <w:spacing w:line="60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（五）农村生活环境品质取得了较大成就，但美丽乡村建设仍面临诸多挑战</w:t>
      </w:r>
    </w:p>
    <w:p w14:paraId="0BE892F6">
      <w:pPr>
        <w:spacing w:line="600" w:lineRule="exact"/>
        <w:ind w:firstLine="640" w:firstLineChars="200"/>
        <w:rPr>
          <w:rFonts w:ascii="Calibri" w:hAnsi="Calibri" w:eastAsia="仿宋_GB2312" w:cs="Times New Roman"/>
          <w:sz w:val="32"/>
          <w:szCs w:val="32"/>
        </w:rPr>
      </w:pPr>
      <w:r>
        <w:rPr>
          <w:rFonts w:ascii="Times New Roman" w:hAnsi="Times New Roman" w:eastAsia="仿宋_GB2312" w:cs="Times New Roman"/>
          <w:sz w:val="32"/>
          <w:szCs w:val="32"/>
        </w:rPr>
        <w:t>目前，阳江市出台了《关于全域推进农村人居环境整治建设生态宜居美丽乡村的实施方案》等系列政策，全域推进农村人居环境整治。全市710个行政村8088个自然村已全部完成“三清理三拆除三整治”和村庄规划；村道硬底化完成率100% ，集中供水完成率99%，农村生活污水处理率71.4%；建立了农村生活垃圾收运处理体系，村庄保洁员配备实现全覆盖；累计新建和改造农村公厕1419座，农村无害化卫生户厕普及率99.8%</w:t>
      </w:r>
      <w:r>
        <w:rPr>
          <w:rStyle w:val="22"/>
          <w:rFonts w:ascii="Times New Roman" w:hAnsi="Times New Roman" w:eastAsia="仿宋_GB2312" w:cs="Times New Roman"/>
          <w:sz w:val="32"/>
          <w:szCs w:val="32"/>
        </w:rPr>
        <w:footnoteReference w:id="32"/>
      </w:r>
      <w:r>
        <w:rPr>
          <w:rFonts w:ascii="Times New Roman" w:hAnsi="Times New Roman" w:eastAsia="仿宋_GB2312" w:cs="Times New Roman"/>
          <w:sz w:val="32"/>
          <w:szCs w:val="32"/>
        </w:rPr>
        <w:t>。总体来看取得了较大的成绩，但在美丽乡村建设中面临资金缺口较大、村庄规划设计质量有待提高和管理维护长效机制有待完善等诸多困难。</w:t>
      </w:r>
    </w:p>
    <w:p w14:paraId="7A5575C8">
      <w:pPr>
        <w:pStyle w:val="4"/>
        <w:spacing w:before="0" w:after="0" w:line="600" w:lineRule="exact"/>
        <w:ind w:firstLine="643"/>
        <w:rPr>
          <w:rFonts w:ascii="仿宋" w:hAnsi="仿宋" w:eastAsia="仿宋"/>
        </w:rPr>
      </w:pPr>
      <w:r>
        <w:rPr>
          <w:rFonts w:hint="eastAsia" w:ascii="仿宋" w:hAnsi="仿宋" w:eastAsia="仿宋"/>
        </w:rPr>
        <w:t>四、城镇空间主要生态问题</w:t>
      </w:r>
    </w:p>
    <w:p w14:paraId="55858467">
      <w:pPr>
        <w:ind w:firstLine="643" w:firstLineChars="200"/>
        <w:rPr>
          <w:rFonts w:ascii="Calibri" w:hAnsi="Calibri" w:eastAsia="仿宋_GB2312" w:cs="Times New Roman"/>
          <w:b/>
          <w:bCs/>
          <w:sz w:val="32"/>
          <w:szCs w:val="32"/>
        </w:rPr>
      </w:pPr>
      <w:r>
        <w:rPr>
          <w:rFonts w:hint="eastAsia" w:ascii="Calibri" w:hAnsi="Calibri" w:eastAsia="仿宋_GB2312" w:cs="Times New Roman"/>
          <w:b/>
          <w:bCs/>
          <w:sz w:val="32"/>
          <w:szCs w:val="32"/>
        </w:rPr>
        <w:t>（一）公共绿地布局不均等，旧城区绿地面积比例偏低</w:t>
      </w:r>
    </w:p>
    <w:p w14:paraId="0F15ADAA">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目前，市区辖区建成区公园绿地集中分布在金鸡岭森林公园、金山植物园及鸳鸯湖等一带，城南街道的三铺社区、岗东社区、马福社区和南恩街道的观光社区、金鸡社区、洲尾社区、马南社区未能被城市公园绿地服务范围覆盖</w:t>
      </w:r>
      <w:r>
        <w:rPr>
          <w:rStyle w:val="22"/>
          <w:rFonts w:ascii="Times New Roman" w:hAnsi="Times New Roman" w:eastAsia="仿宋_GB2312" w:cs="Times New Roman"/>
          <w:sz w:val="32"/>
          <w:szCs w:val="32"/>
        </w:rPr>
        <w:footnoteReference w:id="33"/>
      </w:r>
      <w:r>
        <w:rPr>
          <w:rFonts w:ascii="Times New Roman" w:hAnsi="Times New Roman" w:eastAsia="仿宋_GB2312" w:cs="Times New Roman"/>
          <w:sz w:val="32"/>
          <w:szCs w:val="32"/>
        </w:rPr>
        <w:t>。旧城区绿地面积比例偏低，老城区民居密集，道路狭窄，老公园面积小，绿化覆盖率低。早期城市扩展过程中由于对绿地建设重视不足，部分区域未预留城市公园建设空间，绿地比例偏低，也造成一些区域的城市公园服务设施或服务水平偏低，未能满足市民休闲游憩的需求</w:t>
      </w:r>
      <w:r>
        <w:rPr>
          <w:rStyle w:val="22"/>
          <w:rFonts w:ascii="Times New Roman" w:hAnsi="Times New Roman" w:eastAsia="仿宋_GB2312" w:cs="Times New Roman"/>
          <w:sz w:val="32"/>
          <w:szCs w:val="32"/>
        </w:rPr>
        <w:footnoteReference w:id="34"/>
      </w:r>
      <w:r>
        <w:rPr>
          <w:rFonts w:ascii="Times New Roman" w:hAnsi="Times New Roman" w:eastAsia="仿宋_GB2312" w:cs="Times New Roman"/>
          <w:sz w:val="32"/>
          <w:szCs w:val="32"/>
        </w:rPr>
        <w:t>。</w:t>
      </w:r>
    </w:p>
    <w:p w14:paraId="1571CABC">
      <w:pPr>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（二）城镇绿地系统性不足，河湖水系连通度有待提升</w:t>
      </w:r>
    </w:p>
    <w:p w14:paraId="4B32C6B9">
      <w:pPr>
        <w:ind w:firstLine="640" w:firstLineChars="200"/>
        <w:rPr>
          <w:rFonts w:ascii="Times New Roman" w:hAnsi="Times New Roman" w:eastAsia="仿宋_GB2312" w:cs="Times New Roman"/>
          <w:sz w:val="32"/>
          <w:szCs w:val="32"/>
        </w:rPr>
      </w:pPr>
      <w:r>
        <w:rPr>
          <w:rFonts w:hint="eastAsia" w:ascii="Calibri" w:hAnsi="Calibri" w:eastAsia="仿宋_GB2312" w:cs="Times New Roman"/>
          <w:sz w:val="32"/>
          <w:szCs w:val="32"/>
        </w:rPr>
        <w:t>城市各类绿地布局的系统性较差，相互之间没有形成有机的联系，只有斑块缺乏廊道的状况使城市绿地的各种生态功能没有得到充分发挥。现状滨河公园、带状公园、街头绿地等绿色休闲空间并未能形成有机城市绿地网络。河湖、湿地等各类水体连通性不足，暂未建立多源互补，跨区域互联互通的立体绿色活水网络。儒洞河、织篢河、洋边河、潭水-乔连河、西山河、云霖河、十八河、那龙河、三</w:t>
      </w:r>
      <w:r>
        <w:rPr>
          <w:rFonts w:ascii="Times New Roman" w:hAnsi="Times New Roman" w:eastAsia="仿宋_GB2312" w:cs="Times New Roman"/>
          <w:sz w:val="32"/>
          <w:szCs w:val="32"/>
        </w:rPr>
        <w:t>合河等9条河流景观廊道绿化质量仍需进一步提升。</w:t>
      </w:r>
    </w:p>
    <w:p w14:paraId="46A09639">
      <w:pPr>
        <w:ind w:firstLine="643" w:firstLineChars="200"/>
        <w:rPr>
          <w:rFonts w:ascii="Calibri" w:hAnsi="Calibri" w:eastAsia="仿宋_GB2312" w:cs="Times New Roman"/>
          <w:b/>
          <w:bCs/>
          <w:sz w:val="32"/>
          <w:szCs w:val="32"/>
        </w:rPr>
      </w:pPr>
      <w:r>
        <w:rPr>
          <w:rFonts w:hint="eastAsia" w:ascii="Calibri" w:hAnsi="Calibri" w:eastAsia="仿宋_GB2312" w:cs="Times New Roman"/>
          <w:b/>
          <w:bCs/>
          <w:sz w:val="32"/>
          <w:szCs w:val="32"/>
        </w:rPr>
        <w:t>（三）江海堤防、水库达标率不足，城区治涝任务仍然艰巨</w:t>
      </w:r>
    </w:p>
    <w:p w14:paraId="304F1238">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目前，洪涝低安全水平区主要集中于漠阳江中下游两岸及各县区较大支流中下游两岸地区。漠阳江防洪体系仍存在薄弱环节，33个易涝点涉及江城、阳春、阳东三区</w:t>
      </w:r>
      <w:r>
        <w:rPr>
          <w:rStyle w:val="22"/>
          <w:rFonts w:ascii="Times New Roman" w:hAnsi="Times New Roman" w:eastAsia="仿宋_GB2312" w:cs="Times New Roman"/>
          <w:sz w:val="32"/>
          <w:szCs w:val="32"/>
        </w:rPr>
        <w:footnoteReference w:id="35"/>
      </w:r>
      <w:r>
        <w:rPr>
          <w:rFonts w:ascii="Times New Roman" w:hAnsi="Times New Roman" w:eastAsia="仿宋_GB2312" w:cs="Times New Roman"/>
          <w:sz w:val="32"/>
          <w:szCs w:val="32"/>
        </w:rPr>
        <w:t>。漠阳江出海口综合整治工程等防洪减灾核心项目目前尚未实施，中小河流仍需系统治理；江城区、阳东区、阳春市涝区排涝能力建设工程等主要城区治涝项目仍待加快推进；大河水库、石河水库等大中型水库除险加固任务仍十分艰巨。</w:t>
      </w:r>
    </w:p>
    <w:p w14:paraId="345231D8">
      <w:pPr>
        <w:ind w:firstLine="643" w:firstLineChars="200"/>
        <w:rPr>
          <w:rFonts w:ascii="Calibri" w:hAnsi="Calibri" w:eastAsia="仿宋_GB2312" w:cs="Times New Roman"/>
          <w:b/>
          <w:bCs/>
          <w:sz w:val="32"/>
          <w:szCs w:val="32"/>
        </w:rPr>
      </w:pPr>
      <w:r>
        <w:rPr>
          <w:rFonts w:hint="eastAsia" w:ascii="Calibri" w:hAnsi="Calibri" w:eastAsia="仿宋_GB2312" w:cs="Times New Roman"/>
          <w:b/>
          <w:bCs/>
          <w:sz w:val="32"/>
          <w:szCs w:val="32"/>
        </w:rPr>
        <w:t>（四）城区部分河道水体黑臭，水库点、面源污染仍然存在</w:t>
      </w:r>
    </w:p>
    <w:p w14:paraId="7F68AF8D">
      <w:pPr>
        <w:ind w:firstLine="640" w:firstLineChars="200"/>
        <w:rPr>
          <w:rFonts w:ascii="Calibri" w:hAnsi="Calibri" w:eastAsia="仿宋_GB2312" w:cs="Times New Roman"/>
          <w:sz w:val="32"/>
          <w:szCs w:val="32"/>
        </w:rPr>
      </w:pPr>
      <w:r>
        <w:rPr>
          <w:rFonts w:ascii="Times New Roman" w:hAnsi="Times New Roman" w:eastAsia="仿宋_GB2312" w:cs="Times New Roman"/>
          <w:sz w:val="32"/>
          <w:szCs w:val="32"/>
        </w:rPr>
        <w:t>中心城区范围内的马南河、三江涌、新阳河存在水体发臭发黑现象。受河道水流流速限制，以及排污量增大，加之居民水环境保护意识不足，监管相对较弱，大量废水、污水或生活垃圾直接排进河道，致使污染负荷超出水环境容量，造成“微容量、重负荷”的问题突出</w:t>
      </w:r>
      <w:r>
        <w:rPr>
          <w:rStyle w:val="22"/>
          <w:rFonts w:ascii="Times New Roman" w:hAnsi="Times New Roman" w:eastAsia="仿宋_GB2312" w:cs="Times New Roman"/>
          <w:sz w:val="32"/>
          <w:szCs w:val="32"/>
        </w:rPr>
        <w:footnoteReference w:id="36"/>
      </w:r>
      <w:r>
        <w:rPr>
          <w:rFonts w:ascii="Times New Roman" w:hAnsi="Times New Roman" w:eastAsia="仿宋_GB2312" w:cs="Times New Roman"/>
          <w:sz w:val="32"/>
          <w:szCs w:val="32"/>
        </w:rPr>
        <w:t xml:space="preserve">。中心城区附近的石河水库、沙湾水库和马岗水库Ⅲ类或以上的水质达标率分别为67%、83%和75% </w:t>
      </w:r>
      <w:r>
        <w:rPr>
          <w:rStyle w:val="22"/>
          <w:rFonts w:ascii="Times New Roman" w:hAnsi="Times New Roman" w:eastAsia="仿宋_GB2312" w:cs="Times New Roman"/>
          <w:sz w:val="32"/>
          <w:szCs w:val="32"/>
        </w:rPr>
        <w:footnoteReference w:id="37"/>
      </w:r>
      <w:r>
        <w:rPr>
          <w:rFonts w:ascii="Times New Roman" w:hAnsi="Times New Roman" w:eastAsia="仿宋_GB2312" w:cs="Times New Roman"/>
          <w:sz w:val="32"/>
          <w:szCs w:val="32"/>
        </w:rPr>
        <w:t>。水库周边部分养殖场因缺乏必要的水污染管理设备，粪便、污水等乱排乱放，严重恶化了周边生态环境，间接导致了水库的污染。</w:t>
      </w:r>
    </w:p>
    <w:p w14:paraId="0BCB79F1">
      <w:pPr>
        <w:pStyle w:val="3"/>
        <w:spacing w:beforeLines="50" w:afterLines="50"/>
        <w:ind w:firstLine="0" w:firstLineChars="0"/>
        <w:jc w:val="center"/>
        <w:rPr>
          <w:rFonts w:ascii="楷体" w:hAnsi="楷体" w:eastAsia="楷体"/>
          <w:b/>
          <w:bCs w:val="0"/>
        </w:rPr>
      </w:pPr>
      <w:bookmarkStart w:id="7" w:name="_Toc181820161"/>
      <w:r>
        <w:rPr>
          <w:rFonts w:hint="eastAsia" w:ascii="楷体" w:hAnsi="楷体" w:eastAsia="楷体"/>
          <w:b/>
          <w:bCs w:val="0"/>
        </w:rPr>
        <w:t>第四节 机遇与挑战</w:t>
      </w:r>
      <w:bookmarkEnd w:id="7"/>
    </w:p>
    <w:p w14:paraId="27C90316">
      <w:pPr>
        <w:pStyle w:val="4"/>
        <w:spacing w:before="0" w:after="0" w:line="600" w:lineRule="exact"/>
        <w:ind w:firstLine="643"/>
        <w:rPr>
          <w:rFonts w:ascii="仿宋" w:hAnsi="仿宋" w:eastAsia="仿宋"/>
        </w:rPr>
      </w:pPr>
      <w:r>
        <w:rPr>
          <w:rFonts w:hint="eastAsia" w:ascii="仿宋" w:hAnsi="仿宋" w:eastAsia="仿宋"/>
        </w:rPr>
        <w:t>一、面临机遇</w:t>
      </w:r>
    </w:p>
    <w:p w14:paraId="3CA6C86C">
      <w:pPr>
        <w:spacing w:line="600" w:lineRule="exact"/>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党的二十大报告将生态文明建设提到新高度，明确新时代中国生态文明建设的战略任务的总基调是推动绿色发展，促进人与自然和谐共生。国土空间生态修复已成为落实生态文明建设发展战略的主要工作内容。全面推进“山水林田湖草”综合治理，加快修复国土功能，促进区域高质量发展，已成为统筹推进现代化建设、生态文明建设、乡村振兴和城乡融合的关键要点。</w:t>
      </w:r>
    </w:p>
    <w:p w14:paraId="5CBEC766">
      <w:pPr>
        <w:spacing w:line="600" w:lineRule="exact"/>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阳江市作为广东省“三屏五江多廊道”生态安全格局中粤港澳大湾区外围丘陵浅山生态屏障的重要支点，是维育全省通山达海生态空间结构的关键支撑，也是推进粤港澳大湾区生态保护的第一线。全域持续推进国土空间生态保护修复，是落实市委打造“蓝色海洋名片、绿色生态名片、特色文化名片”的关键措施，也是支撑构建国土空间开发保护新格局的重要途径，助推阳江形成安全高效的生产空间、舒适宜居的生活空间、碧水蓝天的生态空间，引领“幸福阳江建设”，支撑“国家森林城市”名片。</w:t>
      </w:r>
    </w:p>
    <w:p w14:paraId="6B5C10D3">
      <w:pPr>
        <w:pStyle w:val="4"/>
        <w:spacing w:before="0" w:after="0" w:line="600" w:lineRule="exact"/>
        <w:ind w:firstLine="643"/>
        <w:rPr>
          <w:rFonts w:ascii="仿宋" w:hAnsi="仿宋" w:eastAsia="仿宋"/>
        </w:rPr>
      </w:pPr>
      <w:r>
        <w:rPr>
          <w:rFonts w:hint="eastAsia" w:ascii="仿宋" w:hAnsi="仿宋" w:eastAsia="仿宋"/>
        </w:rPr>
        <w:t>二、存在挑战</w:t>
      </w:r>
    </w:p>
    <w:p w14:paraId="78BC305B">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全球气候变化影响下自然灾害风险频率将进一步加剧。</w:t>
      </w:r>
      <w:r>
        <w:rPr>
          <w:rFonts w:hint="eastAsia" w:ascii="Calibri" w:hAnsi="Calibri" w:eastAsia="仿宋_GB2312" w:cs="Times New Roman"/>
          <w:sz w:val="32"/>
          <w:szCs w:val="32"/>
        </w:rPr>
        <w:t>阳江市地处南海之滨，近年来，受全球性气候变化影响，台风、暴雨等极端天气事件明显增多，洪涝灾害日趋严重，使人民生存安全面临威胁。海岸线缩减，海平面上升抬高了风暴增水的基础水位，增加了泄洪排涝难度，加大台风和风暴潮致灾程度。同时部分受到台风等极端气候危害的红树植株很难能再正常生长，防风护岸功能受到严重影响，生态系统出现局部退化，生态系统服务功能有所降低，造成生态保护修复工程实施和成效巩固难度加大。</w:t>
      </w:r>
    </w:p>
    <w:p w14:paraId="0901DF63">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城镇扩展与人类活动将持续影响阳江生态系统稳定性水平。</w:t>
      </w:r>
      <w:r>
        <w:rPr>
          <w:rFonts w:hint="eastAsia" w:ascii="Calibri" w:hAnsi="Calibri" w:eastAsia="仿宋_GB2312" w:cs="Times New Roman"/>
          <w:sz w:val="32"/>
          <w:szCs w:val="32"/>
        </w:rPr>
        <w:t>受城市重大基础设施建设、中心城区建设用地扩张和其他人类活动的影响，阳江市部分自然生态系统的受损、退化或弱化等问题将持续存在。城市高质量发展下生态系统保护与平衡面临挑战，物种栖息地环境遭受人类活动干扰，影响物种正常的迁移与交流。同时，受外来入侵物种的威胁，市域重要生境以及生物多样性水平存在不稳定性，需要加大应对生态系统失衡风险的能力。</w:t>
      </w:r>
    </w:p>
    <w:p w14:paraId="3C8C36C8">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生态资源价值转化与变现的路径仍有待进一步明确。</w:t>
      </w:r>
      <w:r>
        <w:rPr>
          <w:rFonts w:hint="eastAsia" w:ascii="Calibri" w:hAnsi="Calibri" w:eastAsia="仿宋_GB2312" w:cs="Times New Roman"/>
          <w:sz w:val="32"/>
          <w:szCs w:val="32"/>
        </w:rPr>
        <w:t>随着人民群众对美好生活的生态产品需求不断提升，如何将生态资源转化为生态资产、将生态价值体现为经济价值，走稳走好“绿水青山就是金山银山”的阳江路径，是实现美丽阳江、推进人与自然和谐共生的重要工作。但在实际工作推进中，目前仍存在转化模式落后、市场化运作不足、缺乏模式创新、产品标准模糊等问题，落实“两山”转换模式时，传统思维模式阻力仍然较大，导致形成绿色供应链、打造特色生态产品困难重重，生态保护修复难以有效变现。</w:t>
      </w:r>
    </w:p>
    <w:p w14:paraId="7A7BC29F">
      <w:pPr>
        <w:widowControl/>
        <w:jc w:val="left"/>
        <w:rPr>
          <w:rFonts w:ascii="Calibri" w:hAnsi="Calibri" w:eastAsia="仿宋_GB2312" w:cs="Times New Roman"/>
          <w:sz w:val="32"/>
          <w:szCs w:val="32"/>
        </w:rPr>
      </w:pPr>
      <w:r>
        <w:rPr>
          <w:rFonts w:ascii="Calibri" w:hAnsi="Calibri" w:eastAsia="仿宋_GB2312" w:cs="Times New Roman"/>
          <w:sz w:val="32"/>
          <w:szCs w:val="32"/>
        </w:rPr>
        <w:br w:type="page"/>
      </w:r>
    </w:p>
    <w:p w14:paraId="2CFD46EB">
      <w:pPr>
        <w:pStyle w:val="2"/>
        <w:pageBreakBefore w:val="0"/>
        <w:numPr>
          <w:ilvl w:val="0"/>
          <w:numId w:val="1"/>
        </w:numPr>
        <w:spacing w:line="240" w:lineRule="auto"/>
        <w:rPr>
          <w:rFonts w:ascii="宋体" w:hAnsi="宋体" w:eastAsia="宋体" w:cs="方正小标宋简体"/>
          <w:b/>
          <w:bCs/>
          <w:sz w:val="40"/>
          <w:szCs w:val="40"/>
        </w:rPr>
      </w:pPr>
      <w:bookmarkStart w:id="8" w:name="_Toc181820162"/>
      <w:r>
        <w:rPr>
          <w:rFonts w:hint="eastAsia" w:ascii="宋体" w:hAnsi="宋体" w:eastAsia="宋体" w:cs="方正小标宋简体"/>
          <w:b/>
          <w:bCs/>
          <w:sz w:val="40"/>
          <w:szCs w:val="40"/>
        </w:rPr>
        <w:t>总体要求与规划目标</w:t>
      </w:r>
      <w:bookmarkEnd w:id="8"/>
    </w:p>
    <w:p w14:paraId="3C85D1A9">
      <w:pPr>
        <w:pStyle w:val="3"/>
        <w:spacing w:beforeLines="50" w:afterLines="50"/>
        <w:ind w:firstLine="0" w:firstLineChars="0"/>
        <w:jc w:val="center"/>
        <w:rPr>
          <w:rFonts w:ascii="楷体" w:hAnsi="楷体" w:eastAsia="楷体"/>
          <w:b/>
          <w:bCs w:val="0"/>
        </w:rPr>
      </w:pPr>
      <w:bookmarkStart w:id="9" w:name="_Toc181820163"/>
      <w:r>
        <w:rPr>
          <w:rFonts w:hint="eastAsia" w:ascii="楷体" w:hAnsi="楷体" w:eastAsia="楷体"/>
          <w:b/>
          <w:bCs w:val="0"/>
        </w:rPr>
        <w:t>第一节 指导思想</w:t>
      </w:r>
      <w:bookmarkEnd w:id="9"/>
    </w:p>
    <w:p w14:paraId="56D86CB1">
      <w:pPr>
        <w:spacing w:line="600" w:lineRule="exact"/>
        <w:ind w:firstLine="640" w:firstLineChars="200"/>
      </w:pPr>
      <w:r>
        <w:rPr>
          <w:rFonts w:hint="eastAsia" w:ascii="Calibri" w:hAnsi="Calibri" w:eastAsia="仿宋_GB2312" w:cs="Times New Roman"/>
          <w:sz w:val="32"/>
          <w:szCs w:val="32"/>
        </w:rPr>
        <w:t>坚持以习近平新时代中国特色社会主义思想为指导，全面贯彻党的二十大精神，深入贯彻习近平总书记对广东系列重要讲话和“陆海统筹、山海互济”重要指示精神，深刻把握生态文明建设在新时代中国特色社会主义事业中的重要地位和战略意义，牢固树立山水林田湖草生命共同体和绿水青山就是金山银山的理念，落实广东省和阳江市国土空间生态修复总体要求，坚持高水平保护，助力高质量发展，创造高品质生活，实现高效能治理，着力建设绿美阳江。以筑牢广东省及阳江市整体生态安全格局、促进生态系统良性循环、资源永续利用为目标，统筹推进山水林田湖海一体化修复，科学布局和组织实施生态系统修复重大工程，全面提高生态系统自我恢复能力，显著提升生态系统功能，全面扩大优质生态产品供给，推动形成国土空间生态修复新格局。科学开展国土绿化行动，增强生态系统功能和生态产品供给能力，守住自然生态安全便捷，助力实现碳中和目标，推进生态国家治理体系和治理能力现代化。</w:t>
      </w:r>
    </w:p>
    <w:p w14:paraId="0A95D5C3">
      <w:pPr>
        <w:pStyle w:val="3"/>
        <w:spacing w:beforeLines="50" w:afterLines="50"/>
        <w:ind w:firstLine="0" w:firstLineChars="0"/>
        <w:jc w:val="center"/>
        <w:rPr>
          <w:rFonts w:ascii="楷体" w:hAnsi="楷体" w:eastAsia="楷体"/>
          <w:b/>
          <w:bCs w:val="0"/>
        </w:rPr>
      </w:pPr>
      <w:bookmarkStart w:id="10" w:name="_Toc181820164"/>
      <w:r>
        <w:rPr>
          <w:rFonts w:hint="eastAsia" w:ascii="楷体" w:hAnsi="楷体" w:eastAsia="楷体"/>
          <w:b/>
          <w:bCs w:val="0"/>
        </w:rPr>
        <w:t>第二节 基本原则</w:t>
      </w:r>
      <w:bookmarkEnd w:id="10"/>
    </w:p>
    <w:p w14:paraId="14EB2BB1">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生态优先，绿色发展。</w:t>
      </w:r>
      <w:r>
        <w:rPr>
          <w:rFonts w:hint="eastAsia" w:ascii="Calibri" w:hAnsi="Calibri" w:eastAsia="仿宋_GB2312" w:cs="Times New Roman"/>
          <w:sz w:val="32"/>
          <w:szCs w:val="32"/>
        </w:rPr>
        <w:t>大力推进生态文明建设，贯彻绿色发展理念，推动形成绿色低碳的生产生活方式和城市建设运营模式，推动生态产品价值实现，不断满足人民群众对优美生态环境和优质生态产品日益增长的需求。</w:t>
      </w:r>
    </w:p>
    <w:p w14:paraId="23C29FB7">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统筹规划，系统治理。</w:t>
      </w:r>
      <w:r>
        <w:rPr>
          <w:rFonts w:hint="eastAsia" w:ascii="Calibri" w:hAnsi="Calibri" w:eastAsia="仿宋_GB2312" w:cs="Times New Roman"/>
          <w:sz w:val="32"/>
          <w:szCs w:val="32"/>
        </w:rPr>
        <w:t>坚持保护和发展、整体和局部、当前和长远目标的统筹协调，科学确定阳江市生态修复目标、合理划定修复分区，统筹提出各类生态系统保护和修复的总体要求与工作指引，协同推进山上山下、地上地下、岸上岸下、上游下游及山水林田湖海一体化保护和修复。</w:t>
      </w:r>
    </w:p>
    <w:p w14:paraId="6D67663D">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问题导向，分区修复。</w:t>
      </w:r>
      <w:r>
        <w:rPr>
          <w:rFonts w:hint="eastAsia" w:ascii="Calibri" w:hAnsi="Calibri" w:eastAsia="仿宋_GB2312" w:cs="Times New Roman"/>
          <w:sz w:val="32"/>
          <w:szCs w:val="32"/>
        </w:rPr>
        <w:t>立足阳江市自然地理格局和生态系统现状，提高山水林田湖海等各要素生态问题识别和诊断精度，科学预判主要生态风险，因地制宜，针对生态、农业、城镇三大空间制定各有侧重的生态保护和修复策略。</w:t>
      </w:r>
    </w:p>
    <w:p w14:paraId="389A47FB">
      <w:pPr>
        <w:spacing w:line="600" w:lineRule="exact"/>
        <w:ind w:firstLine="643" w:firstLineChars="200"/>
      </w:pPr>
      <w:r>
        <w:rPr>
          <w:rFonts w:hint="eastAsia" w:ascii="Calibri" w:hAnsi="Calibri" w:eastAsia="仿宋_GB2312" w:cs="Times New Roman"/>
          <w:b/>
          <w:bCs/>
          <w:sz w:val="32"/>
          <w:szCs w:val="32"/>
        </w:rPr>
        <w:t>自然为主，人工为辅。</w:t>
      </w:r>
      <w:r>
        <w:rPr>
          <w:rFonts w:hint="eastAsia" w:ascii="Calibri" w:hAnsi="Calibri" w:eastAsia="仿宋_GB2312" w:cs="Times New Roman"/>
          <w:sz w:val="32"/>
          <w:szCs w:val="32"/>
        </w:rPr>
        <w:t>遵循自然生态系统演替规律，倡导自然恢复理念，充分发挥大自然的自我修复能力，避免人类对生态系统的过多干预，实现绿色生态、可持续发展。</w:t>
      </w:r>
    </w:p>
    <w:p w14:paraId="44DBC005">
      <w:pPr>
        <w:pStyle w:val="3"/>
        <w:spacing w:beforeLines="50" w:afterLines="50"/>
        <w:ind w:firstLine="0" w:firstLineChars="0"/>
        <w:jc w:val="center"/>
        <w:rPr>
          <w:rFonts w:ascii="楷体" w:hAnsi="楷体" w:eastAsia="楷体"/>
          <w:b/>
          <w:bCs w:val="0"/>
        </w:rPr>
      </w:pPr>
      <w:bookmarkStart w:id="11" w:name="_Toc181820165"/>
      <w:r>
        <w:rPr>
          <w:rFonts w:hint="eastAsia" w:ascii="楷体" w:hAnsi="楷体" w:eastAsia="楷体"/>
          <w:b/>
          <w:bCs w:val="0"/>
        </w:rPr>
        <w:t>第三节 规划目标</w:t>
      </w:r>
      <w:bookmarkEnd w:id="11"/>
    </w:p>
    <w:p w14:paraId="292B88E1">
      <w:pPr>
        <w:pStyle w:val="4"/>
        <w:spacing w:before="0" w:after="0" w:line="600" w:lineRule="exact"/>
        <w:ind w:firstLine="643"/>
        <w:rPr>
          <w:rFonts w:ascii="仿宋" w:hAnsi="仿宋" w:eastAsia="仿宋"/>
        </w:rPr>
      </w:pPr>
      <w:r>
        <w:rPr>
          <w:rFonts w:hint="eastAsia" w:ascii="仿宋" w:hAnsi="仿宋" w:eastAsia="仿宋"/>
        </w:rPr>
        <w:t>一、总体目标</w:t>
      </w:r>
    </w:p>
    <w:p w14:paraId="2F81ED97">
      <w:pPr>
        <w:spacing w:line="600" w:lineRule="exact"/>
        <w:ind w:firstLine="640" w:firstLineChars="200"/>
      </w:pPr>
      <w:r>
        <w:rPr>
          <w:rFonts w:hint="eastAsia" w:ascii="Calibri" w:hAnsi="Calibri" w:eastAsia="仿宋_GB2312" w:cs="Times New Roman"/>
          <w:sz w:val="32"/>
          <w:szCs w:val="32"/>
        </w:rPr>
        <w:t>以生态文明建设为核心，树立和践行绿水青山就是金山银山的理念，统筹山水林田湖海系统治理，科学布局和组织实施重要生态修复重大工程，构建全要素统筹、全空间覆盖、全过程传导、全周期监管的国土空间生态修复规划体系，助力阳江“</w:t>
      </w:r>
      <w:r>
        <w:rPr>
          <w:rFonts w:hint="eastAsia" w:ascii="Calibri" w:hAnsi="Calibri" w:eastAsia="仿宋_GB2312" w:cs="Times New Roman"/>
          <w:b/>
          <w:bCs/>
          <w:sz w:val="32"/>
          <w:szCs w:val="32"/>
        </w:rPr>
        <w:t>筑牢山海生态屏障，打造山江城田海共荣的生态修复示范区</w:t>
      </w:r>
      <w:r>
        <w:rPr>
          <w:rFonts w:hint="eastAsia" w:ascii="Calibri" w:hAnsi="Calibri" w:eastAsia="仿宋_GB2312" w:cs="Times New Roman"/>
          <w:sz w:val="32"/>
          <w:szCs w:val="32"/>
        </w:rPr>
        <w:t>”，形成彰显地方特色的生态文明阳江模式。</w:t>
      </w:r>
    </w:p>
    <w:p w14:paraId="42B0442B">
      <w:pPr>
        <w:pStyle w:val="4"/>
        <w:spacing w:before="0" w:after="0" w:line="600" w:lineRule="exact"/>
        <w:ind w:firstLine="643"/>
        <w:rPr>
          <w:rFonts w:ascii="仿宋" w:hAnsi="仿宋" w:eastAsia="仿宋"/>
        </w:rPr>
      </w:pPr>
      <w:r>
        <w:rPr>
          <w:rFonts w:hint="eastAsia" w:ascii="仿宋" w:hAnsi="仿宋" w:eastAsia="仿宋"/>
        </w:rPr>
        <w:t>二、阶段目标</w:t>
      </w:r>
    </w:p>
    <w:p w14:paraId="1C3395B8">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2025年，山水林田湖海系统保护和修复重大工程有序推进，重大生态问题得到有效遏制，生态系统稳定性持续提升，生态系统服务功能进一步增强，生态保护和修复协调机制基本建立，城乡人居环境品质显著改善。以北部云雾山、天露山脉及南部海湾群岛为重点，筑牢山海生态屏障，连通漠阳江生态走廊，深化国家森林城市建设与蓝色海湾整治工作，夯实美丽阳江的生态根基。</w:t>
      </w:r>
    </w:p>
    <w:p w14:paraId="7B1FEF4D">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2035年，山水林田湖海系统保护和修复重大工程全面建成，重点区域生态问题得到解决，陆海生态系统实现良性循环，基本形成“海碧、天蓝、山绿、水清、城荣、田优”的人与自然和谐共生格局，生态文明体系建设达到国内先进水平，生态环境优势持续提升，美丽阳江基本建成。</w:t>
      </w:r>
    </w:p>
    <w:p w14:paraId="71299E54">
      <w:pPr>
        <w:pStyle w:val="3"/>
        <w:spacing w:beforeLines="50" w:afterLines="50"/>
        <w:ind w:firstLine="0" w:firstLineChars="0"/>
        <w:jc w:val="center"/>
        <w:rPr>
          <w:rFonts w:ascii="楷体" w:hAnsi="楷体" w:eastAsia="楷体"/>
          <w:b/>
          <w:bCs w:val="0"/>
        </w:rPr>
      </w:pPr>
      <w:bookmarkStart w:id="12" w:name="_Toc181820166"/>
      <w:r>
        <w:rPr>
          <w:rFonts w:hint="eastAsia" w:ascii="楷体" w:hAnsi="楷体" w:eastAsia="楷体"/>
          <w:b/>
          <w:bCs w:val="0"/>
        </w:rPr>
        <w:t>第四节 指标体系</w:t>
      </w:r>
      <w:bookmarkEnd w:id="12"/>
    </w:p>
    <w:p w14:paraId="0AC05DBC">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衔接并落实《“绿美广东”大行动实施方案》、《阳江市国土空间规划（2021-2035年）》、《阳江市水利改革发展“十四五”规划》等相关规划文件中的目标任务，构建阳江市生态质量类、修复治理类两大类17项指标体系，其中约束性指标11项，预期性指标6项。</w:t>
      </w:r>
    </w:p>
    <w:p w14:paraId="27A558E7">
      <w:pPr>
        <w:spacing w:line="600" w:lineRule="exact"/>
        <w:jc w:val="center"/>
        <w:rPr>
          <w:rFonts w:ascii="Calibri" w:hAnsi="Calibri" w:eastAsia="仿宋_GB2312" w:cs="Times New Roman"/>
          <w:sz w:val="32"/>
          <w:szCs w:val="32"/>
        </w:rPr>
      </w:pPr>
      <w:r>
        <w:rPr>
          <w:rFonts w:hint="eastAsia" w:ascii="Calibri" w:hAnsi="Calibri" w:eastAsia="仿宋_GB2312" w:cs="Times New Roman"/>
          <w:sz w:val="32"/>
          <w:szCs w:val="32"/>
        </w:rPr>
        <w:t>表</w:t>
      </w:r>
      <w:r>
        <w:rPr>
          <w:rFonts w:ascii="Times New Roman" w:hAnsi="Times New Roman" w:eastAsia="仿宋_GB2312" w:cs="Times New Roman"/>
          <w:sz w:val="32"/>
          <w:szCs w:val="32"/>
        </w:rPr>
        <w:t>2</w:t>
      </w:r>
      <w:r>
        <w:rPr>
          <w:rFonts w:hint="eastAsia" w:ascii="Calibri" w:hAnsi="Calibri" w:eastAsia="仿宋_GB2312" w:cs="Times New Roman"/>
          <w:sz w:val="32"/>
          <w:szCs w:val="32"/>
        </w:rPr>
        <w:t>-</w:t>
      </w:r>
      <w:r>
        <w:rPr>
          <w:rFonts w:hint="eastAsia" w:ascii="Times New Roman" w:hAnsi="Times New Roman" w:eastAsia="仿宋_GB2312" w:cs="Times New Roman"/>
          <w:sz w:val="32"/>
          <w:szCs w:val="32"/>
        </w:rPr>
        <w:t>1</w:t>
      </w:r>
      <w:r>
        <w:rPr>
          <w:rFonts w:hint="eastAsia" w:ascii="Calibri" w:hAnsi="Calibri" w:eastAsia="仿宋_GB2312" w:cs="Times New Roman"/>
          <w:sz w:val="32"/>
          <w:szCs w:val="32"/>
        </w:rPr>
        <w:t xml:space="preserve"> 规划指标表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7"/>
        <w:gridCol w:w="515"/>
        <w:gridCol w:w="2153"/>
        <w:gridCol w:w="688"/>
        <w:gridCol w:w="899"/>
        <w:gridCol w:w="1400"/>
        <w:gridCol w:w="1400"/>
        <w:gridCol w:w="690"/>
      </w:tblGrid>
      <w:tr w14:paraId="533B8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ACB97D1">
            <w:pPr>
              <w:jc w:val="center"/>
              <w:rPr>
                <w:rFonts w:ascii="Times New Roman" w:hAnsi="Times New Roman" w:eastAsia="仿宋_GB2312" w:cs="Times New Roman"/>
                <w:sz w:val="32"/>
                <w:szCs w:val="32"/>
              </w:rPr>
            </w:pPr>
            <w:r>
              <w:rPr>
                <w:rFonts w:ascii="Times New Roman" w:hAnsi="Times New Roman" w:eastAsia="仿宋_GB2312" w:cs="Times New Roman"/>
                <w:b/>
                <w:bCs/>
              </w:rPr>
              <w:t>指标分类</w:t>
            </w:r>
          </w:p>
        </w:tc>
        <w:tc>
          <w:tcPr>
            <w:tcW w:w="0" w:type="auto"/>
            <w:vAlign w:val="center"/>
          </w:tcPr>
          <w:p w14:paraId="525F7C8C">
            <w:pPr>
              <w:jc w:val="center"/>
              <w:rPr>
                <w:rFonts w:ascii="Times New Roman" w:hAnsi="Times New Roman" w:eastAsia="仿宋_GB2312" w:cs="Times New Roman"/>
                <w:sz w:val="32"/>
                <w:szCs w:val="32"/>
              </w:rPr>
            </w:pPr>
            <w:r>
              <w:rPr>
                <w:rFonts w:ascii="Times New Roman" w:hAnsi="Times New Roman" w:eastAsia="仿宋_GB2312" w:cs="Times New Roman"/>
                <w:b/>
                <w:bCs/>
              </w:rPr>
              <w:t>序号</w:t>
            </w:r>
          </w:p>
        </w:tc>
        <w:tc>
          <w:tcPr>
            <w:tcW w:w="0" w:type="auto"/>
            <w:vAlign w:val="center"/>
          </w:tcPr>
          <w:p w14:paraId="4FAAAB1A">
            <w:pPr>
              <w:jc w:val="center"/>
              <w:rPr>
                <w:rFonts w:ascii="Times New Roman" w:hAnsi="Times New Roman" w:eastAsia="仿宋_GB2312" w:cs="Times New Roman"/>
                <w:sz w:val="32"/>
                <w:szCs w:val="32"/>
              </w:rPr>
            </w:pPr>
            <w:r>
              <w:rPr>
                <w:rFonts w:ascii="Times New Roman" w:hAnsi="Times New Roman" w:eastAsia="仿宋_GB2312" w:cs="Times New Roman"/>
                <w:b/>
                <w:bCs/>
              </w:rPr>
              <w:t>指标</w:t>
            </w:r>
          </w:p>
        </w:tc>
        <w:tc>
          <w:tcPr>
            <w:tcW w:w="0" w:type="auto"/>
            <w:vAlign w:val="center"/>
          </w:tcPr>
          <w:p w14:paraId="1E3B05CE">
            <w:pPr>
              <w:jc w:val="center"/>
              <w:rPr>
                <w:rFonts w:ascii="Times New Roman" w:hAnsi="Times New Roman" w:eastAsia="仿宋_GB2312" w:cs="Times New Roman"/>
                <w:sz w:val="32"/>
                <w:szCs w:val="32"/>
              </w:rPr>
            </w:pPr>
            <w:r>
              <w:rPr>
                <w:rFonts w:ascii="Times New Roman" w:hAnsi="Times New Roman" w:eastAsia="仿宋_GB2312" w:cs="Times New Roman"/>
                <w:b/>
                <w:bCs/>
              </w:rPr>
              <w:t>单位</w:t>
            </w:r>
          </w:p>
        </w:tc>
        <w:tc>
          <w:tcPr>
            <w:tcW w:w="0" w:type="auto"/>
            <w:vAlign w:val="center"/>
          </w:tcPr>
          <w:p w14:paraId="1EC1EB09">
            <w:pPr>
              <w:jc w:val="center"/>
              <w:rPr>
                <w:rFonts w:ascii="Times New Roman" w:hAnsi="Times New Roman" w:eastAsia="仿宋_GB2312" w:cs="Times New Roman"/>
                <w:sz w:val="32"/>
                <w:szCs w:val="32"/>
              </w:rPr>
            </w:pPr>
            <w:r>
              <w:rPr>
                <w:rFonts w:ascii="Times New Roman" w:hAnsi="Times New Roman" w:eastAsia="仿宋_GB2312" w:cs="Times New Roman"/>
                <w:b/>
                <w:bCs/>
              </w:rPr>
              <w:t>2020年</w:t>
            </w:r>
          </w:p>
        </w:tc>
        <w:tc>
          <w:tcPr>
            <w:tcW w:w="0" w:type="auto"/>
            <w:vAlign w:val="center"/>
          </w:tcPr>
          <w:p w14:paraId="21FB611B">
            <w:pPr>
              <w:jc w:val="center"/>
              <w:rPr>
                <w:rFonts w:ascii="Times New Roman" w:hAnsi="Times New Roman" w:eastAsia="仿宋_GB2312" w:cs="Times New Roman"/>
                <w:sz w:val="32"/>
                <w:szCs w:val="32"/>
              </w:rPr>
            </w:pPr>
            <w:r>
              <w:rPr>
                <w:rFonts w:ascii="Times New Roman" w:hAnsi="Times New Roman" w:eastAsia="仿宋_GB2312" w:cs="Times New Roman"/>
                <w:b/>
                <w:bCs/>
              </w:rPr>
              <w:t>2025年</w:t>
            </w:r>
          </w:p>
        </w:tc>
        <w:tc>
          <w:tcPr>
            <w:tcW w:w="0" w:type="auto"/>
            <w:vAlign w:val="center"/>
          </w:tcPr>
          <w:p w14:paraId="54454FE0">
            <w:pPr>
              <w:jc w:val="center"/>
              <w:rPr>
                <w:rFonts w:ascii="Times New Roman" w:hAnsi="Times New Roman" w:eastAsia="仿宋_GB2312" w:cs="Times New Roman"/>
                <w:sz w:val="32"/>
                <w:szCs w:val="32"/>
              </w:rPr>
            </w:pPr>
            <w:r>
              <w:rPr>
                <w:rFonts w:ascii="Times New Roman" w:hAnsi="Times New Roman" w:eastAsia="仿宋_GB2312" w:cs="Times New Roman"/>
                <w:b/>
                <w:bCs/>
              </w:rPr>
              <w:t>2035年</w:t>
            </w:r>
          </w:p>
        </w:tc>
        <w:tc>
          <w:tcPr>
            <w:tcW w:w="0" w:type="auto"/>
            <w:vAlign w:val="center"/>
          </w:tcPr>
          <w:p w14:paraId="1962667F">
            <w:pPr>
              <w:jc w:val="center"/>
              <w:rPr>
                <w:rFonts w:ascii="Times New Roman" w:hAnsi="Times New Roman" w:eastAsia="仿宋_GB2312" w:cs="Times New Roman"/>
                <w:sz w:val="32"/>
                <w:szCs w:val="32"/>
              </w:rPr>
            </w:pPr>
            <w:r>
              <w:rPr>
                <w:rFonts w:ascii="Times New Roman" w:hAnsi="Times New Roman" w:eastAsia="仿宋_GB2312" w:cs="Times New Roman"/>
                <w:b/>
                <w:bCs/>
              </w:rPr>
              <w:t>指标性质</w:t>
            </w:r>
          </w:p>
        </w:tc>
      </w:tr>
      <w:tr w14:paraId="0C558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restart"/>
            <w:vAlign w:val="center"/>
          </w:tcPr>
          <w:p w14:paraId="09F7E32B">
            <w:pPr>
              <w:jc w:val="center"/>
              <w:rPr>
                <w:rFonts w:ascii="Times New Roman" w:hAnsi="Times New Roman" w:eastAsia="仿宋_GB2312" w:cs="Times New Roman"/>
                <w:sz w:val="32"/>
                <w:szCs w:val="32"/>
              </w:rPr>
            </w:pPr>
            <w:r>
              <w:rPr>
                <w:rFonts w:ascii="Times New Roman" w:hAnsi="Times New Roman" w:eastAsia="仿宋_GB2312" w:cs="Times New Roman"/>
                <w:b/>
                <w:bCs/>
              </w:rPr>
              <w:t>生态质量类</w:t>
            </w:r>
          </w:p>
        </w:tc>
        <w:tc>
          <w:tcPr>
            <w:tcW w:w="0" w:type="auto"/>
            <w:vAlign w:val="center"/>
          </w:tcPr>
          <w:p w14:paraId="3AABDC80">
            <w:pPr>
              <w:jc w:val="center"/>
              <w:rPr>
                <w:rFonts w:ascii="Times New Roman" w:hAnsi="Times New Roman" w:eastAsia="仿宋_GB2312" w:cs="Times New Roman"/>
                <w:sz w:val="32"/>
                <w:szCs w:val="32"/>
              </w:rPr>
            </w:pPr>
            <w:r>
              <w:rPr>
                <w:rFonts w:ascii="Times New Roman" w:hAnsi="Times New Roman" w:eastAsia="仿宋_GB2312" w:cs="Times New Roman"/>
              </w:rPr>
              <w:t>1</w:t>
            </w:r>
          </w:p>
        </w:tc>
        <w:tc>
          <w:tcPr>
            <w:tcW w:w="0" w:type="auto"/>
            <w:vAlign w:val="center"/>
          </w:tcPr>
          <w:p w14:paraId="6C354BDF">
            <w:pPr>
              <w:jc w:val="center"/>
              <w:rPr>
                <w:rFonts w:ascii="Times New Roman" w:hAnsi="Times New Roman" w:eastAsia="仿宋_GB2312" w:cs="Times New Roman"/>
                <w:sz w:val="32"/>
                <w:szCs w:val="32"/>
              </w:rPr>
            </w:pPr>
            <w:r>
              <w:rPr>
                <w:rFonts w:ascii="Times New Roman" w:hAnsi="Times New Roman" w:eastAsia="仿宋_GB2312" w:cs="Times New Roman"/>
              </w:rPr>
              <w:t>陆域生态保护红线面积</w:t>
            </w:r>
          </w:p>
        </w:tc>
        <w:tc>
          <w:tcPr>
            <w:tcW w:w="0" w:type="auto"/>
            <w:vAlign w:val="center"/>
          </w:tcPr>
          <w:p w14:paraId="64DAE2C9">
            <w:pPr>
              <w:jc w:val="center"/>
              <w:rPr>
                <w:rFonts w:ascii="Times New Roman" w:hAnsi="Times New Roman" w:eastAsia="仿宋_GB2312" w:cs="Times New Roman"/>
                <w:sz w:val="32"/>
                <w:szCs w:val="32"/>
              </w:rPr>
            </w:pPr>
            <w:r>
              <w:rPr>
                <w:rFonts w:ascii="Times New Roman" w:hAnsi="Times New Roman" w:eastAsia="仿宋_GB2312" w:cs="Times New Roman"/>
              </w:rPr>
              <w:t>平方公里</w:t>
            </w:r>
          </w:p>
        </w:tc>
        <w:tc>
          <w:tcPr>
            <w:tcW w:w="0" w:type="auto"/>
            <w:vAlign w:val="center"/>
          </w:tcPr>
          <w:p w14:paraId="03A008D4">
            <w:pPr>
              <w:jc w:val="center"/>
              <w:rPr>
                <w:rFonts w:ascii="Times New Roman" w:hAnsi="Times New Roman" w:eastAsia="仿宋_GB2312" w:cs="Times New Roman"/>
                <w:sz w:val="32"/>
                <w:szCs w:val="32"/>
              </w:rPr>
            </w:pPr>
            <w:r>
              <w:rPr>
                <w:rFonts w:ascii="Times New Roman" w:hAnsi="Times New Roman" w:eastAsia="仿宋_GB2312" w:cs="Times New Roman"/>
              </w:rPr>
              <w:t>1479.21</w:t>
            </w:r>
          </w:p>
        </w:tc>
        <w:tc>
          <w:tcPr>
            <w:tcW w:w="0" w:type="auto"/>
            <w:vAlign w:val="center"/>
          </w:tcPr>
          <w:p w14:paraId="43EF2F47">
            <w:pPr>
              <w:jc w:val="center"/>
              <w:rPr>
                <w:rFonts w:ascii="Times New Roman" w:hAnsi="Times New Roman" w:eastAsia="仿宋_GB2312" w:cs="Times New Roman"/>
                <w:sz w:val="32"/>
                <w:szCs w:val="32"/>
              </w:rPr>
            </w:pPr>
            <w:r>
              <w:rPr>
                <w:rFonts w:ascii="Times New Roman" w:hAnsi="Times New Roman" w:eastAsia="仿宋_GB2312" w:cs="Times New Roman"/>
              </w:rPr>
              <w:t>1479.21</w:t>
            </w:r>
          </w:p>
        </w:tc>
        <w:tc>
          <w:tcPr>
            <w:tcW w:w="0" w:type="auto"/>
            <w:vAlign w:val="center"/>
          </w:tcPr>
          <w:p w14:paraId="05097E25">
            <w:pPr>
              <w:jc w:val="center"/>
              <w:rPr>
                <w:rFonts w:ascii="Times New Roman" w:hAnsi="Times New Roman" w:eastAsia="仿宋_GB2312" w:cs="Times New Roman"/>
                <w:sz w:val="32"/>
                <w:szCs w:val="32"/>
              </w:rPr>
            </w:pPr>
            <w:r>
              <w:rPr>
                <w:rFonts w:ascii="Times New Roman" w:hAnsi="Times New Roman" w:eastAsia="仿宋_GB2312" w:cs="Times New Roman"/>
              </w:rPr>
              <w:t>1479.21</w:t>
            </w:r>
          </w:p>
        </w:tc>
        <w:tc>
          <w:tcPr>
            <w:tcW w:w="0" w:type="auto"/>
            <w:vAlign w:val="center"/>
          </w:tcPr>
          <w:p w14:paraId="4E3009FA">
            <w:pPr>
              <w:jc w:val="center"/>
              <w:rPr>
                <w:rFonts w:ascii="Times New Roman" w:hAnsi="Times New Roman" w:eastAsia="仿宋_GB2312" w:cs="Times New Roman"/>
                <w:sz w:val="32"/>
                <w:szCs w:val="32"/>
              </w:rPr>
            </w:pPr>
            <w:r>
              <w:rPr>
                <w:rFonts w:ascii="Times New Roman" w:hAnsi="Times New Roman" w:eastAsia="仿宋_GB2312" w:cs="Times New Roman"/>
              </w:rPr>
              <w:t>约束性</w:t>
            </w:r>
          </w:p>
        </w:tc>
      </w:tr>
      <w:tr w14:paraId="72F9E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5BAC82A3">
            <w:pPr>
              <w:jc w:val="center"/>
              <w:rPr>
                <w:rFonts w:ascii="Times New Roman" w:hAnsi="Times New Roman" w:eastAsia="仿宋_GB2312" w:cs="Times New Roman"/>
                <w:sz w:val="32"/>
                <w:szCs w:val="32"/>
              </w:rPr>
            </w:pPr>
          </w:p>
        </w:tc>
        <w:tc>
          <w:tcPr>
            <w:tcW w:w="0" w:type="auto"/>
            <w:vAlign w:val="center"/>
          </w:tcPr>
          <w:p w14:paraId="297DAC31">
            <w:pPr>
              <w:jc w:val="center"/>
              <w:rPr>
                <w:rFonts w:ascii="Times New Roman" w:hAnsi="Times New Roman" w:eastAsia="仿宋_GB2312" w:cs="Times New Roman"/>
                <w:sz w:val="32"/>
                <w:szCs w:val="32"/>
              </w:rPr>
            </w:pPr>
            <w:r>
              <w:rPr>
                <w:rFonts w:ascii="Times New Roman" w:hAnsi="Times New Roman" w:eastAsia="仿宋_GB2312" w:cs="Times New Roman"/>
              </w:rPr>
              <w:t>2</w:t>
            </w:r>
          </w:p>
        </w:tc>
        <w:tc>
          <w:tcPr>
            <w:tcW w:w="0" w:type="auto"/>
            <w:vAlign w:val="center"/>
          </w:tcPr>
          <w:p w14:paraId="42751227">
            <w:pPr>
              <w:jc w:val="center"/>
              <w:rPr>
                <w:rFonts w:ascii="Times New Roman" w:hAnsi="Times New Roman" w:eastAsia="仿宋_GB2312" w:cs="Times New Roman"/>
                <w:sz w:val="32"/>
                <w:szCs w:val="32"/>
              </w:rPr>
            </w:pPr>
            <w:r>
              <w:rPr>
                <w:rFonts w:ascii="Times New Roman" w:hAnsi="Times New Roman" w:eastAsia="仿宋_GB2312" w:cs="Times New Roman"/>
              </w:rPr>
              <w:t>海域生态保护红线面积</w:t>
            </w:r>
          </w:p>
        </w:tc>
        <w:tc>
          <w:tcPr>
            <w:tcW w:w="0" w:type="auto"/>
            <w:vAlign w:val="center"/>
          </w:tcPr>
          <w:p w14:paraId="5E774F56">
            <w:pPr>
              <w:jc w:val="center"/>
              <w:rPr>
                <w:rFonts w:ascii="Times New Roman" w:hAnsi="Times New Roman" w:eastAsia="仿宋_GB2312" w:cs="Times New Roman"/>
                <w:sz w:val="32"/>
                <w:szCs w:val="32"/>
              </w:rPr>
            </w:pPr>
            <w:r>
              <w:rPr>
                <w:rFonts w:ascii="Times New Roman" w:hAnsi="Times New Roman" w:eastAsia="仿宋_GB2312" w:cs="Times New Roman"/>
              </w:rPr>
              <w:t>平方公里</w:t>
            </w:r>
          </w:p>
        </w:tc>
        <w:tc>
          <w:tcPr>
            <w:tcW w:w="0" w:type="auto"/>
            <w:vAlign w:val="center"/>
          </w:tcPr>
          <w:p w14:paraId="33C121C9">
            <w:pPr>
              <w:jc w:val="center"/>
              <w:rPr>
                <w:rFonts w:ascii="Times New Roman" w:hAnsi="Times New Roman" w:eastAsia="仿宋_GB2312" w:cs="Times New Roman"/>
                <w:sz w:val="32"/>
                <w:szCs w:val="32"/>
              </w:rPr>
            </w:pPr>
            <w:r>
              <w:rPr>
                <w:rFonts w:ascii="Times New Roman" w:hAnsi="Times New Roman" w:eastAsia="仿宋_GB2312" w:cs="Times New Roman"/>
              </w:rPr>
              <w:t>/</w:t>
            </w:r>
          </w:p>
        </w:tc>
        <w:tc>
          <w:tcPr>
            <w:tcW w:w="0" w:type="auto"/>
            <w:vAlign w:val="center"/>
          </w:tcPr>
          <w:p w14:paraId="3FB79A56">
            <w:pPr>
              <w:jc w:val="center"/>
              <w:rPr>
                <w:rFonts w:ascii="Times New Roman" w:hAnsi="Times New Roman" w:eastAsia="仿宋_GB2312" w:cs="Times New Roman"/>
                <w:sz w:val="32"/>
                <w:szCs w:val="32"/>
              </w:rPr>
            </w:pPr>
            <w:r>
              <w:rPr>
                <w:rFonts w:ascii="Times New Roman" w:hAnsi="Times New Roman" w:eastAsia="仿宋_GB2312" w:cs="Times New Roman"/>
              </w:rPr>
              <w:t>1521.25</w:t>
            </w:r>
          </w:p>
        </w:tc>
        <w:tc>
          <w:tcPr>
            <w:tcW w:w="0" w:type="auto"/>
            <w:vAlign w:val="center"/>
          </w:tcPr>
          <w:p w14:paraId="45960284">
            <w:pPr>
              <w:jc w:val="center"/>
              <w:rPr>
                <w:rFonts w:ascii="Times New Roman" w:hAnsi="Times New Roman" w:eastAsia="仿宋_GB2312" w:cs="Times New Roman"/>
                <w:sz w:val="32"/>
                <w:szCs w:val="32"/>
              </w:rPr>
            </w:pPr>
            <w:r>
              <w:rPr>
                <w:rFonts w:ascii="Times New Roman" w:hAnsi="Times New Roman" w:eastAsia="仿宋_GB2312" w:cs="Times New Roman"/>
              </w:rPr>
              <w:t>1521.25</w:t>
            </w:r>
          </w:p>
        </w:tc>
        <w:tc>
          <w:tcPr>
            <w:tcW w:w="0" w:type="auto"/>
            <w:vAlign w:val="center"/>
          </w:tcPr>
          <w:p w14:paraId="78F49723">
            <w:pPr>
              <w:jc w:val="center"/>
              <w:rPr>
                <w:rFonts w:ascii="Times New Roman" w:hAnsi="Times New Roman" w:eastAsia="仿宋_GB2312" w:cs="Times New Roman"/>
                <w:sz w:val="32"/>
                <w:szCs w:val="32"/>
              </w:rPr>
            </w:pPr>
            <w:r>
              <w:rPr>
                <w:rFonts w:ascii="Times New Roman" w:hAnsi="Times New Roman" w:eastAsia="仿宋_GB2312" w:cs="Times New Roman"/>
              </w:rPr>
              <w:t>约束性</w:t>
            </w:r>
          </w:p>
        </w:tc>
      </w:tr>
      <w:tr w14:paraId="44B61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5278D793">
            <w:pPr>
              <w:jc w:val="center"/>
              <w:rPr>
                <w:rFonts w:ascii="Times New Roman" w:hAnsi="Times New Roman" w:eastAsia="仿宋_GB2312" w:cs="Times New Roman"/>
                <w:sz w:val="32"/>
                <w:szCs w:val="32"/>
              </w:rPr>
            </w:pPr>
          </w:p>
        </w:tc>
        <w:tc>
          <w:tcPr>
            <w:tcW w:w="0" w:type="auto"/>
            <w:vAlign w:val="center"/>
          </w:tcPr>
          <w:p w14:paraId="76514F6B">
            <w:pPr>
              <w:jc w:val="center"/>
              <w:rPr>
                <w:rFonts w:ascii="Times New Roman" w:hAnsi="Times New Roman" w:eastAsia="仿宋_GB2312" w:cs="Times New Roman"/>
                <w:sz w:val="32"/>
                <w:szCs w:val="32"/>
              </w:rPr>
            </w:pPr>
            <w:r>
              <w:rPr>
                <w:rFonts w:ascii="Times New Roman" w:hAnsi="Times New Roman" w:eastAsia="仿宋_GB2312" w:cs="Times New Roman"/>
              </w:rPr>
              <w:t>3</w:t>
            </w:r>
          </w:p>
        </w:tc>
        <w:tc>
          <w:tcPr>
            <w:tcW w:w="0" w:type="auto"/>
            <w:vAlign w:val="center"/>
          </w:tcPr>
          <w:p w14:paraId="6234C4E6">
            <w:pPr>
              <w:jc w:val="center"/>
              <w:rPr>
                <w:rFonts w:ascii="Times New Roman" w:hAnsi="Times New Roman" w:eastAsia="仿宋_GB2312" w:cs="Times New Roman"/>
                <w:sz w:val="32"/>
                <w:szCs w:val="32"/>
              </w:rPr>
            </w:pPr>
            <w:r>
              <w:rPr>
                <w:rFonts w:ascii="Times New Roman" w:hAnsi="Times New Roman" w:eastAsia="仿宋_GB2312" w:cs="Times New Roman"/>
              </w:rPr>
              <w:t>自然保护地陆域面积占陆域国土面积比例</w:t>
            </w:r>
          </w:p>
        </w:tc>
        <w:tc>
          <w:tcPr>
            <w:tcW w:w="0" w:type="auto"/>
            <w:vAlign w:val="center"/>
          </w:tcPr>
          <w:p w14:paraId="4021681D">
            <w:pPr>
              <w:jc w:val="center"/>
              <w:rPr>
                <w:rFonts w:ascii="Times New Roman" w:hAnsi="Times New Roman" w:eastAsia="仿宋_GB2312" w:cs="Times New Roman"/>
                <w:sz w:val="32"/>
                <w:szCs w:val="32"/>
              </w:rPr>
            </w:pPr>
            <w:r>
              <w:rPr>
                <w:rFonts w:ascii="Times New Roman" w:hAnsi="Times New Roman" w:eastAsia="仿宋_GB2312" w:cs="Times New Roman"/>
              </w:rPr>
              <w:t>%</w:t>
            </w:r>
          </w:p>
        </w:tc>
        <w:tc>
          <w:tcPr>
            <w:tcW w:w="0" w:type="auto"/>
            <w:vAlign w:val="center"/>
          </w:tcPr>
          <w:p w14:paraId="517A786D">
            <w:pPr>
              <w:jc w:val="center"/>
              <w:rPr>
                <w:rFonts w:ascii="Times New Roman" w:hAnsi="Times New Roman" w:eastAsia="仿宋_GB2312" w:cs="Times New Roman"/>
                <w:sz w:val="32"/>
                <w:szCs w:val="32"/>
              </w:rPr>
            </w:pPr>
            <w:r>
              <w:rPr>
                <w:rFonts w:ascii="Times New Roman" w:hAnsi="Times New Roman" w:eastAsia="仿宋_GB2312" w:cs="Times New Roman"/>
              </w:rPr>
              <w:t>12.08</w:t>
            </w:r>
          </w:p>
        </w:tc>
        <w:tc>
          <w:tcPr>
            <w:tcW w:w="0" w:type="auto"/>
            <w:vAlign w:val="center"/>
          </w:tcPr>
          <w:p w14:paraId="7CC148A4">
            <w:pPr>
              <w:jc w:val="center"/>
              <w:rPr>
                <w:rFonts w:ascii="Times New Roman" w:hAnsi="Times New Roman" w:eastAsia="仿宋_GB2312" w:cs="Times New Roman"/>
                <w:sz w:val="32"/>
                <w:szCs w:val="32"/>
              </w:rPr>
            </w:pPr>
            <w:r>
              <w:rPr>
                <w:rFonts w:ascii="Times New Roman" w:hAnsi="Times New Roman" w:eastAsia="仿宋_GB2312" w:cs="Times New Roman"/>
              </w:rPr>
              <w:t>12.08</w:t>
            </w:r>
          </w:p>
        </w:tc>
        <w:tc>
          <w:tcPr>
            <w:tcW w:w="0" w:type="auto"/>
            <w:vAlign w:val="center"/>
          </w:tcPr>
          <w:p w14:paraId="62EC670A">
            <w:pPr>
              <w:jc w:val="center"/>
              <w:rPr>
                <w:rFonts w:ascii="Times New Roman" w:hAnsi="Times New Roman" w:eastAsia="仿宋_GB2312" w:cs="Times New Roman"/>
                <w:sz w:val="32"/>
                <w:szCs w:val="32"/>
              </w:rPr>
            </w:pPr>
            <w:r>
              <w:rPr>
                <w:rFonts w:ascii="Times New Roman" w:hAnsi="Times New Roman" w:eastAsia="仿宋_GB2312" w:cs="Times New Roman"/>
              </w:rPr>
              <w:t>12.08</w:t>
            </w:r>
          </w:p>
        </w:tc>
        <w:tc>
          <w:tcPr>
            <w:tcW w:w="0" w:type="auto"/>
            <w:vAlign w:val="center"/>
          </w:tcPr>
          <w:p w14:paraId="4A668783">
            <w:pPr>
              <w:jc w:val="center"/>
              <w:rPr>
                <w:rFonts w:ascii="Times New Roman" w:hAnsi="Times New Roman" w:eastAsia="仿宋_GB2312" w:cs="Times New Roman"/>
                <w:sz w:val="32"/>
                <w:szCs w:val="32"/>
              </w:rPr>
            </w:pPr>
            <w:r>
              <w:rPr>
                <w:rFonts w:ascii="Times New Roman" w:hAnsi="Times New Roman" w:eastAsia="仿宋_GB2312" w:cs="Times New Roman"/>
              </w:rPr>
              <w:t>约束性</w:t>
            </w:r>
          </w:p>
        </w:tc>
      </w:tr>
      <w:tr w14:paraId="596F9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38146FC5">
            <w:pPr>
              <w:jc w:val="center"/>
              <w:rPr>
                <w:rFonts w:ascii="Times New Roman" w:hAnsi="Times New Roman" w:eastAsia="仿宋_GB2312" w:cs="Times New Roman"/>
                <w:sz w:val="32"/>
                <w:szCs w:val="32"/>
              </w:rPr>
            </w:pPr>
          </w:p>
        </w:tc>
        <w:tc>
          <w:tcPr>
            <w:tcW w:w="0" w:type="auto"/>
            <w:vAlign w:val="center"/>
          </w:tcPr>
          <w:p w14:paraId="6A58105C">
            <w:pPr>
              <w:jc w:val="center"/>
              <w:rPr>
                <w:rFonts w:ascii="Times New Roman" w:hAnsi="Times New Roman" w:eastAsia="仿宋_GB2312" w:cs="Times New Roman"/>
                <w:sz w:val="32"/>
                <w:szCs w:val="32"/>
              </w:rPr>
            </w:pPr>
            <w:r>
              <w:rPr>
                <w:rFonts w:ascii="Times New Roman" w:hAnsi="Times New Roman" w:eastAsia="仿宋_GB2312" w:cs="Times New Roman"/>
              </w:rPr>
              <w:t>4</w:t>
            </w:r>
          </w:p>
        </w:tc>
        <w:tc>
          <w:tcPr>
            <w:tcW w:w="0" w:type="auto"/>
            <w:vAlign w:val="center"/>
          </w:tcPr>
          <w:p w14:paraId="5C3A841A">
            <w:pPr>
              <w:jc w:val="center"/>
              <w:rPr>
                <w:rFonts w:ascii="Times New Roman" w:hAnsi="Times New Roman" w:eastAsia="仿宋_GB2312" w:cs="Times New Roman"/>
                <w:sz w:val="32"/>
                <w:szCs w:val="32"/>
              </w:rPr>
            </w:pPr>
            <w:r>
              <w:rPr>
                <w:rFonts w:ascii="Times New Roman" w:hAnsi="Times New Roman" w:eastAsia="仿宋_GB2312" w:cs="Times New Roman"/>
              </w:rPr>
              <w:t>森林覆盖率</w:t>
            </w:r>
          </w:p>
        </w:tc>
        <w:tc>
          <w:tcPr>
            <w:tcW w:w="0" w:type="auto"/>
            <w:vAlign w:val="center"/>
          </w:tcPr>
          <w:p w14:paraId="58E1710F">
            <w:pPr>
              <w:jc w:val="center"/>
              <w:rPr>
                <w:rFonts w:ascii="Times New Roman" w:hAnsi="Times New Roman" w:eastAsia="仿宋_GB2312" w:cs="Times New Roman"/>
                <w:sz w:val="32"/>
                <w:szCs w:val="32"/>
              </w:rPr>
            </w:pPr>
            <w:r>
              <w:rPr>
                <w:rFonts w:ascii="Times New Roman" w:hAnsi="Times New Roman" w:eastAsia="仿宋_GB2312" w:cs="Times New Roman"/>
              </w:rPr>
              <w:t>%</w:t>
            </w:r>
          </w:p>
        </w:tc>
        <w:tc>
          <w:tcPr>
            <w:tcW w:w="0" w:type="auto"/>
            <w:vAlign w:val="center"/>
          </w:tcPr>
          <w:p w14:paraId="79945E07">
            <w:pPr>
              <w:jc w:val="center"/>
              <w:rPr>
                <w:rFonts w:ascii="Times New Roman" w:hAnsi="Times New Roman" w:eastAsia="仿宋_GB2312" w:cs="Times New Roman"/>
                <w:sz w:val="32"/>
                <w:szCs w:val="32"/>
              </w:rPr>
            </w:pPr>
            <w:r>
              <w:rPr>
                <w:rFonts w:ascii="Times New Roman" w:hAnsi="Times New Roman" w:eastAsia="仿宋_GB2312" w:cs="Times New Roman"/>
              </w:rPr>
              <w:t>57.4</w:t>
            </w:r>
          </w:p>
        </w:tc>
        <w:tc>
          <w:tcPr>
            <w:tcW w:w="0" w:type="auto"/>
            <w:vAlign w:val="center"/>
          </w:tcPr>
          <w:p w14:paraId="20C2525E">
            <w:pPr>
              <w:jc w:val="center"/>
              <w:rPr>
                <w:rFonts w:ascii="Times New Roman" w:hAnsi="Times New Roman" w:eastAsia="仿宋_GB2312" w:cs="Times New Roman"/>
                <w:sz w:val="32"/>
                <w:szCs w:val="32"/>
              </w:rPr>
            </w:pPr>
            <w:r>
              <w:rPr>
                <w:rFonts w:ascii="Times New Roman" w:hAnsi="Times New Roman" w:eastAsia="仿宋_GB2312" w:cs="Times New Roman"/>
              </w:rPr>
              <w:t>57.9</w:t>
            </w:r>
          </w:p>
        </w:tc>
        <w:tc>
          <w:tcPr>
            <w:tcW w:w="0" w:type="auto"/>
            <w:vAlign w:val="center"/>
          </w:tcPr>
          <w:p w14:paraId="0E863102">
            <w:pPr>
              <w:jc w:val="center"/>
              <w:rPr>
                <w:rFonts w:ascii="Times New Roman" w:hAnsi="Times New Roman" w:eastAsia="仿宋_GB2312" w:cs="Times New Roman"/>
                <w:sz w:val="32"/>
                <w:szCs w:val="32"/>
              </w:rPr>
            </w:pPr>
            <w:r>
              <w:rPr>
                <w:rFonts w:ascii="Times New Roman" w:hAnsi="Times New Roman" w:eastAsia="仿宋_GB2312" w:cs="Times New Roman"/>
              </w:rPr>
              <w:t>≥57.9</w:t>
            </w:r>
          </w:p>
        </w:tc>
        <w:tc>
          <w:tcPr>
            <w:tcW w:w="0" w:type="auto"/>
            <w:vAlign w:val="center"/>
          </w:tcPr>
          <w:p w14:paraId="06A71E4E">
            <w:pPr>
              <w:jc w:val="center"/>
              <w:rPr>
                <w:rFonts w:ascii="Times New Roman" w:hAnsi="Times New Roman" w:eastAsia="仿宋_GB2312" w:cs="Times New Roman"/>
                <w:sz w:val="32"/>
                <w:szCs w:val="32"/>
              </w:rPr>
            </w:pPr>
            <w:r>
              <w:rPr>
                <w:rFonts w:ascii="Times New Roman" w:hAnsi="Times New Roman" w:eastAsia="仿宋_GB2312" w:cs="Times New Roman"/>
              </w:rPr>
              <w:t>约束性</w:t>
            </w:r>
          </w:p>
        </w:tc>
      </w:tr>
      <w:tr w14:paraId="2411A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341B93D9">
            <w:pPr>
              <w:jc w:val="center"/>
              <w:rPr>
                <w:rFonts w:ascii="Times New Roman" w:hAnsi="Times New Roman" w:eastAsia="仿宋_GB2312" w:cs="Times New Roman"/>
                <w:sz w:val="32"/>
                <w:szCs w:val="32"/>
              </w:rPr>
            </w:pPr>
          </w:p>
        </w:tc>
        <w:tc>
          <w:tcPr>
            <w:tcW w:w="0" w:type="auto"/>
            <w:vAlign w:val="center"/>
          </w:tcPr>
          <w:p w14:paraId="5C6A46B0">
            <w:pPr>
              <w:jc w:val="center"/>
              <w:rPr>
                <w:rFonts w:ascii="Times New Roman" w:hAnsi="Times New Roman" w:eastAsia="仿宋_GB2312" w:cs="Times New Roman"/>
                <w:sz w:val="32"/>
                <w:szCs w:val="32"/>
              </w:rPr>
            </w:pPr>
            <w:r>
              <w:rPr>
                <w:rFonts w:ascii="Times New Roman" w:hAnsi="Times New Roman" w:eastAsia="仿宋_GB2312" w:cs="Times New Roman"/>
              </w:rPr>
              <w:t>5</w:t>
            </w:r>
          </w:p>
        </w:tc>
        <w:tc>
          <w:tcPr>
            <w:tcW w:w="0" w:type="auto"/>
            <w:vAlign w:val="center"/>
          </w:tcPr>
          <w:p w14:paraId="13ED9EAF">
            <w:pPr>
              <w:jc w:val="center"/>
              <w:rPr>
                <w:rFonts w:ascii="Times New Roman" w:hAnsi="Times New Roman" w:eastAsia="仿宋_GB2312" w:cs="Times New Roman"/>
                <w:sz w:val="32"/>
                <w:szCs w:val="32"/>
              </w:rPr>
            </w:pPr>
            <w:r>
              <w:rPr>
                <w:rFonts w:ascii="Times New Roman" w:hAnsi="Times New Roman" w:eastAsia="仿宋_GB2312" w:cs="Times New Roman"/>
              </w:rPr>
              <w:t>湿地保护率</w:t>
            </w:r>
          </w:p>
        </w:tc>
        <w:tc>
          <w:tcPr>
            <w:tcW w:w="0" w:type="auto"/>
            <w:vAlign w:val="center"/>
          </w:tcPr>
          <w:p w14:paraId="3427996A">
            <w:pPr>
              <w:jc w:val="center"/>
              <w:rPr>
                <w:rFonts w:ascii="Times New Roman" w:hAnsi="Times New Roman" w:eastAsia="仿宋_GB2312" w:cs="Times New Roman"/>
                <w:sz w:val="32"/>
                <w:szCs w:val="32"/>
              </w:rPr>
            </w:pPr>
            <w:r>
              <w:rPr>
                <w:rFonts w:ascii="Times New Roman" w:hAnsi="Times New Roman" w:eastAsia="仿宋_GB2312" w:cs="Times New Roman"/>
              </w:rPr>
              <w:t>%</w:t>
            </w:r>
          </w:p>
        </w:tc>
        <w:tc>
          <w:tcPr>
            <w:tcW w:w="0" w:type="auto"/>
            <w:vAlign w:val="center"/>
          </w:tcPr>
          <w:p w14:paraId="025D8CEC">
            <w:pPr>
              <w:jc w:val="center"/>
              <w:rPr>
                <w:rFonts w:ascii="Times New Roman" w:hAnsi="Times New Roman" w:eastAsia="仿宋_GB2312" w:cs="Times New Roman"/>
                <w:sz w:val="32"/>
                <w:szCs w:val="32"/>
              </w:rPr>
            </w:pPr>
            <w:r>
              <w:rPr>
                <w:rFonts w:ascii="Times New Roman" w:hAnsi="Times New Roman" w:eastAsia="仿宋_GB2312" w:cs="Times New Roman"/>
              </w:rPr>
              <w:t>28</w:t>
            </w:r>
          </w:p>
        </w:tc>
        <w:tc>
          <w:tcPr>
            <w:tcW w:w="0" w:type="auto"/>
            <w:vAlign w:val="center"/>
          </w:tcPr>
          <w:p w14:paraId="16CE5153">
            <w:pPr>
              <w:jc w:val="center"/>
              <w:rPr>
                <w:rFonts w:ascii="Times New Roman" w:hAnsi="Times New Roman" w:eastAsia="仿宋_GB2312" w:cs="Times New Roman"/>
                <w:sz w:val="32"/>
                <w:szCs w:val="32"/>
              </w:rPr>
            </w:pPr>
            <w:r>
              <w:rPr>
                <w:rFonts w:ascii="Times New Roman" w:hAnsi="Times New Roman" w:eastAsia="仿宋_GB2312" w:cs="Times New Roman"/>
              </w:rPr>
              <w:t>35</w:t>
            </w:r>
          </w:p>
        </w:tc>
        <w:tc>
          <w:tcPr>
            <w:tcW w:w="0" w:type="auto"/>
            <w:vAlign w:val="center"/>
          </w:tcPr>
          <w:p w14:paraId="03DD2973">
            <w:pPr>
              <w:jc w:val="center"/>
              <w:rPr>
                <w:rFonts w:ascii="Times New Roman" w:hAnsi="Times New Roman" w:eastAsia="仿宋_GB2312" w:cs="Times New Roman"/>
                <w:sz w:val="32"/>
                <w:szCs w:val="32"/>
              </w:rPr>
            </w:pPr>
            <w:r>
              <w:rPr>
                <w:rFonts w:ascii="Times New Roman" w:hAnsi="Times New Roman" w:eastAsia="仿宋_GB2312" w:cs="Times New Roman"/>
              </w:rPr>
              <w:t>≥35</w:t>
            </w:r>
          </w:p>
        </w:tc>
        <w:tc>
          <w:tcPr>
            <w:tcW w:w="0" w:type="auto"/>
            <w:vAlign w:val="center"/>
          </w:tcPr>
          <w:p w14:paraId="0B1D0001">
            <w:pPr>
              <w:jc w:val="center"/>
              <w:rPr>
                <w:rFonts w:ascii="Times New Roman" w:hAnsi="Times New Roman" w:eastAsia="仿宋_GB2312" w:cs="Times New Roman"/>
                <w:sz w:val="32"/>
                <w:szCs w:val="32"/>
              </w:rPr>
            </w:pPr>
            <w:r>
              <w:rPr>
                <w:rFonts w:ascii="Times New Roman" w:hAnsi="Times New Roman" w:eastAsia="仿宋_GB2312" w:cs="Times New Roman"/>
              </w:rPr>
              <w:t>约束性</w:t>
            </w:r>
          </w:p>
        </w:tc>
      </w:tr>
      <w:tr w14:paraId="18A4E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4DA64AFE">
            <w:pPr>
              <w:jc w:val="center"/>
              <w:rPr>
                <w:rFonts w:ascii="Times New Roman" w:hAnsi="Times New Roman" w:eastAsia="仿宋_GB2312" w:cs="Times New Roman"/>
                <w:sz w:val="32"/>
                <w:szCs w:val="32"/>
              </w:rPr>
            </w:pPr>
          </w:p>
        </w:tc>
        <w:tc>
          <w:tcPr>
            <w:tcW w:w="0" w:type="auto"/>
            <w:vAlign w:val="center"/>
          </w:tcPr>
          <w:p w14:paraId="6CB903FA">
            <w:pPr>
              <w:jc w:val="center"/>
              <w:rPr>
                <w:rFonts w:ascii="Times New Roman" w:hAnsi="Times New Roman" w:eastAsia="仿宋_GB2312" w:cs="Times New Roman"/>
                <w:sz w:val="32"/>
                <w:szCs w:val="32"/>
              </w:rPr>
            </w:pPr>
            <w:r>
              <w:rPr>
                <w:rFonts w:ascii="Times New Roman" w:hAnsi="Times New Roman" w:eastAsia="仿宋_GB2312" w:cs="Times New Roman"/>
              </w:rPr>
              <w:t>6</w:t>
            </w:r>
          </w:p>
        </w:tc>
        <w:tc>
          <w:tcPr>
            <w:tcW w:w="0" w:type="auto"/>
            <w:vAlign w:val="center"/>
          </w:tcPr>
          <w:p w14:paraId="64338FCC">
            <w:pPr>
              <w:jc w:val="center"/>
              <w:rPr>
                <w:rFonts w:ascii="Times New Roman" w:hAnsi="Times New Roman" w:eastAsia="仿宋_GB2312" w:cs="Times New Roman"/>
                <w:sz w:val="32"/>
                <w:szCs w:val="32"/>
              </w:rPr>
            </w:pPr>
            <w:r>
              <w:rPr>
                <w:rFonts w:ascii="Times New Roman" w:hAnsi="Times New Roman" w:eastAsia="仿宋_GB2312" w:cs="Times New Roman"/>
              </w:rPr>
              <w:t>水域空间保有量</w:t>
            </w:r>
          </w:p>
        </w:tc>
        <w:tc>
          <w:tcPr>
            <w:tcW w:w="0" w:type="auto"/>
            <w:vAlign w:val="center"/>
          </w:tcPr>
          <w:p w14:paraId="64C3FBD8">
            <w:pPr>
              <w:jc w:val="center"/>
              <w:rPr>
                <w:rFonts w:ascii="Times New Roman" w:hAnsi="Times New Roman" w:eastAsia="仿宋_GB2312" w:cs="Times New Roman"/>
                <w:sz w:val="32"/>
                <w:szCs w:val="32"/>
              </w:rPr>
            </w:pPr>
            <w:r>
              <w:rPr>
                <w:rFonts w:ascii="Times New Roman" w:hAnsi="Times New Roman" w:eastAsia="仿宋_GB2312" w:cs="Times New Roman"/>
              </w:rPr>
              <w:t>平方公里</w:t>
            </w:r>
          </w:p>
        </w:tc>
        <w:tc>
          <w:tcPr>
            <w:tcW w:w="0" w:type="auto"/>
            <w:vAlign w:val="center"/>
          </w:tcPr>
          <w:p w14:paraId="6B9824B9">
            <w:pPr>
              <w:jc w:val="center"/>
              <w:rPr>
                <w:rFonts w:ascii="Times New Roman" w:hAnsi="Times New Roman" w:eastAsia="仿宋_GB2312" w:cs="Times New Roman"/>
                <w:sz w:val="32"/>
                <w:szCs w:val="32"/>
              </w:rPr>
            </w:pPr>
            <w:r>
              <w:rPr>
                <w:rFonts w:ascii="Times New Roman" w:hAnsi="Times New Roman" w:eastAsia="仿宋_GB2312" w:cs="Times New Roman"/>
              </w:rPr>
              <w:t>400.46</w:t>
            </w:r>
          </w:p>
        </w:tc>
        <w:tc>
          <w:tcPr>
            <w:tcW w:w="0" w:type="auto"/>
            <w:vAlign w:val="center"/>
          </w:tcPr>
          <w:p w14:paraId="74748275">
            <w:pPr>
              <w:jc w:val="center"/>
              <w:rPr>
                <w:rFonts w:ascii="Times New Roman" w:hAnsi="Times New Roman" w:eastAsia="仿宋_GB2312" w:cs="Times New Roman"/>
                <w:sz w:val="32"/>
                <w:szCs w:val="32"/>
              </w:rPr>
            </w:pPr>
            <w:r>
              <w:rPr>
                <w:rFonts w:ascii="Times New Roman" w:hAnsi="Times New Roman" w:eastAsia="仿宋_GB2312" w:cs="Times New Roman"/>
              </w:rPr>
              <w:t>374.15</w:t>
            </w:r>
          </w:p>
        </w:tc>
        <w:tc>
          <w:tcPr>
            <w:tcW w:w="0" w:type="auto"/>
            <w:vAlign w:val="center"/>
          </w:tcPr>
          <w:p w14:paraId="32AE4B3C">
            <w:pPr>
              <w:jc w:val="center"/>
              <w:rPr>
                <w:rFonts w:ascii="Times New Roman" w:hAnsi="Times New Roman" w:eastAsia="仿宋_GB2312" w:cs="Times New Roman"/>
                <w:sz w:val="32"/>
                <w:szCs w:val="32"/>
              </w:rPr>
            </w:pPr>
            <w:r>
              <w:rPr>
                <w:rFonts w:ascii="Times New Roman" w:hAnsi="Times New Roman" w:eastAsia="仿宋_GB2312" w:cs="Times New Roman"/>
              </w:rPr>
              <w:t>356.61</w:t>
            </w:r>
          </w:p>
        </w:tc>
        <w:tc>
          <w:tcPr>
            <w:tcW w:w="0" w:type="auto"/>
            <w:vAlign w:val="center"/>
          </w:tcPr>
          <w:p w14:paraId="5530D9C0">
            <w:pPr>
              <w:jc w:val="center"/>
              <w:rPr>
                <w:rFonts w:ascii="Times New Roman" w:hAnsi="Times New Roman" w:eastAsia="仿宋_GB2312" w:cs="Times New Roman"/>
                <w:sz w:val="32"/>
                <w:szCs w:val="32"/>
              </w:rPr>
            </w:pPr>
            <w:r>
              <w:rPr>
                <w:rFonts w:ascii="Times New Roman" w:hAnsi="Times New Roman" w:eastAsia="仿宋_GB2312" w:cs="Times New Roman"/>
              </w:rPr>
              <w:t>约束性</w:t>
            </w:r>
          </w:p>
        </w:tc>
      </w:tr>
      <w:tr w14:paraId="77CBF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2066F7E8">
            <w:pPr>
              <w:jc w:val="center"/>
              <w:rPr>
                <w:rFonts w:ascii="Times New Roman" w:hAnsi="Times New Roman" w:eastAsia="仿宋_GB2312" w:cs="Times New Roman"/>
                <w:sz w:val="32"/>
                <w:szCs w:val="32"/>
              </w:rPr>
            </w:pPr>
          </w:p>
        </w:tc>
        <w:tc>
          <w:tcPr>
            <w:tcW w:w="0" w:type="auto"/>
            <w:vAlign w:val="center"/>
          </w:tcPr>
          <w:p w14:paraId="0E66F955">
            <w:pPr>
              <w:jc w:val="center"/>
              <w:rPr>
                <w:rFonts w:ascii="Times New Roman" w:hAnsi="Times New Roman" w:eastAsia="仿宋_GB2312" w:cs="Times New Roman"/>
                <w:sz w:val="32"/>
                <w:szCs w:val="32"/>
              </w:rPr>
            </w:pPr>
            <w:r>
              <w:rPr>
                <w:rFonts w:ascii="Times New Roman" w:hAnsi="Times New Roman" w:eastAsia="仿宋_GB2312" w:cs="Times New Roman"/>
              </w:rPr>
              <w:t>7</w:t>
            </w:r>
          </w:p>
        </w:tc>
        <w:tc>
          <w:tcPr>
            <w:tcW w:w="0" w:type="auto"/>
            <w:vAlign w:val="center"/>
          </w:tcPr>
          <w:p w14:paraId="6313CC16">
            <w:pPr>
              <w:jc w:val="center"/>
              <w:rPr>
                <w:rFonts w:ascii="Times New Roman" w:hAnsi="Times New Roman" w:eastAsia="仿宋_GB2312" w:cs="Times New Roman"/>
                <w:sz w:val="32"/>
                <w:szCs w:val="32"/>
              </w:rPr>
            </w:pPr>
            <w:r>
              <w:rPr>
                <w:rFonts w:ascii="Times New Roman" w:hAnsi="Times New Roman" w:eastAsia="仿宋_GB2312" w:cs="Times New Roman"/>
              </w:rPr>
              <w:t>大陆自然海岸线保有率</w:t>
            </w:r>
          </w:p>
        </w:tc>
        <w:tc>
          <w:tcPr>
            <w:tcW w:w="0" w:type="auto"/>
            <w:vAlign w:val="center"/>
          </w:tcPr>
          <w:p w14:paraId="3CDE5412">
            <w:pPr>
              <w:jc w:val="center"/>
              <w:rPr>
                <w:rFonts w:ascii="Times New Roman" w:hAnsi="Times New Roman" w:eastAsia="仿宋_GB2312" w:cs="Times New Roman"/>
                <w:sz w:val="32"/>
                <w:szCs w:val="32"/>
              </w:rPr>
            </w:pPr>
            <w:r>
              <w:rPr>
                <w:rFonts w:ascii="Times New Roman" w:hAnsi="Times New Roman" w:eastAsia="仿宋_GB2312" w:cs="Times New Roman"/>
              </w:rPr>
              <w:t>%</w:t>
            </w:r>
          </w:p>
        </w:tc>
        <w:tc>
          <w:tcPr>
            <w:tcW w:w="0" w:type="auto"/>
            <w:vAlign w:val="center"/>
          </w:tcPr>
          <w:p w14:paraId="7D6E4554">
            <w:pPr>
              <w:jc w:val="center"/>
              <w:rPr>
                <w:rFonts w:ascii="Times New Roman" w:hAnsi="Times New Roman" w:eastAsia="仿宋_GB2312" w:cs="Times New Roman"/>
                <w:sz w:val="32"/>
                <w:szCs w:val="32"/>
              </w:rPr>
            </w:pPr>
            <w:r>
              <w:rPr>
                <w:rFonts w:ascii="Times New Roman" w:hAnsi="Times New Roman" w:eastAsia="仿宋_GB2312" w:cs="Times New Roman"/>
              </w:rPr>
              <w:t>36.7</w:t>
            </w:r>
          </w:p>
        </w:tc>
        <w:tc>
          <w:tcPr>
            <w:tcW w:w="0" w:type="auto"/>
            <w:vAlign w:val="center"/>
          </w:tcPr>
          <w:p w14:paraId="5EC2E37A">
            <w:pPr>
              <w:jc w:val="center"/>
              <w:rPr>
                <w:rFonts w:ascii="Times New Roman" w:hAnsi="Times New Roman" w:eastAsia="仿宋_GB2312" w:cs="Times New Roman"/>
                <w:sz w:val="32"/>
                <w:szCs w:val="32"/>
              </w:rPr>
            </w:pPr>
            <w:r>
              <w:rPr>
                <w:rFonts w:ascii="Times New Roman" w:hAnsi="Times New Roman" w:eastAsia="仿宋_GB2312" w:cs="Times New Roman"/>
              </w:rPr>
              <w:t>36.7</w:t>
            </w:r>
          </w:p>
        </w:tc>
        <w:tc>
          <w:tcPr>
            <w:tcW w:w="0" w:type="auto"/>
            <w:vAlign w:val="center"/>
          </w:tcPr>
          <w:p w14:paraId="3A29CAA0">
            <w:pPr>
              <w:jc w:val="center"/>
              <w:rPr>
                <w:rFonts w:ascii="Times New Roman" w:hAnsi="Times New Roman" w:eastAsia="仿宋_GB2312" w:cs="Times New Roman"/>
                <w:sz w:val="32"/>
                <w:szCs w:val="32"/>
              </w:rPr>
            </w:pPr>
            <w:r>
              <w:rPr>
                <w:rFonts w:ascii="Times New Roman" w:hAnsi="Times New Roman" w:eastAsia="仿宋_GB2312" w:cs="Times New Roman"/>
              </w:rPr>
              <w:t>36.7</w:t>
            </w:r>
          </w:p>
        </w:tc>
        <w:tc>
          <w:tcPr>
            <w:tcW w:w="0" w:type="auto"/>
            <w:vAlign w:val="center"/>
          </w:tcPr>
          <w:p w14:paraId="1A9A03AD">
            <w:pPr>
              <w:jc w:val="center"/>
              <w:rPr>
                <w:rFonts w:ascii="Times New Roman" w:hAnsi="Times New Roman" w:eastAsia="仿宋_GB2312" w:cs="Times New Roman"/>
                <w:sz w:val="32"/>
                <w:szCs w:val="32"/>
              </w:rPr>
            </w:pPr>
            <w:r>
              <w:rPr>
                <w:rFonts w:ascii="Times New Roman" w:hAnsi="Times New Roman" w:eastAsia="仿宋_GB2312" w:cs="Times New Roman"/>
              </w:rPr>
              <w:t>约束性</w:t>
            </w:r>
          </w:p>
        </w:tc>
      </w:tr>
      <w:tr w14:paraId="51EE0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401EE9B6">
            <w:pPr>
              <w:jc w:val="center"/>
              <w:rPr>
                <w:rFonts w:ascii="Times New Roman" w:hAnsi="Times New Roman" w:eastAsia="仿宋_GB2312" w:cs="Times New Roman"/>
                <w:sz w:val="32"/>
                <w:szCs w:val="32"/>
              </w:rPr>
            </w:pPr>
          </w:p>
        </w:tc>
        <w:tc>
          <w:tcPr>
            <w:tcW w:w="0" w:type="auto"/>
            <w:vAlign w:val="center"/>
          </w:tcPr>
          <w:p w14:paraId="1BA445E6">
            <w:pPr>
              <w:jc w:val="center"/>
              <w:rPr>
                <w:rFonts w:ascii="Times New Roman" w:hAnsi="Times New Roman" w:eastAsia="仿宋_GB2312" w:cs="Times New Roman"/>
              </w:rPr>
            </w:pPr>
            <w:r>
              <w:rPr>
                <w:rFonts w:ascii="Times New Roman" w:hAnsi="Times New Roman" w:eastAsia="仿宋_GB2312" w:cs="Times New Roman"/>
              </w:rPr>
              <w:t>8</w:t>
            </w:r>
          </w:p>
        </w:tc>
        <w:tc>
          <w:tcPr>
            <w:tcW w:w="0" w:type="auto"/>
            <w:vAlign w:val="center"/>
          </w:tcPr>
          <w:p w14:paraId="0873CAAA">
            <w:pPr>
              <w:jc w:val="center"/>
              <w:rPr>
                <w:rFonts w:ascii="Times New Roman" w:hAnsi="Times New Roman" w:eastAsia="仿宋_GB2312" w:cs="Times New Roman"/>
              </w:rPr>
            </w:pPr>
            <w:r>
              <w:rPr>
                <w:rFonts w:ascii="Times New Roman" w:hAnsi="Times New Roman" w:eastAsia="仿宋_GB2312" w:cs="Times New Roman"/>
              </w:rPr>
              <w:t>重要河湖自然岸线保有率</w:t>
            </w:r>
          </w:p>
        </w:tc>
        <w:tc>
          <w:tcPr>
            <w:tcW w:w="0" w:type="auto"/>
            <w:vAlign w:val="center"/>
          </w:tcPr>
          <w:p w14:paraId="76524F48">
            <w:pPr>
              <w:jc w:val="center"/>
              <w:rPr>
                <w:rFonts w:ascii="Times New Roman" w:hAnsi="Times New Roman" w:eastAsia="仿宋_GB2312" w:cs="Times New Roman"/>
              </w:rPr>
            </w:pPr>
            <w:r>
              <w:rPr>
                <w:rFonts w:ascii="Times New Roman" w:hAnsi="Times New Roman" w:eastAsia="仿宋_GB2312" w:cs="Times New Roman"/>
              </w:rPr>
              <w:t>%</w:t>
            </w:r>
          </w:p>
        </w:tc>
        <w:tc>
          <w:tcPr>
            <w:tcW w:w="0" w:type="auto"/>
            <w:vAlign w:val="center"/>
          </w:tcPr>
          <w:p w14:paraId="2A044031">
            <w:pPr>
              <w:jc w:val="center"/>
              <w:rPr>
                <w:rFonts w:ascii="Times New Roman" w:hAnsi="Times New Roman" w:eastAsia="仿宋_GB2312" w:cs="Times New Roman"/>
              </w:rPr>
            </w:pPr>
            <w:r>
              <w:rPr>
                <w:rFonts w:ascii="Times New Roman" w:hAnsi="Times New Roman" w:eastAsia="仿宋_GB2312" w:cs="Times New Roman"/>
              </w:rPr>
              <w:t>/</w:t>
            </w:r>
          </w:p>
        </w:tc>
        <w:tc>
          <w:tcPr>
            <w:tcW w:w="0" w:type="auto"/>
            <w:vAlign w:val="center"/>
          </w:tcPr>
          <w:p w14:paraId="55691F09">
            <w:pPr>
              <w:jc w:val="center"/>
              <w:rPr>
                <w:rFonts w:ascii="Times New Roman" w:hAnsi="Times New Roman" w:eastAsia="仿宋_GB2312" w:cs="Times New Roman"/>
              </w:rPr>
            </w:pPr>
            <w:r>
              <w:rPr>
                <w:rFonts w:ascii="Times New Roman" w:hAnsi="Times New Roman" w:eastAsia="仿宋_GB2312" w:cs="Times New Roman"/>
              </w:rPr>
              <w:t>依据省下达任务确定</w:t>
            </w:r>
          </w:p>
        </w:tc>
        <w:tc>
          <w:tcPr>
            <w:tcW w:w="0" w:type="auto"/>
            <w:vAlign w:val="center"/>
          </w:tcPr>
          <w:p w14:paraId="6CE77210">
            <w:pPr>
              <w:jc w:val="center"/>
              <w:rPr>
                <w:rFonts w:ascii="Times New Roman" w:hAnsi="Times New Roman" w:eastAsia="仿宋_GB2312" w:cs="Times New Roman"/>
              </w:rPr>
            </w:pPr>
            <w:r>
              <w:rPr>
                <w:rFonts w:ascii="Times New Roman" w:hAnsi="Times New Roman" w:eastAsia="仿宋_GB2312" w:cs="Times New Roman"/>
              </w:rPr>
              <w:t>依据省下达任务确定</w:t>
            </w:r>
          </w:p>
        </w:tc>
        <w:tc>
          <w:tcPr>
            <w:tcW w:w="0" w:type="auto"/>
            <w:vAlign w:val="center"/>
          </w:tcPr>
          <w:p w14:paraId="45EFDD24">
            <w:pPr>
              <w:jc w:val="center"/>
              <w:rPr>
                <w:rFonts w:ascii="Times New Roman" w:hAnsi="Times New Roman" w:eastAsia="仿宋_GB2312" w:cs="Times New Roman"/>
              </w:rPr>
            </w:pPr>
            <w:r>
              <w:rPr>
                <w:rFonts w:ascii="Times New Roman" w:hAnsi="Times New Roman" w:eastAsia="仿宋_GB2312" w:cs="Times New Roman"/>
              </w:rPr>
              <w:t>约束性</w:t>
            </w:r>
          </w:p>
        </w:tc>
      </w:tr>
      <w:tr w14:paraId="7B5CD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1A6B089D">
            <w:pPr>
              <w:jc w:val="center"/>
              <w:rPr>
                <w:rFonts w:ascii="Times New Roman" w:hAnsi="Times New Roman" w:eastAsia="仿宋_GB2312" w:cs="Times New Roman"/>
                <w:sz w:val="32"/>
                <w:szCs w:val="32"/>
              </w:rPr>
            </w:pPr>
          </w:p>
        </w:tc>
        <w:tc>
          <w:tcPr>
            <w:tcW w:w="0" w:type="auto"/>
            <w:vAlign w:val="center"/>
          </w:tcPr>
          <w:p w14:paraId="3709D34E">
            <w:pPr>
              <w:jc w:val="center"/>
              <w:rPr>
                <w:rFonts w:ascii="Times New Roman" w:hAnsi="Times New Roman" w:eastAsia="仿宋_GB2312" w:cs="Times New Roman"/>
              </w:rPr>
            </w:pPr>
            <w:r>
              <w:rPr>
                <w:rFonts w:ascii="Times New Roman" w:hAnsi="Times New Roman" w:eastAsia="仿宋_GB2312" w:cs="Times New Roman"/>
              </w:rPr>
              <w:t>9</w:t>
            </w:r>
          </w:p>
        </w:tc>
        <w:tc>
          <w:tcPr>
            <w:tcW w:w="0" w:type="auto"/>
            <w:vAlign w:val="center"/>
          </w:tcPr>
          <w:p w14:paraId="5D46730F">
            <w:pPr>
              <w:jc w:val="center"/>
              <w:rPr>
                <w:rFonts w:ascii="Times New Roman" w:hAnsi="Times New Roman" w:eastAsia="仿宋_GB2312" w:cs="Times New Roman"/>
              </w:rPr>
            </w:pPr>
            <w:r>
              <w:rPr>
                <w:rFonts w:ascii="Times New Roman" w:hAnsi="Times New Roman" w:eastAsia="仿宋_GB2312" w:cs="Times New Roman"/>
              </w:rPr>
              <w:t>林地保有量</w:t>
            </w:r>
          </w:p>
        </w:tc>
        <w:tc>
          <w:tcPr>
            <w:tcW w:w="0" w:type="auto"/>
            <w:vAlign w:val="center"/>
          </w:tcPr>
          <w:p w14:paraId="0421EAC6">
            <w:pPr>
              <w:jc w:val="center"/>
              <w:rPr>
                <w:rFonts w:ascii="Times New Roman" w:hAnsi="Times New Roman" w:eastAsia="仿宋_GB2312" w:cs="Times New Roman"/>
              </w:rPr>
            </w:pPr>
            <w:r>
              <w:rPr>
                <w:rFonts w:ascii="Times New Roman" w:hAnsi="Times New Roman" w:eastAsia="仿宋_GB2312" w:cs="Times New Roman"/>
              </w:rPr>
              <w:t>平方公里</w:t>
            </w:r>
          </w:p>
        </w:tc>
        <w:tc>
          <w:tcPr>
            <w:tcW w:w="0" w:type="auto"/>
            <w:vAlign w:val="center"/>
          </w:tcPr>
          <w:p w14:paraId="045E074E">
            <w:pPr>
              <w:jc w:val="center"/>
              <w:rPr>
                <w:rFonts w:ascii="Times New Roman" w:hAnsi="Times New Roman" w:eastAsia="仿宋_GB2312" w:cs="Times New Roman"/>
              </w:rPr>
            </w:pPr>
            <w:r>
              <w:rPr>
                <w:rFonts w:ascii="Times New Roman" w:hAnsi="Times New Roman" w:eastAsia="仿宋_GB2312" w:cs="Times New Roman"/>
              </w:rPr>
              <w:t>4652.18</w:t>
            </w:r>
          </w:p>
        </w:tc>
        <w:tc>
          <w:tcPr>
            <w:tcW w:w="0" w:type="auto"/>
            <w:vAlign w:val="center"/>
          </w:tcPr>
          <w:p w14:paraId="5965939C">
            <w:pPr>
              <w:jc w:val="center"/>
              <w:rPr>
                <w:rFonts w:ascii="Times New Roman" w:hAnsi="Times New Roman" w:eastAsia="仿宋_GB2312" w:cs="Times New Roman"/>
              </w:rPr>
            </w:pPr>
            <w:r>
              <w:rPr>
                <w:rFonts w:ascii="Times New Roman" w:hAnsi="Times New Roman" w:eastAsia="仿宋_GB2312" w:cs="Times New Roman"/>
              </w:rPr>
              <w:t>/</w:t>
            </w:r>
          </w:p>
        </w:tc>
        <w:tc>
          <w:tcPr>
            <w:tcW w:w="0" w:type="auto"/>
            <w:vAlign w:val="center"/>
          </w:tcPr>
          <w:p w14:paraId="1E533509">
            <w:pPr>
              <w:jc w:val="center"/>
              <w:rPr>
                <w:rFonts w:ascii="Times New Roman" w:hAnsi="Times New Roman" w:eastAsia="仿宋_GB2312" w:cs="Times New Roman"/>
              </w:rPr>
            </w:pPr>
            <w:r>
              <w:rPr>
                <w:rFonts w:ascii="Times New Roman" w:hAnsi="Times New Roman" w:eastAsia="仿宋_GB2312" w:cs="Times New Roman"/>
              </w:rPr>
              <w:t>4569.04</w:t>
            </w:r>
          </w:p>
        </w:tc>
        <w:tc>
          <w:tcPr>
            <w:tcW w:w="0" w:type="auto"/>
            <w:vAlign w:val="center"/>
          </w:tcPr>
          <w:p w14:paraId="091D1647">
            <w:pPr>
              <w:jc w:val="center"/>
              <w:rPr>
                <w:rFonts w:ascii="Times New Roman" w:hAnsi="Times New Roman" w:eastAsia="仿宋_GB2312" w:cs="Times New Roman"/>
              </w:rPr>
            </w:pPr>
            <w:r>
              <w:rPr>
                <w:rFonts w:ascii="Times New Roman" w:hAnsi="Times New Roman" w:eastAsia="仿宋_GB2312" w:cs="Times New Roman"/>
              </w:rPr>
              <w:t>约束性</w:t>
            </w:r>
          </w:p>
        </w:tc>
      </w:tr>
      <w:tr w14:paraId="07A35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7A799F9F">
            <w:pPr>
              <w:jc w:val="center"/>
              <w:rPr>
                <w:rFonts w:ascii="Times New Roman" w:hAnsi="Times New Roman" w:eastAsia="仿宋_GB2312" w:cs="Times New Roman"/>
                <w:sz w:val="32"/>
                <w:szCs w:val="32"/>
              </w:rPr>
            </w:pPr>
          </w:p>
        </w:tc>
        <w:tc>
          <w:tcPr>
            <w:tcW w:w="0" w:type="auto"/>
            <w:vAlign w:val="center"/>
          </w:tcPr>
          <w:p w14:paraId="00FD4B82">
            <w:pPr>
              <w:jc w:val="center"/>
              <w:rPr>
                <w:rFonts w:ascii="Times New Roman" w:hAnsi="Times New Roman" w:eastAsia="仿宋_GB2312" w:cs="Times New Roman"/>
              </w:rPr>
            </w:pPr>
            <w:r>
              <w:rPr>
                <w:rFonts w:ascii="Times New Roman" w:hAnsi="Times New Roman" w:eastAsia="仿宋_GB2312" w:cs="Times New Roman"/>
              </w:rPr>
              <w:t>10</w:t>
            </w:r>
          </w:p>
        </w:tc>
        <w:tc>
          <w:tcPr>
            <w:tcW w:w="0" w:type="auto"/>
            <w:vAlign w:val="center"/>
          </w:tcPr>
          <w:p w14:paraId="45ECEBC9">
            <w:pPr>
              <w:jc w:val="center"/>
              <w:rPr>
                <w:rFonts w:ascii="Times New Roman" w:hAnsi="Times New Roman" w:eastAsia="仿宋_GB2312" w:cs="Times New Roman"/>
              </w:rPr>
            </w:pPr>
            <w:r>
              <w:rPr>
                <w:rFonts w:ascii="Times New Roman" w:hAnsi="Times New Roman" w:eastAsia="仿宋_GB2312" w:cs="Times New Roman"/>
              </w:rPr>
              <w:t>地表水达到或好于Ⅲ类水体比例</w:t>
            </w:r>
          </w:p>
        </w:tc>
        <w:tc>
          <w:tcPr>
            <w:tcW w:w="0" w:type="auto"/>
            <w:vAlign w:val="center"/>
          </w:tcPr>
          <w:p w14:paraId="52BDC2E9">
            <w:pPr>
              <w:jc w:val="center"/>
              <w:rPr>
                <w:rFonts w:ascii="Times New Roman" w:hAnsi="Times New Roman" w:eastAsia="仿宋_GB2312" w:cs="Times New Roman"/>
              </w:rPr>
            </w:pPr>
            <w:r>
              <w:rPr>
                <w:rFonts w:ascii="Times New Roman" w:hAnsi="Times New Roman" w:eastAsia="仿宋_GB2312" w:cs="Times New Roman"/>
              </w:rPr>
              <w:t>%</w:t>
            </w:r>
          </w:p>
        </w:tc>
        <w:tc>
          <w:tcPr>
            <w:tcW w:w="0" w:type="auto"/>
            <w:vAlign w:val="center"/>
          </w:tcPr>
          <w:p w14:paraId="3031FBE9">
            <w:pPr>
              <w:jc w:val="center"/>
              <w:rPr>
                <w:rFonts w:ascii="Times New Roman" w:hAnsi="Times New Roman" w:eastAsia="仿宋_GB2312" w:cs="Times New Roman"/>
              </w:rPr>
            </w:pPr>
            <w:r>
              <w:rPr>
                <w:rFonts w:ascii="Times New Roman" w:hAnsi="Times New Roman" w:eastAsia="仿宋_GB2312" w:cs="Times New Roman"/>
              </w:rPr>
              <w:t>100</w:t>
            </w:r>
          </w:p>
        </w:tc>
        <w:tc>
          <w:tcPr>
            <w:tcW w:w="0" w:type="auto"/>
            <w:vAlign w:val="center"/>
          </w:tcPr>
          <w:p w14:paraId="66E779F2">
            <w:pPr>
              <w:jc w:val="center"/>
              <w:rPr>
                <w:rFonts w:ascii="Times New Roman" w:hAnsi="Times New Roman" w:eastAsia="仿宋_GB2312" w:cs="Times New Roman"/>
              </w:rPr>
            </w:pPr>
            <w:r>
              <w:rPr>
                <w:rFonts w:ascii="Times New Roman" w:hAnsi="Times New Roman" w:eastAsia="仿宋_GB2312" w:cs="Times New Roman"/>
              </w:rPr>
              <w:t>100</w:t>
            </w:r>
          </w:p>
        </w:tc>
        <w:tc>
          <w:tcPr>
            <w:tcW w:w="0" w:type="auto"/>
            <w:vAlign w:val="center"/>
          </w:tcPr>
          <w:p w14:paraId="691A39A6">
            <w:pPr>
              <w:jc w:val="center"/>
              <w:rPr>
                <w:rFonts w:ascii="Times New Roman" w:hAnsi="Times New Roman" w:eastAsia="仿宋_GB2312" w:cs="Times New Roman"/>
              </w:rPr>
            </w:pPr>
            <w:r>
              <w:rPr>
                <w:rFonts w:ascii="Times New Roman" w:hAnsi="Times New Roman" w:eastAsia="仿宋_GB2312" w:cs="Times New Roman"/>
              </w:rPr>
              <w:t>依据省下达任务确定</w:t>
            </w:r>
          </w:p>
        </w:tc>
        <w:tc>
          <w:tcPr>
            <w:tcW w:w="0" w:type="auto"/>
            <w:vAlign w:val="center"/>
          </w:tcPr>
          <w:p w14:paraId="315116A2">
            <w:pPr>
              <w:jc w:val="center"/>
              <w:rPr>
                <w:rFonts w:ascii="Times New Roman" w:hAnsi="Times New Roman" w:eastAsia="仿宋_GB2312" w:cs="Times New Roman"/>
              </w:rPr>
            </w:pPr>
            <w:r>
              <w:rPr>
                <w:rFonts w:ascii="Times New Roman" w:hAnsi="Times New Roman" w:eastAsia="仿宋_GB2312" w:cs="Times New Roman"/>
              </w:rPr>
              <w:t>约束性</w:t>
            </w:r>
          </w:p>
        </w:tc>
      </w:tr>
      <w:tr w14:paraId="3FC01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755BA4FB">
            <w:pPr>
              <w:jc w:val="center"/>
              <w:rPr>
                <w:rFonts w:ascii="Times New Roman" w:hAnsi="Times New Roman" w:eastAsia="仿宋_GB2312" w:cs="Times New Roman"/>
                <w:sz w:val="32"/>
                <w:szCs w:val="32"/>
              </w:rPr>
            </w:pPr>
          </w:p>
        </w:tc>
        <w:tc>
          <w:tcPr>
            <w:tcW w:w="0" w:type="auto"/>
            <w:vAlign w:val="center"/>
          </w:tcPr>
          <w:p w14:paraId="76A4E199">
            <w:pPr>
              <w:jc w:val="center"/>
              <w:rPr>
                <w:rFonts w:ascii="Times New Roman" w:hAnsi="Times New Roman" w:eastAsia="仿宋_GB2312" w:cs="Times New Roman"/>
              </w:rPr>
            </w:pPr>
            <w:r>
              <w:rPr>
                <w:rFonts w:ascii="Times New Roman" w:hAnsi="Times New Roman" w:eastAsia="仿宋_GB2312" w:cs="Times New Roman"/>
              </w:rPr>
              <w:t>11</w:t>
            </w:r>
          </w:p>
        </w:tc>
        <w:tc>
          <w:tcPr>
            <w:tcW w:w="0" w:type="auto"/>
            <w:vAlign w:val="center"/>
          </w:tcPr>
          <w:p w14:paraId="6223FBFD">
            <w:pPr>
              <w:jc w:val="center"/>
              <w:rPr>
                <w:rFonts w:ascii="Times New Roman" w:hAnsi="Times New Roman" w:eastAsia="仿宋_GB2312" w:cs="Times New Roman"/>
              </w:rPr>
            </w:pPr>
            <w:r>
              <w:rPr>
                <w:rFonts w:ascii="Times New Roman" w:hAnsi="Times New Roman" w:eastAsia="仿宋_GB2312" w:cs="Times New Roman"/>
              </w:rPr>
              <w:t>近岸海域水质优良（一、二类）面积比例</w:t>
            </w:r>
          </w:p>
        </w:tc>
        <w:tc>
          <w:tcPr>
            <w:tcW w:w="0" w:type="auto"/>
            <w:vAlign w:val="center"/>
          </w:tcPr>
          <w:p w14:paraId="69CE056E">
            <w:pPr>
              <w:jc w:val="center"/>
              <w:rPr>
                <w:rFonts w:ascii="Times New Roman" w:hAnsi="Times New Roman" w:eastAsia="仿宋_GB2312" w:cs="Times New Roman"/>
              </w:rPr>
            </w:pPr>
            <w:r>
              <w:rPr>
                <w:rFonts w:ascii="Times New Roman" w:hAnsi="Times New Roman" w:eastAsia="仿宋_GB2312" w:cs="Times New Roman"/>
              </w:rPr>
              <w:t>%</w:t>
            </w:r>
          </w:p>
        </w:tc>
        <w:tc>
          <w:tcPr>
            <w:tcW w:w="0" w:type="auto"/>
            <w:vAlign w:val="center"/>
          </w:tcPr>
          <w:p w14:paraId="2557EBCC">
            <w:pPr>
              <w:jc w:val="center"/>
              <w:rPr>
                <w:rFonts w:ascii="Times New Roman" w:hAnsi="Times New Roman" w:eastAsia="仿宋_GB2312" w:cs="Times New Roman"/>
              </w:rPr>
            </w:pPr>
            <w:r>
              <w:rPr>
                <w:rFonts w:ascii="Times New Roman" w:hAnsi="Times New Roman" w:eastAsia="仿宋_GB2312" w:cs="Times New Roman"/>
              </w:rPr>
              <w:t>88.5</w:t>
            </w:r>
          </w:p>
        </w:tc>
        <w:tc>
          <w:tcPr>
            <w:tcW w:w="0" w:type="auto"/>
            <w:vAlign w:val="center"/>
          </w:tcPr>
          <w:p w14:paraId="679F9D0C">
            <w:pPr>
              <w:jc w:val="center"/>
              <w:rPr>
                <w:rFonts w:ascii="Times New Roman" w:hAnsi="Times New Roman" w:eastAsia="仿宋_GB2312" w:cs="Times New Roman"/>
              </w:rPr>
            </w:pPr>
            <w:r>
              <w:rPr>
                <w:rFonts w:ascii="Times New Roman" w:hAnsi="Times New Roman" w:eastAsia="仿宋_GB2312" w:cs="Times New Roman"/>
              </w:rPr>
              <w:t>96.8</w:t>
            </w:r>
          </w:p>
        </w:tc>
        <w:tc>
          <w:tcPr>
            <w:tcW w:w="0" w:type="auto"/>
            <w:vAlign w:val="center"/>
          </w:tcPr>
          <w:p w14:paraId="31AFC819">
            <w:pPr>
              <w:jc w:val="center"/>
              <w:rPr>
                <w:rFonts w:ascii="Times New Roman" w:hAnsi="Times New Roman" w:eastAsia="仿宋_GB2312" w:cs="Times New Roman"/>
              </w:rPr>
            </w:pPr>
            <w:r>
              <w:rPr>
                <w:rFonts w:ascii="Times New Roman" w:hAnsi="Times New Roman" w:eastAsia="仿宋_GB2312" w:cs="Times New Roman"/>
              </w:rPr>
              <w:t>依据省下达任务确定</w:t>
            </w:r>
          </w:p>
        </w:tc>
        <w:tc>
          <w:tcPr>
            <w:tcW w:w="0" w:type="auto"/>
            <w:vAlign w:val="center"/>
          </w:tcPr>
          <w:p w14:paraId="313F046A">
            <w:pPr>
              <w:jc w:val="center"/>
              <w:rPr>
                <w:rFonts w:ascii="Times New Roman" w:hAnsi="Times New Roman" w:eastAsia="仿宋_GB2312" w:cs="Times New Roman"/>
              </w:rPr>
            </w:pPr>
            <w:r>
              <w:rPr>
                <w:rFonts w:ascii="Times New Roman" w:hAnsi="Times New Roman" w:eastAsia="仿宋_GB2312" w:cs="Times New Roman"/>
              </w:rPr>
              <w:t>预期性</w:t>
            </w:r>
          </w:p>
        </w:tc>
      </w:tr>
      <w:tr w14:paraId="4CAC1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restart"/>
            <w:vAlign w:val="center"/>
          </w:tcPr>
          <w:p w14:paraId="5AF786CF">
            <w:pPr>
              <w:jc w:val="center"/>
              <w:rPr>
                <w:rFonts w:ascii="Times New Roman" w:hAnsi="Times New Roman" w:eastAsia="仿宋_GB2312" w:cs="Times New Roman"/>
                <w:sz w:val="32"/>
                <w:szCs w:val="32"/>
              </w:rPr>
            </w:pPr>
            <w:r>
              <w:rPr>
                <w:rFonts w:ascii="Times New Roman" w:hAnsi="Times New Roman" w:eastAsia="仿宋_GB2312" w:cs="Times New Roman"/>
                <w:b/>
                <w:bCs/>
              </w:rPr>
              <w:t>修复治理类</w:t>
            </w:r>
          </w:p>
        </w:tc>
        <w:tc>
          <w:tcPr>
            <w:tcW w:w="0" w:type="auto"/>
            <w:vAlign w:val="center"/>
          </w:tcPr>
          <w:p w14:paraId="5D18A6F5">
            <w:pPr>
              <w:jc w:val="center"/>
              <w:rPr>
                <w:rFonts w:ascii="Times New Roman" w:hAnsi="Times New Roman" w:eastAsia="仿宋_GB2312" w:cs="Times New Roman"/>
              </w:rPr>
            </w:pPr>
            <w:r>
              <w:rPr>
                <w:rFonts w:ascii="Times New Roman" w:hAnsi="Times New Roman" w:eastAsia="仿宋_GB2312" w:cs="Times New Roman"/>
              </w:rPr>
              <w:t>12</w:t>
            </w:r>
          </w:p>
        </w:tc>
        <w:tc>
          <w:tcPr>
            <w:tcW w:w="0" w:type="auto"/>
            <w:vAlign w:val="center"/>
          </w:tcPr>
          <w:p w14:paraId="30256FF3">
            <w:pPr>
              <w:jc w:val="center"/>
              <w:rPr>
                <w:rFonts w:ascii="Times New Roman" w:hAnsi="Times New Roman" w:eastAsia="仿宋_GB2312" w:cs="Times New Roman"/>
              </w:rPr>
            </w:pPr>
            <w:r>
              <w:rPr>
                <w:rFonts w:ascii="Times New Roman" w:hAnsi="Times New Roman" w:eastAsia="仿宋_GB2312" w:cs="Times New Roman"/>
              </w:rPr>
              <w:t>高质量碧道建设长度</w:t>
            </w:r>
          </w:p>
        </w:tc>
        <w:tc>
          <w:tcPr>
            <w:tcW w:w="0" w:type="auto"/>
            <w:vAlign w:val="center"/>
          </w:tcPr>
          <w:p w14:paraId="53C3C27D">
            <w:pPr>
              <w:jc w:val="center"/>
              <w:rPr>
                <w:rFonts w:ascii="Times New Roman" w:hAnsi="Times New Roman" w:eastAsia="仿宋_GB2312" w:cs="Times New Roman"/>
              </w:rPr>
            </w:pPr>
            <w:r>
              <w:rPr>
                <w:rFonts w:ascii="Times New Roman" w:hAnsi="Times New Roman" w:eastAsia="仿宋_GB2312" w:cs="Times New Roman"/>
              </w:rPr>
              <w:t>公里</w:t>
            </w:r>
          </w:p>
        </w:tc>
        <w:tc>
          <w:tcPr>
            <w:tcW w:w="0" w:type="auto"/>
            <w:vAlign w:val="center"/>
          </w:tcPr>
          <w:p w14:paraId="359EAB2C">
            <w:pPr>
              <w:jc w:val="center"/>
              <w:rPr>
                <w:rFonts w:ascii="Times New Roman" w:hAnsi="Times New Roman" w:eastAsia="仿宋_GB2312" w:cs="Times New Roman"/>
              </w:rPr>
            </w:pPr>
            <w:r>
              <w:rPr>
                <w:rFonts w:ascii="Times New Roman" w:hAnsi="Times New Roman" w:eastAsia="仿宋_GB2312" w:cs="Times New Roman"/>
              </w:rPr>
              <w:t>38.8</w:t>
            </w:r>
          </w:p>
        </w:tc>
        <w:tc>
          <w:tcPr>
            <w:tcW w:w="0" w:type="auto"/>
            <w:vAlign w:val="center"/>
          </w:tcPr>
          <w:p w14:paraId="2674930F">
            <w:pPr>
              <w:jc w:val="center"/>
              <w:rPr>
                <w:rFonts w:ascii="Times New Roman" w:hAnsi="Times New Roman" w:eastAsia="仿宋_GB2312" w:cs="Times New Roman"/>
              </w:rPr>
            </w:pPr>
            <w:r>
              <w:rPr>
                <w:rFonts w:ascii="Times New Roman" w:hAnsi="Times New Roman" w:eastAsia="仿宋_GB2312" w:cs="Times New Roman"/>
              </w:rPr>
              <w:t>255.8</w:t>
            </w:r>
          </w:p>
        </w:tc>
        <w:tc>
          <w:tcPr>
            <w:tcW w:w="0" w:type="auto"/>
            <w:vAlign w:val="center"/>
          </w:tcPr>
          <w:p w14:paraId="2C3F2583">
            <w:pPr>
              <w:jc w:val="center"/>
              <w:rPr>
                <w:rFonts w:ascii="Times New Roman" w:hAnsi="Times New Roman" w:eastAsia="仿宋_GB2312" w:cs="Times New Roman"/>
              </w:rPr>
            </w:pPr>
            <w:r>
              <w:rPr>
                <w:rFonts w:ascii="Times New Roman" w:hAnsi="Times New Roman" w:eastAsia="仿宋_GB2312" w:cs="Times New Roman"/>
              </w:rPr>
              <w:t>922.2</w:t>
            </w:r>
          </w:p>
        </w:tc>
        <w:tc>
          <w:tcPr>
            <w:tcW w:w="0" w:type="auto"/>
            <w:vAlign w:val="center"/>
          </w:tcPr>
          <w:p w14:paraId="4D0E272D">
            <w:pPr>
              <w:jc w:val="center"/>
              <w:rPr>
                <w:rFonts w:ascii="Times New Roman" w:hAnsi="Times New Roman" w:eastAsia="仿宋_GB2312" w:cs="Times New Roman"/>
              </w:rPr>
            </w:pPr>
            <w:r>
              <w:rPr>
                <w:rFonts w:ascii="Times New Roman" w:hAnsi="Times New Roman" w:eastAsia="仿宋_GB2312" w:cs="Times New Roman"/>
              </w:rPr>
              <w:t>预期性</w:t>
            </w:r>
          </w:p>
        </w:tc>
      </w:tr>
      <w:tr w14:paraId="6FB54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0BD1A0BA">
            <w:pPr>
              <w:jc w:val="center"/>
              <w:rPr>
                <w:rFonts w:ascii="Times New Roman" w:hAnsi="Times New Roman" w:eastAsia="仿宋_GB2312" w:cs="Times New Roman"/>
                <w:b/>
                <w:bCs/>
              </w:rPr>
            </w:pPr>
          </w:p>
        </w:tc>
        <w:tc>
          <w:tcPr>
            <w:tcW w:w="0" w:type="auto"/>
            <w:vAlign w:val="center"/>
          </w:tcPr>
          <w:p w14:paraId="6DA921AD">
            <w:pPr>
              <w:jc w:val="center"/>
              <w:rPr>
                <w:rFonts w:ascii="Times New Roman" w:hAnsi="Times New Roman" w:eastAsia="仿宋_GB2312" w:cs="Times New Roman"/>
              </w:rPr>
            </w:pPr>
            <w:r>
              <w:rPr>
                <w:rFonts w:ascii="Times New Roman" w:hAnsi="Times New Roman" w:eastAsia="仿宋_GB2312" w:cs="Times New Roman"/>
              </w:rPr>
              <w:t>13</w:t>
            </w:r>
          </w:p>
        </w:tc>
        <w:tc>
          <w:tcPr>
            <w:tcW w:w="0" w:type="auto"/>
            <w:vAlign w:val="center"/>
          </w:tcPr>
          <w:p w14:paraId="3FCBDB9D">
            <w:pPr>
              <w:jc w:val="center"/>
              <w:rPr>
                <w:rFonts w:ascii="Times New Roman" w:hAnsi="Times New Roman" w:eastAsia="仿宋_GB2312" w:cs="Times New Roman"/>
              </w:rPr>
            </w:pPr>
            <w:r>
              <w:rPr>
                <w:rFonts w:ascii="Times New Roman" w:hAnsi="Times New Roman" w:eastAsia="仿宋_GB2312" w:cs="Times New Roman"/>
              </w:rPr>
              <w:t>新增生态修复面积</w:t>
            </w:r>
          </w:p>
        </w:tc>
        <w:tc>
          <w:tcPr>
            <w:tcW w:w="0" w:type="auto"/>
            <w:vAlign w:val="center"/>
          </w:tcPr>
          <w:p w14:paraId="56155FFC">
            <w:pPr>
              <w:jc w:val="center"/>
              <w:rPr>
                <w:rFonts w:ascii="Times New Roman" w:hAnsi="Times New Roman" w:eastAsia="仿宋_GB2312" w:cs="Times New Roman"/>
              </w:rPr>
            </w:pPr>
            <w:r>
              <w:rPr>
                <w:rFonts w:ascii="Times New Roman" w:hAnsi="Times New Roman" w:eastAsia="仿宋_GB2312" w:cs="Times New Roman"/>
              </w:rPr>
              <w:t>平方公里</w:t>
            </w:r>
          </w:p>
        </w:tc>
        <w:tc>
          <w:tcPr>
            <w:tcW w:w="0" w:type="auto"/>
            <w:vAlign w:val="center"/>
          </w:tcPr>
          <w:p w14:paraId="064D1662">
            <w:pPr>
              <w:jc w:val="center"/>
              <w:rPr>
                <w:rFonts w:ascii="Times New Roman" w:hAnsi="Times New Roman" w:eastAsia="仿宋_GB2312" w:cs="Times New Roman"/>
              </w:rPr>
            </w:pPr>
            <w:r>
              <w:rPr>
                <w:rFonts w:ascii="Times New Roman" w:hAnsi="Times New Roman" w:eastAsia="仿宋_GB2312" w:cs="Times New Roman"/>
              </w:rPr>
              <w:t>/</w:t>
            </w:r>
          </w:p>
        </w:tc>
        <w:tc>
          <w:tcPr>
            <w:tcW w:w="0" w:type="auto"/>
            <w:vAlign w:val="center"/>
          </w:tcPr>
          <w:p w14:paraId="2E8E0B17">
            <w:pPr>
              <w:jc w:val="center"/>
              <w:rPr>
                <w:rFonts w:ascii="Times New Roman" w:hAnsi="Times New Roman" w:eastAsia="仿宋_GB2312" w:cs="Times New Roman"/>
              </w:rPr>
            </w:pPr>
            <w:r>
              <w:rPr>
                <w:rFonts w:ascii="Times New Roman" w:hAnsi="Times New Roman" w:eastAsia="仿宋_GB2312" w:cs="Times New Roman"/>
              </w:rPr>
              <w:t>258.76</w:t>
            </w:r>
          </w:p>
        </w:tc>
        <w:tc>
          <w:tcPr>
            <w:tcW w:w="0" w:type="auto"/>
            <w:vAlign w:val="center"/>
          </w:tcPr>
          <w:p w14:paraId="5FB5D520">
            <w:pPr>
              <w:jc w:val="center"/>
              <w:rPr>
                <w:rFonts w:ascii="Times New Roman" w:hAnsi="Times New Roman" w:eastAsia="仿宋_GB2312" w:cs="Times New Roman"/>
              </w:rPr>
            </w:pPr>
            <w:r>
              <w:rPr>
                <w:rFonts w:ascii="Times New Roman" w:hAnsi="Times New Roman" w:eastAsia="仿宋_GB2312" w:cs="Times New Roman"/>
              </w:rPr>
              <w:t>依据省下达任务确定</w:t>
            </w:r>
          </w:p>
        </w:tc>
        <w:tc>
          <w:tcPr>
            <w:tcW w:w="0" w:type="auto"/>
            <w:vAlign w:val="center"/>
          </w:tcPr>
          <w:p w14:paraId="69105DF7">
            <w:pPr>
              <w:jc w:val="center"/>
              <w:rPr>
                <w:rFonts w:ascii="Times New Roman" w:hAnsi="Times New Roman" w:eastAsia="仿宋_GB2312" w:cs="Times New Roman"/>
              </w:rPr>
            </w:pPr>
            <w:r>
              <w:rPr>
                <w:rFonts w:ascii="Times New Roman" w:hAnsi="Times New Roman" w:eastAsia="仿宋_GB2312" w:cs="Times New Roman"/>
              </w:rPr>
              <w:t>预期性</w:t>
            </w:r>
          </w:p>
        </w:tc>
      </w:tr>
      <w:tr w14:paraId="056B2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1E3327B7">
            <w:pPr>
              <w:jc w:val="center"/>
              <w:rPr>
                <w:rFonts w:ascii="Times New Roman" w:hAnsi="Times New Roman" w:eastAsia="仿宋_GB2312" w:cs="Times New Roman"/>
                <w:b/>
                <w:bCs/>
              </w:rPr>
            </w:pPr>
          </w:p>
        </w:tc>
        <w:tc>
          <w:tcPr>
            <w:tcW w:w="0" w:type="auto"/>
            <w:vAlign w:val="center"/>
          </w:tcPr>
          <w:p w14:paraId="7C8FA9E5">
            <w:pPr>
              <w:jc w:val="center"/>
              <w:rPr>
                <w:rFonts w:ascii="Times New Roman" w:hAnsi="Times New Roman" w:eastAsia="仿宋_GB2312" w:cs="Times New Roman"/>
              </w:rPr>
            </w:pPr>
            <w:r>
              <w:rPr>
                <w:rFonts w:ascii="Times New Roman" w:hAnsi="Times New Roman" w:eastAsia="仿宋_GB2312" w:cs="Times New Roman"/>
              </w:rPr>
              <w:t>14</w:t>
            </w:r>
          </w:p>
        </w:tc>
        <w:tc>
          <w:tcPr>
            <w:tcW w:w="0" w:type="auto"/>
            <w:vAlign w:val="center"/>
          </w:tcPr>
          <w:p w14:paraId="60720119">
            <w:pPr>
              <w:jc w:val="center"/>
              <w:rPr>
                <w:rFonts w:ascii="Times New Roman" w:hAnsi="Times New Roman" w:eastAsia="仿宋_GB2312" w:cs="Times New Roman"/>
              </w:rPr>
            </w:pPr>
            <w:r>
              <w:rPr>
                <w:rFonts w:ascii="Times New Roman" w:hAnsi="Times New Roman" w:eastAsia="仿宋_GB2312" w:cs="Times New Roman"/>
              </w:rPr>
              <w:t>防治地质灾害面积</w:t>
            </w:r>
          </w:p>
        </w:tc>
        <w:tc>
          <w:tcPr>
            <w:tcW w:w="0" w:type="auto"/>
            <w:vAlign w:val="center"/>
          </w:tcPr>
          <w:p w14:paraId="689F4823">
            <w:pPr>
              <w:jc w:val="center"/>
              <w:rPr>
                <w:rFonts w:ascii="Times New Roman" w:hAnsi="Times New Roman" w:eastAsia="仿宋_GB2312" w:cs="Times New Roman"/>
              </w:rPr>
            </w:pPr>
            <w:r>
              <w:rPr>
                <w:rFonts w:ascii="Times New Roman" w:hAnsi="Times New Roman" w:eastAsia="仿宋_GB2312" w:cs="Times New Roman"/>
              </w:rPr>
              <w:t>平方公里</w:t>
            </w:r>
          </w:p>
        </w:tc>
        <w:tc>
          <w:tcPr>
            <w:tcW w:w="0" w:type="auto"/>
            <w:vAlign w:val="center"/>
          </w:tcPr>
          <w:p w14:paraId="4B75DC3D">
            <w:pPr>
              <w:jc w:val="center"/>
              <w:rPr>
                <w:rFonts w:ascii="Times New Roman" w:hAnsi="Times New Roman" w:eastAsia="仿宋_GB2312" w:cs="Times New Roman"/>
              </w:rPr>
            </w:pPr>
            <w:r>
              <w:rPr>
                <w:rFonts w:ascii="Times New Roman" w:hAnsi="Times New Roman" w:eastAsia="仿宋_GB2312" w:cs="Times New Roman"/>
              </w:rPr>
              <w:t>1747.74</w:t>
            </w:r>
          </w:p>
        </w:tc>
        <w:tc>
          <w:tcPr>
            <w:tcW w:w="0" w:type="auto"/>
            <w:vAlign w:val="center"/>
          </w:tcPr>
          <w:p w14:paraId="3E6F74AA">
            <w:pPr>
              <w:jc w:val="center"/>
              <w:rPr>
                <w:rFonts w:ascii="Times New Roman" w:hAnsi="Times New Roman" w:eastAsia="仿宋_GB2312" w:cs="Times New Roman"/>
              </w:rPr>
            </w:pPr>
            <w:r>
              <w:rPr>
                <w:rFonts w:ascii="Times New Roman" w:hAnsi="Times New Roman" w:eastAsia="仿宋_GB2312" w:cs="Times New Roman"/>
              </w:rPr>
              <w:t>3996.19</w:t>
            </w:r>
          </w:p>
        </w:tc>
        <w:tc>
          <w:tcPr>
            <w:tcW w:w="0" w:type="auto"/>
            <w:vAlign w:val="center"/>
          </w:tcPr>
          <w:p w14:paraId="0672CAFB">
            <w:pPr>
              <w:jc w:val="center"/>
              <w:rPr>
                <w:rFonts w:ascii="Times New Roman" w:hAnsi="Times New Roman" w:eastAsia="仿宋_GB2312" w:cs="Times New Roman"/>
              </w:rPr>
            </w:pPr>
            <w:r>
              <w:rPr>
                <w:rFonts w:ascii="Times New Roman" w:hAnsi="Times New Roman" w:eastAsia="仿宋_GB2312" w:cs="Times New Roman"/>
              </w:rPr>
              <w:t>依据省下达任务确定</w:t>
            </w:r>
          </w:p>
        </w:tc>
        <w:tc>
          <w:tcPr>
            <w:tcW w:w="0" w:type="auto"/>
            <w:vAlign w:val="center"/>
          </w:tcPr>
          <w:p w14:paraId="5DC7989A">
            <w:pPr>
              <w:jc w:val="center"/>
              <w:rPr>
                <w:rFonts w:ascii="Times New Roman" w:hAnsi="Times New Roman" w:eastAsia="仿宋_GB2312" w:cs="Times New Roman"/>
              </w:rPr>
            </w:pPr>
            <w:r>
              <w:rPr>
                <w:rFonts w:ascii="Times New Roman" w:hAnsi="Times New Roman" w:eastAsia="仿宋_GB2312" w:cs="Times New Roman"/>
              </w:rPr>
              <w:t>预期性</w:t>
            </w:r>
          </w:p>
        </w:tc>
      </w:tr>
      <w:tr w14:paraId="6CA5B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07F03D14">
            <w:pPr>
              <w:jc w:val="center"/>
              <w:rPr>
                <w:rFonts w:ascii="Times New Roman" w:hAnsi="Times New Roman" w:eastAsia="仿宋_GB2312" w:cs="Times New Roman"/>
                <w:b/>
                <w:bCs/>
              </w:rPr>
            </w:pPr>
          </w:p>
        </w:tc>
        <w:tc>
          <w:tcPr>
            <w:tcW w:w="0" w:type="auto"/>
            <w:vAlign w:val="center"/>
          </w:tcPr>
          <w:p w14:paraId="3E902910">
            <w:pPr>
              <w:jc w:val="center"/>
              <w:rPr>
                <w:rFonts w:ascii="Times New Roman" w:hAnsi="Times New Roman" w:eastAsia="仿宋_GB2312" w:cs="Times New Roman"/>
              </w:rPr>
            </w:pPr>
            <w:r>
              <w:rPr>
                <w:rFonts w:ascii="Times New Roman" w:hAnsi="Times New Roman" w:eastAsia="仿宋_GB2312" w:cs="Times New Roman"/>
              </w:rPr>
              <w:t>15</w:t>
            </w:r>
          </w:p>
        </w:tc>
        <w:tc>
          <w:tcPr>
            <w:tcW w:w="0" w:type="auto"/>
            <w:vAlign w:val="center"/>
          </w:tcPr>
          <w:p w14:paraId="6BF8C741">
            <w:pPr>
              <w:jc w:val="center"/>
              <w:rPr>
                <w:rFonts w:ascii="Times New Roman" w:hAnsi="Times New Roman" w:eastAsia="仿宋_GB2312" w:cs="Times New Roman"/>
              </w:rPr>
            </w:pPr>
            <w:r>
              <w:rPr>
                <w:rFonts w:ascii="Times New Roman" w:hAnsi="Times New Roman" w:eastAsia="仿宋_GB2312" w:cs="Times New Roman"/>
              </w:rPr>
              <w:t>受污染耕地安全利用率</w:t>
            </w:r>
          </w:p>
        </w:tc>
        <w:tc>
          <w:tcPr>
            <w:tcW w:w="0" w:type="auto"/>
            <w:vAlign w:val="center"/>
          </w:tcPr>
          <w:p w14:paraId="21A0833C">
            <w:pPr>
              <w:jc w:val="center"/>
              <w:rPr>
                <w:rFonts w:ascii="Times New Roman" w:hAnsi="Times New Roman" w:eastAsia="仿宋_GB2312" w:cs="Times New Roman"/>
              </w:rPr>
            </w:pPr>
            <w:r>
              <w:rPr>
                <w:rFonts w:ascii="Times New Roman" w:hAnsi="Times New Roman" w:eastAsia="仿宋_GB2312" w:cs="Times New Roman"/>
              </w:rPr>
              <w:t>%</w:t>
            </w:r>
          </w:p>
        </w:tc>
        <w:tc>
          <w:tcPr>
            <w:tcW w:w="0" w:type="auto"/>
            <w:vAlign w:val="center"/>
          </w:tcPr>
          <w:p w14:paraId="27E71F95">
            <w:pPr>
              <w:jc w:val="center"/>
              <w:rPr>
                <w:rFonts w:ascii="Times New Roman" w:hAnsi="Times New Roman" w:eastAsia="仿宋_GB2312" w:cs="Times New Roman"/>
              </w:rPr>
            </w:pPr>
            <w:r>
              <w:rPr>
                <w:rFonts w:ascii="Times New Roman" w:hAnsi="Times New Roman" w:eastAsia="仿宋_GB2312" w:cs="Times New Roman"/>
              </w:rPr>
              <w:t>95.72</w:t>
            </w:r>
          </w:p>
        </w:tc>
        <w:tc>
          <w:tcPr>
            <w:tcW w:w="0" w:type="auto"/>
            <w:vAlign w:val="center"/>
          </w:tcPr>
          <w:p w14:paraId="756E6F34">
            <w:pPr>
              <w:jc w:val="center"/>
              <w:rPr>
                <w:rFonts w:ascii="Times New Roman" w:hAnsi="Times New Roman" w:eastAsia="仿宋_GB2312" w:cs="Times New Roman"/>
              </w:rPr>
            </w:pPr>
            <w:r>
              <w:rPr>
                <w:rFonts w:ascii="Times New Roman" w:hAnsi="Times New Roman" w:eastAsia="仿宋_GB2312" w:cs="Times New Roman"/>
              </w:rPr>
              <w:t>93</w:t>
            </w:r>
          </w:p>
        </w:tc>
        <w:tc>
          <w:tcPr>
            <w:tcW w:w="0" w:type="auto"/>
            <w:vAlign w:val="center"/>
          </w:tcPr>
          <w:p w14:paraId="5CB5885E">
            <w:pPr>
              <w:jc w:val="center"/>
              <w:rPr>
                <w:rFonts w:ascii="Times New Roman" w:hAnsi="Times New Roman" w:eastAsia="仿宋_GB2312" w:cs="Times New Roman"/>
              </w:rPr>
            </w:pPr>
            <w:r>
              <w:rPr>
                <w:rFonts w:ascii="Times New Roman" w:hAnsi="Times New Roman" w:eastAsia="仿宋_GB2312" w:cs="Times New Roman"/>
              </w:rPr>
              <w:t>100</w:t>
            </w:r>
          </w:p>
        </w:tc>
        <w:tc>
          <w:tcPr>
            <w:tcW w:w="0" w:type="auto"/>
            <w:vAlign w:val="center"/>
          </w:tcPr>
          <w:p w14:paraId="0F5C3487">
            <w:pPr>
              <w:jc w:val="center"/>
              <w:rPr>
                <w:rFonts w:ascii="Times New Roman" w:hAnsi="Times New Roman" w:eastAsia="仿宋_GB2312" w:cs="Times New Roman"/>
              </w:rPr>
            </w:pPr>
            <w:r>
              <w:rPr>
                <w:rFonts w:ascii="Times New Roman" w:hAnsi="Times New Roman" w:eastAsia="仿宋_GB2312" w:cs="Times New Roman"/>
              </w:rPr>
              <w:t>预期性</w:t>
            </w:r>
          </w:p>
        </w:tc>
      </w:tr>
      <w:tr w14:paraId="166C2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262ED572">
            <w:pPr>
              <w:jc w:val="center"/>
              <w:rPr>
                <w:rFonts w:ascii="Times New Roman" w:hAnsi="Times New Roman" w:eastAsia="仿宋_GB2312" w:cs="Times New Roman"/>
                <w:b/>
                <w:bCs/>
              </w:rPr>
            </w:pPr>
          </w:p>
        </w:tc>
        <w:tc>
          <w:tcPr>
            <w:tcW w:w="0" w:type="auto"/>
            <w:vAlign w:val="center"/>
          </w:tcPr>
          <w:p w14:paraId="0AB2A4C9">
            <w:pPr>
              <w:jc w:val="center"/>
              <w:rPr>
                <w:rFonts w:ascii="Times New Roman" w:hAnsi="Times New Roman" w:eastAsia="仿宋_GB2312" w:cs="Times New Roman"/>
              </w:rPr>
            </w:pPr>
            <w:r>
              <w:rPr>
                <w:rFonts w:ascii="Times New Roman" w:hAnsi="Times New Roman" w:eastAsia="仿宋_GB2312" w:cs="Times New Roman"/>
              </w:rPr>
              <w:t>16</w:t>
            </w:r>
          </w:p>
        </w:tc>
        <w:tc>
          <w:tcPr>
            <w:tcW w:w="0" w:type="auto"/>
            <w:vAlign w:val="center"/>
          </w:tcPr>
          <w:p w14:paraId="1A26CD79">
            <w:pPr>
              <w:jc w:val="center"/>
              <w:rPr>
                <w:rFonts w:ascii="Times New Roman" w:hAnsi="Times New Roman" w:eastAsia="仿宋_GB2312" w:cs="Times New Roman"/>
              </w:rPr>
            </w:pPr>
            <w:r>
              <w:rPr>
                <w:rFonts w:ascii="Times New Roman" w:hAnsi="Times New Roman" w:eastAsia="仿宋_GB2312" w:cs="Times New Roman"/>
              </w:rPr>
              <w:t>营造和修复红树林面积</w:t>
            </w:r>
          </w:p>
        </w:tc>
        <w:tc>
          <w:tcPr>
            <w:tcW w:w="0" w:type="auto"/>
            <w:vAlign w:val="center"/>
          </w:tcPr>
          <w:p w14:paraId="7F21ECA3">
            <w:pPr>
              <w:jc w:val="center"/>
              <w:rPr>
                <w:rFonts w:ascii="Times New Roman" w:hAnsi="Times New Roman" w:eastAsia="仿宋_GB2312" w:cs="Times New Roman"/>
              </w:rPr>
            </w:pPr>
            <w:r>
              <w:rPr>
                <w:rFonts w:ascii="Times New Roman" w:hAnsi="Times New Roman" w:eastAsia="仿宋_GB2312" w:cs="Times New Roman"/>
              </w:rPr>
              <w:t>公顷</w:t>
            </w:r>
          </w:p>
        </w:tc>
        <w:tc>
          <w:tcPr>
            <w:tcW w:w="0" w:type="auto"/>
            <w:vAlign w:val="center"/>
          </w:tcPr>
          <w:p w14:paraId="4818B452">
            <w:pPr>
              <w:jc w:val="center"/>
              <w:rPr>
                <w:rFonts w:ascii="Times New Roman" w:hAnsi="Times New Roman" w:eastAsia="仿宋_GB2312" w:cs="Times New Roman"/>
              </w:rPr>
            </w:pPr>
            <w:r>
              <w:rPr>
                <w:rFonts w:ascii="Times New Roman" w:hAnsi="Times New Roman" w:eastAsia="仿宋_GB2312" w:cs="Times New Roman"/>
              </w:rPr>
              <w:t>/</w:t>
            </w:r>
          </w:p>
        </w:tc>
        <w:tc>
          <w:tcPr>
            <w:tcW w:w="0" w:type="auto"/>
            <w:vAlign w:val="center"/>
          </w:tcPr>
          <w:p w14:paraId="6E22EC5C">
            <w:pPr>
              <w:jc w:val="center"/>
              <w:rPr>
                <w:rFonts w:ascii="Times New Roman" w:hAnsi="Times New Roman" w:eastAsia="仿宋_GB2312" w:cs="Times New Roman"/>
              </w:rPr>
            </w:pPr>
            <w:r>
              <w:rPr>
                <w:rFonts w:ascii="Times New Roman" w:hAnsi="Times New Roman" w:eastAsia="仿宋_GB2312" w:cs="Times New Roman"/>
              </w:rPr>
              <w:t>690</w:t>
            </w:r>
          </w:p>
        </w:tc>
        <w:tc>
          <w:tcPr>
            <w:tcW w:w="0" w:type="auto"/>
            <w:vAlign w:val="center"/>
          </w:tcPr>
          <w:p w14:paraId="3A09E8D7">
            <w:pPr>
              <w:jc w:val="center"/>
              <w:rPr>
                <w:rFonts w:ascii="Times New Roman" w:hAnsi="Times New Roman" w:eastAsia="仿宋_GB2312" w:cs="Times New Roman"/>
              </w:rPr>
            </w:pPr>
            <w:r>
              <w:rPr>
                <w:rFonts w:ascii="Times New Roman" w:hAnsi="Times New Roman" w:eastAsia="仿宋_GB2312" w:cs="Times New Roman"/>
              </w:rPr>
              <w:t>依据省下达任务确定</w:t>
            </w:r>
          </w:p>
        </w:tc>
        <w:tc>
          <w:tcPr>
            <w:tcW w:w="0" w:type="auto"/>
            <w:vAlign w:val="center"/>
          </w:tcPr>
          <w:p w14:paraId="5401E14B">
            <w:pPr>
              <w:jc w:val="center"/>
              <w:rPr>
                <w:rFonts w:ascii="Times New Roman" w:hAnsi="Times New Roman" w:eastAsia="仿宋_GB2312" w:cs="Times New Roman"/>
              </w:rPr>
            </w:pPr>
            <w:r>
              <w:rPr>
                <w:rFonts w:ascii="Times New Roman" w:hAnsi="Times New Roman" w:eastAsia="仿宋_GB2312" w:cs="Times New Roman"/>
              </w:rPr>
              <w:t>预期性</w:t>
            </w:r>
          </w:p>
        </w:tc>
      </w:tr>
      <w:tr w14:paraId="4B7B5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vAlign w:val="center"/>
          </w:tcPr>
          <w:p w14:paraId="2A4898C1">
            <w:pPr>
              <w:jc w:val="center"/>
              <w:rPr>
                <w:rFonts w:ascii="Times New Roman" w:hAnsi="Times New Roman" w:eastAsia="仿宋_GB2312" w:cs="Times New Roman"/>
                <w:b/>
                <w:bCs/>
              </w:rPr>
            </w:pPr>
          </w:p>
        </w:tc>
        <w:tc>
          <w:tcPr>
            <w:tcW w:w="0" w:type="auto"/>
            <w:vAlign w:val="center"/>
          </w:tcPr>
          <w:p w14:paraId="2F31CE93">
            <w:pPr>
              <w:jc w:val="center"/>
              <w:rPr>
                <w:rFonts w:ascii="Times New Roman" w:hAnsi="Times New Roman" w:eastAsia="仿宋_GB2312" w:cs="Times New Roman"/>
              </w:rPr>
            </w:pPr>
            <w:r>
              <w:rPr>
                <w:rFonts w:ascii="Times New Roman" w:hAnsi="Times New Roman" w:eastAsia="仿宋_GB2312" w:cs="Times New Roman"/>
              </w:rPr>
              <w:t>17</w:t>
            </w:r>
          </w:p>
        </w:tc>
        <w:tc>
          <w:tcPr>
            <w:tcW w:w="0" w:type="auto"/>
            <w:vAlign w:val="center"/>
          </w:tcPr>
          <w:p w14:paraId="08DFF3A6">
            <w:pPr>
              <w:jc w:val="center"/>
              <w:rPr>
                <w:rFonts w:ascii="Times New Roman" w:hAnsi="Times New Roman" w:eastAsia="仿宋_GB2312" w:cs="Times New Roman"/>
              </w:rPr>
            </w:pPr>
            <w:r>
              <w:rPr>
                <w:rFonts w:ascii="Times New Roman" w:hAnsi="Times New Roman" w:eastAsia="仿宋_GB2312" w:cs="Times New Roman"/>
              </w:rPr>
              <w:t>新增历史遗留矿山生态修复面积</w:t>
            </w:r>
          </w:p>
        </w:tc>
        <w:tc>
          <w:tcPr>
            <w:tcW w:w="0" w:type="auto"/>
          </w:tcPr>
          <w:p w14:paraId="59BFABDB">
            <w:pPr>
              <w:jc w:val="center"/>
              <w:rPr>
                <w:rFonts w:ascii="Times New Roman" w:hAnsi="Times New Roman" w:eastAsia="仿宋_GB2312" w:cs="Times New Roman"/>
              </w:rPr>
            </w:pPr>
            <w:r>
              <w:rPr>
                <w:rFonts w:ascii="Times New Roman" w:hAnsi="Times New Roman" w:eastAsia="仿宋_GB2312" w:cs="Times New Roman"/>
              </w:rPr>
              <w:t>平方公里</w:t>
            </w:r>
          </w:p>
        </w:tc>
        <w:tc>
          <w:tcPr>
            <w:tcW w:w="0" w:type="auto"/>
          </w:tcPr>
          <w:p w14:paraId="26F30B71">
            <w:pPr>
              <w:jc w:val="center"/>
              <w:rPr>
                <w:rFonts w:ascii="Times New Roman" w:hAnsi="Times New Roman" w:eastAsia="仿宋_GB2312" w:cs="Times New Roman"/>
              </w:rPr>
            </w:pPr>
            <w:r>
              <w:rPr>
                <w:rFonts w:ascii="Times New Roman" w:hAnsi="Times New Roman" w:eastAsia="仿宋_GB2312" w:cs="Times New Roman"/>
              </w:rPr>
              <w:t>/</w:t>
            </w:r>
          </w:p>
        </w:tc>
        <w:tc>
          <w:tcPr>
            <w:tcW w:w="0" w:type="auto"/>
          </w:tcPr>
          <w:p w14:paraId="123E6FF7">
            <w:pPr>
              <w:jc w:val="center"/>
              <w:rPr>
                <w:rFonts w:ascii="Times New Roman" w:hAnsi="Times New Roman" w:eastAsia="仿宋_GB2312" w:cs="Times New Roman"/>
              </w:rPr>
            </w:pPr>
            <w:r>
              <w:rPr>
                <w:rFonts w:ascii="Times New Roman" w:hAnsi="Times New Roman" w:eastAsia="仿宋_GB2312" w:cs="Times New Roman"/>
              </w:rPr>
              <w:t>依据省下达任务确定</w:t>
            </w:r>
          </w:p>
        </w:tc>
        <w:tc>
          <w:tcPr>
            <w:tcW w:w="0" w:type="auto"/>
          </w:tcPr>
          <w:p w14:paraId="71A1B3CA">
            <w:pPr>
              <w:jc w:val="center"/>
              <w:rPr>
                <w:rFonts w:ascii="Times New Roman" w:hAnsi="Times New Roman" w:eastAsia="仿宋_GB2312" w:cs="Times New Roman"/>
              </w:rPr>
            </w:pPr>
            <w:r>
              <w:rPr>
                <w:rFonts w:ascii="Times New Roman" w:hAnsi="Times New Roman" w:eastAsia="仿宋_GB2312" w:cs="Times New Roman"/>
              </w:rPr>
              <w:t>依据省下达任务确定</w:t>
            </w:r>
          </w:p>
        </w:tc>
        <w:tc>
          <w:tcPr>
            <w:tcW w:w="0" w:type="auto"/>
          </w:tcPr>
          <w:p w14:paraId="7DABD95B">
            <w:pPr>
              <w:jc w:val="center"/>
              <w:rPr>
                <w:rFonts w:ascii="Times New Roman" w:hAnsi="Times New Roman" w:eastAsia="仿宋_GB2312" w:cs="Times New Roman"/>
              </w:rPr>
            </w:pPr>
            <w:r>
              <w:rPr>
                <w:rFonts w:ascii="Times New Roman" w:hAnsi="Times New Roman" w:eastAsia="仿宋_GB2312" w:cs="Times New Roman"/>
              </w:rPr>
              <w:t>预期性</w:t>
            </w:r>
          </w:p>
        </w:tc>
      </w:tr>
    </w:tbl>
    <w:p w14:paraId="2A2114A0">
      <w:pPr>
        <w:widowControl/>
        <w:jc w:val="left"/>
        <w:rPr>
          <w:rFonts w:ascii="微软雅黑" w:hAnsi="微软雅黑" w:eastAsia="微软雅黑" w:cs="微软雅黑"/>
          <w:b/>
          <w:bCs/>
          <w:sz w:val="28"/>
          <w:szCs w:val="36"/>
        </w:rPr>
      </w:pPr>
      <w:r>
        <w:rPr>
          <w:rFonts w:ascii="微软雅黑" w:hAnsi="微软雅黑" w:eastAsia="微软雅黑" w:cs="微软雅黑"/>
          <w:b/>
          <w:bCs/>
          <w:sz w:val="28"/>
          <w:szCs w:val="36"/>
        </w:rPr>
        <w:br w:type="page"/>
      </w:r>
    </w:p>
    <w:p w14:paraId="5CB72CB5">
      <w:pPr>
        <w:pStyle w:val="2"/>
        <w:pageBreakBefore w:val="0"/>
        <w:numPr>
          <w:ilvl w:val="0"/>
          <w:numId w:val="1"/>
        </w:numPr>
        <w:spacing w:line="240" w:lineRule="auto"/>
        <w:rPr>
          <w:rFonts w:ascii="宋体" w:hAnsi="宋体" w:eastAsia="宋体" w:cs="方正小标宋简体"/>
          <w:b/>
          <w:bCs/>
          <w:sz w:val="40"/>
          <w:szCs w:val="40"/>
        </w:rPr>
      </w:pPr>
      <w:bookmarkStart w:id="13" w:name="_Toc181820167"/>
      <w:r>
        <w:rPr>
          <w:rFonts w:hint="eastAsia" w:ascii="宋体" w:hAnsi="宋体" w:eastAsia="宋体" w:cs="方正小标宋简体"/>
          <w:b/>
          <w:bCs/>
          <w:sz w:val="40"/>
          <w:szCs w:val="40"/>
        </w:rPr>
        <w:t>国土空间生态修复格局与重点区域</w:t>
      </w:r>
      <w:bookmarkEnd w:id="13"/>
    </w:p>
    <w:p w14:paraId="508F11F9">
      <w:pPr>
        <w:spacing w:beforeLines="100" w:line="600" w:lineRule="exact"/>
        <w:ind w:firstLine="640" w:firstLineChars="200"/>
      </w:pPr>
      <w:r>
        <w:rPr>
          <w:rFonts w:hint="eastAsia" w:ascii="Calibri" w:hAnsi="Calibri" w:eastAsia="仿宋_GB2312" w:cs="Times New Roman"/>
          <w:sz w:val="32"/>
          <w:szCs w:val="32"/>
        </w:rPr>
        <w:t>以支撑全市“一屏一湾多廊道”生态空间结构和打造“蓝色海洋名片、绿色生态名片”为引领，面向生态、农业、城镇三大空间，统筹推进国土空间整体保护、系统修复与综合治理，守住自然生态安全边界，形成安全、健康、美丽的高品质国土空间，建设人与自然和谐共生的现代化。</w:t>
      </w:r>
    </w:p>
    <w:p w14:paraId="3DC2A652">
      <w:pPr>
        <w:pStyle w:val="3"/>
        <w:spacing w:beforeLines="50" w:afterLines="50"/>
        <w:ind w:firstLine="0" w:firstLineChars="0"/>
        <w:jc w:val="center"/>
        <w:rPr>
          <w:rFonts w:ascii="楷体" w:hAnsi="楷体" w:eastAsia="楷体"/>
          <w:b/>
          <w:bCs w:val="0"/>
        </w:rPr>
      </w:pPr>
      <w:bookmarkStart w:id="14" w:name="_Toc181820168"/>
      <w:r>
        <w:rPr>
          <w:rFonts w:hint="eastAsia" w:ascii="楷体" w:hAnsi="楷体" w:eastAsia="楷体"/>
          <w:b/>
          <w:bCs w:val="0"/>
        </w:rPr>
        <w:t>第一节 国土空间生态修复总体格局</w:t>
      </w:r>
      <w:bookmarkEnd w:id="14"/>
    </w:p>
    <w:p w14:paraId="4D75AD8F">
      <w:pPr>
        <w:spacing w:line="600" w:lineRule="exact"/>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顺应广东省国土空间生态修复规划中提出的“三屏五江多廊道”的生态修复总体格局，衔接阳江市国土空间总体规划提出的“一屏一湾多廊道”的生态空间结构，保护修复以重要自然资源分布区域为主体、水系与廊道为纽带、重点生态公园为节点的生态空间，形成“两屏一脉，多廊多点”的国土空间生态修复格局。</w:t>
      </w:r>
    </w:p>
    <w:p w14:paraId="64A7DF00">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“两屏”</w:t>
      </w:r>
      <w:r>
        <w:rPr>
          <w:rFonts w:hint="eastAsia" w:ascii="Calibri" w:hAnsi="Calibri" w:eastAsia="仿宋_GB2312" w:cs="Times New Roman"/>
          <w:sz w:val="32"/>
          <w:szCs w:val="32"/>
        </w:rPr>
        <w:t>：指北部山林绿屏与南部海洋蓝屏，依托阳江市山海相会自然格局和自然资源本底，以陆海生态保护红线为基础，形成西北部云雾山、东北部天露山山脉为主构成的绿色山林生态屏障，以及阳江湾及周边岛群组成的蓝色海洋生态屏障，维护陆海国土空间生态安全，提升生态系统多样性、稳定性。</w:t>
      </w:r>
    </w:p>
    <w:p w14:paraId="1B19517A">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“一脉”</w:t>
      </w:r>
      <w:r>
        <w:rPr>
          <w:rFonts w:hint="eastAsia" w:ascii="Calibri" w:hAnsi="Calibri" w:eastAsia="仿宋_GB2312" w:cs="Times New Roman"/>
          <w:sz w:val="32"/>
          <w:szCs w:val="32"/>
        </w:rPr>
        <w:t>：指以漠阳江为主体，串联北部山体和南部海湾的河流水脉。着重增强野生动物栖息迁徙、水生生物繁殖洄游、防洪排涝、景观防护等功能，实现陆海生态空间有机连通。</w:t>
      </w:r>
    </w:p>
    <w:p w14:paraId="283AEF33">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“多廊多点”</w:t>
      </w:r>
      <w:r>
        <w:rPr>
          <w:rFonts w:hint="eastAsia" w:ascii="Calibri" w:hAnsi="Calibri" w:eastAsia="仿宋_GB2312" w:cs="Times New Roman"/>
          <w:sz w:val="32"/>
          <w:szCs w:val="32"/>
        </w:rPr>
        <w:t>：指由漠阳江支流与阳西其他河流流域构成的生态廊道网络，以及市内重要的湿地、生态源地构成的生态节点。保护修复方向为优化流域水系格局，加强江河湖连通，持续改善并稳定丰头河、儒洞河、九步河等入海河流水质，形成河流安全、优质入海的蓝色廊道体系。结合自然保护地建设、矿山修复等措施，改善山体生态环境，扩大野生动物栖息地，提高生物多样性水平。</w:t>
      </w:r>
    </w:p>
    <w:p w14:paraId="17C4808C">
      <w:pPr>
        <w:pStyle w:val="3"/>
        <w:spacing w:beforeLines="50" w:afterLines="50"/>
        <w:ind w:firstLine="0" w:firstLineChars="0"/>
        <w:jc w:val="center"/>
        <w:rPr>
          <w:rFonts w:ascii="楷体" w:hAnsi="楷体" w:eastAsia="楷体"/>
          <w:b/>
          <w:bCs w:val="0"/>
        </w:rPr>
      </w:pPr>
      <w:bookmarkStart w:id="15" w:name="_Toc181820169"/>
      <w:r>
        <w:rPr>
          <w:rFonts w:hint="eastAsia" w:ascii="楷体" w:hAnsi="楷体" w:eastAsia="楷体"/>
          <w:b/>
          <w:bCs w:val="0"/>
        </w:rPr>
        <w:t xml:space="preserve">第二节 </w:t>
      </w:r>
      <w:bookmarkStart w:id="16" w:name="_Hlk162947873"/>
      <w:r>
        <w:rPr>
          <w:rFonts w:hint="eastAsia" w:ascii="楷体" w:hAnsi="楷体" w:eastAsia="楷体"/>
          <w:b/>
          <w:bCs w:val="0"/>
        </w:rPr>
        <w:t>国土空间生态修复分区</w:t>
      </w:r>
      <w:bookmarkEnd w:id="15"/>
      <w:bookmarkEnd w:id="16"/>
    </w:p>
    <w:p w14:paraId="701D4A1A">
      <w:pPr>
        <w:spacing w:line="600" w:lineRule="exact"/>
        <w:ind w:firstLine="640" w:firstLineChars="200"/>
        <w:rPr>
          <w:szCs w:val="32"/>
        </w:rPr>
      </w:pPr>
      <w:r>
        <w:rPr>
          <w:rFonts w:ascii="Times New Roman" w:hAnsi="Times New Roman" w:eastAsia="仿宋_GB2312" w:cs="Times New Roman"/>
          <w:sz w:val="32"/>
          <w:szCs w:val="32"/>
        </w:rPr>
        <w:t>按照流域水文单元完整性、行政管理便捷性和体现生态景观格局三大原则，对自然流域边界进行校核。校核阳江市48个镇（街）、国土空间功能分区、三区三线等边界，形成八大生态修复分区</w:t>
      </w:r>
      <w:r>
        <w:rPr>
          <w:rFonts w:hint="eastAsia" w:ascii="Calibri" w:hAnsi="Calibri" w:eastAsia="仿宋_GB2312" w:cs="Times New Roman"/>
          <w:sz w:val="32"/>
          <w:szCs w:val="32"/>
        </w:rPr>
        <w:t>，即北部云雾山森林保护修复区、天露山及漠阳江上游保护修复区、西部云雾山森林保护修复区、漠阳江中游保护修复区、中部城镇生态品质提升区、阳西生态保护修复提升区、阳江东部保护修复提升区、海陵岛保护修复提升区。</w:t>
      </w:r>
    </w:p>
    <w:p w14:paraId="1947857B">
      <w:pPr>
        <w:pStyle w:val="4"/>
        <w:spacing w:before="0" w:after="0" w:line="600" w:lineRule="exact"/>
        <w:ind w:firstLine="643" w:firstLineChars="200"/>
        <w:rPr>
          <w:rFonts w:ascii="仿宋_GB2312" w:hAnsi="Calibri" w:eastAsia="仿宋_GB2312" w:cs="Times New Roman"/>
        </w:rPr>
      </w:pPr>
      <w:r>
        <w:rPr>
          <w:rFonts w:hint="eastAsia" w:ascii="仿宋_GB2312" w:hAnsi="Calibri" w:eastAsia="仿宋_GB2312" w:cs="Times New Roman"/>
        </w:rPr>
        <w:t>一、</w:t>
      </w:r>
      <w:bookmarkStart w:id="17" w:name="_Hlk140251520"/>
      <w:r>
        <w:rPr>
          <w:rFonts w:hint="eastAsia" w:ascii="仿宋_GB2312" w:hAnsi="Calibri" w:eastAsia="仿宋_GB2312" w:cs="Times New Roman"/>
        </w:rPr>
        <w:t>北部云雾山森林保护修复区</w:t>
      </w:r>
    </w:p>
    <w:bookmarkEnd w:id="17"/>
    <w:p w14:paraId="12F1DB6D">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区域范围：</w:t>
      </w:r>
      <w:r>
        <w:rPr>
          <w:rFonts w:hint="eastAsia" w:ascii="Calibri" w:hAnsi="Calibri" w:eastAsia="仿宋_GB2312" w:cs="Times New Roman"/>
          <w:sz w:val="32"/>
          <w:szCs w:val="32"/>
        </w:rPr>
        <w:t>主要位于阳江市北部云雾山范围区域，包括阳春市圭岗镇、松柏镇、石望</w:t>
      </w:r>
      <w:r>
        <w:rPr>
          <w:rFonts w:ascii="Times New Roman" w:hAnsi="Times New Roman" w:eastAsia="仿宋_GB2312" w:cs="Times New Roman"/>
          <w:sz w:val="32"/>
          <w:szCs w:val="32"/>
        </w:rPr>
        <w:t>镇、河朗镇、永宁镇等5个镇，面积约1232平方公里。</w:t>
      </w:r>
    </w:p>
    <w:p w14:paraId="48108072">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区域概况：</w:t>
      </w:r>
      <w:r>
        <w:rPr>
          <w:rFonts w:hint="eastAsia" w:ascii="Calibri" w:hAnsi="Calibri" w:eastAsia="仿宋_GB2312" w:cs="Times New Roman"/>
          <w:sz w:val="32"/>
          <w:szCs w:val="32"/>
        </w:rPr>
        <w:t>区域内地貌起伏较大，森林覆盖率较高，存在广东凌霄岩国家地质自然公园、广东阳春百涌地方级自然保护区、阳春云帘地方级森林自然公园等自然保护地，形成以森林生态系统为主体的生态系统类型。区域范围内存在伯乐树、桫椤、观光木等多种国家重点保护野生植物，也是蟒蛇、穿山甲等国家重点保护动物物种的重要栖息地。</w:t>
      </w:r>
    </w:p>
    <w:p w14:paraId="100333D5">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主要生态问题：</w:t>
      </w:r>
      <w:r>
        <w:rPr>
          <w:rFonts w:hint="eastAsia" w:ascii="Calibri" w:hAnsi="Calibri" w:eastAsia="仿宋_GB2312" w:cs="Times New Roman"/>
          <w:sz w:val="32"/>
          <w:szCs w:val="32"/>
        </w:rPr>
        <w:t>目前该区域内部成熟林、过熟林比重偏大，单位面积森林蓄积量有待进一步提升。自然保护地、森林公园、第一重山体等重要区域树种单一，森林群落结构多为单层林，复层林少，未形成绚丽森林景观。同时，该区域广泛分布可蚀性极高的土壤和土壤母岩，整体水土流失的风险较高，属于水土流失重点防治区域。</w:t>
      </w:r>
    </w:p>
    <w:p w14:paraId="71904D09">
      <w:pPr>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重点任务：</w:t>
      </w:r>
      <w:r>
        <w:rPr>
          <w:rFonts w:ascii="Times New Roman" w:hAnsi="Times New Roman" w:eastAsia="仿宋_GB2312" w:cs="Times New Roman"/>
          <w:sz w:val="32"/>
          <w:szCs w:val="32"/>
        </w:rPr>
        <w:t>推进绿美阳江建设，通过宜林地造林绿化、低质低效林分改造、森林抚育、封山育林等方式精准提升森林质量。在道路两侧1公里范围内具备条件的非耕地上营造多树种、多效益、多层次、多功能的森林景观带，展示区域森林植被景观特色。结合森林质量精准提升行动，开展水土流失综合治理。</w:t>
      </w:r>
    </w:p>
    <w:p w14:paraId="2B267EA2">
      <w:pPr>
        <w:pStyle w:val="4"/>
        <w:spacing w:before="0" w:after="0" w:line="600" w:lineRule="exact"/>
        <w:ind w:firstLine="643" w:firstLineChars="200"/>
        <w:rPr>
          <w:rFonts w:ascii="仿宋_GB2312" w:hAnsi="Calibri" w:eastAsia="仿宋_GB2312" w:cs="Times New Roman"/>
        </w:rPr>
      </w:pPr>
      <w:r>
        <w:rPr>
          <w:rFonts w:hint="eastAsia" w:ascii="仿宋_GB2312" w:hAnsi="Calibri" w:eastAsia="仿宋_GB2312" w:cs="Times New Roman"/>
        </w:rPr>
        <w:t>二、天露山及漠阳江上游保护修复区</w:t>
      </w:r>
    </w:p>
    <w:p w14:paraId="6BE7D665">
      <w:pPr>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区域范围：</w:t>
      </w:r>
      <w:r>
        <w:rPr>
          <w:rFonts w:ascii="Times New Roman" w:hAnsi="Times New Roman" w:eastAsia="仿宋_GB2312" w:cs="Times New Roman"/>
          <w:sz w:val="32"/>
          <w:szCs w:val="32"/>
        </w:rPr>
        <w:t>主要位于阳江市东北部天露山及漠阳江上游区域，包括阳春市春湾镇、陂面镇、合水镇、春城街道、河西街道及阳东区大八镇等6个镇（街），面积约1380平方公里。</w:t>
      </w:r>
    </w:p>
    <w:p w14:paraId="4A0E7691">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区域概况：</w:t>
      </w:r>
      <w:r>
        <w:rPr>
          <w:rFonts w:hint="eastAsia" w:ascii="Calibri" w:hAnsi="Calibri" w:eastAsia="仿宋_GB2312" w:cs="Times New Roman"/>
          <w:sz w:val="32"/>
          <w:szCs w:val="32"/>
        </w:rPr>
        <w:t>区域内包括阳春主城区、天露山脉、漠阳江上游水系及支流，水质整体较好，湿地资源丰富，存在阳春马古坳地方级森林公园、阳春旗岭地方级森林自然公园、阳春东湖地方级湿地自然公园等自然保护地。</w:t>
      </w:r>
    </w:p>
    <w:p w14:paraId="02B0D0D8">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主要生态问题：</w:t>
      </w:r>
      <w:r>
        <w:rPr>
          <w:rFonts w:hint="eastAsia" w:ascii="Calibri" w:hAnsi="Calibri" w:eastAsia="仿宋_GB2312" w:cs="Times New Roman"/>
          <w:sz w:val="32"/>
          <w:szCs w:val="32"/>
        </w:rPr>
        <w:t>天露山区域中除森林结构与质量有待提升外，整体受火灾、松材线虫等危害的风险较高，同时由于地形地貌和人为活动的影响，森林生态系统的稳定性和可持续性面临挑战。漠阳江上游区域存在零星畜禽养殖分布，对整体河流水质可能会产生一定影响。</w:t>
      </w:r>
    </w:p>
    <w:p w14:paraId="3FC24DB0">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重点任务：</w:t>
      </w:r>
      <w:r>
        <w:rPr>
          <w:rFonts w:hint="eastAsia" w:ascii="Calibri" w:hAnsi="Calibri" w:eastAsia="仿宋_GB2312" w:cs="Times New Roman"/>
          <w:sz w:val="32"/>
          <w:szCs w:val="32"/>
        </w:rPr>
        <w:t>推进绿美阳江建设，重点保护天露山南亚热带常绿阔叶林生态系统，加强对植被生境与长势的监管监测，及时进行病虫害防治和复壮。结合人工造林、林相改造等森林植被维育工作，提升水土保持功能。开展畜禽养殖污染治理，重点维护漠阳江水质与周边农田生态环境。</w:t>
      </w:r>
    </w:p>
    <w:p w14:paraId="0DC42F4A">
      <w:pPr>
        <w:pStyle w:val="4"/>
        <w:spacing w:before="0" w:after="0" w:line="600" w:lineRule="exact"/>
        <w:ind w:firstLine="643" w:firstLineChars="200"/>
        <w:rPr>
          <w:rFonts w:ascii="仿宋_GB2312" w:hAnsi="Calibri" w:eastAsia="仿宋_GB2312" w:cs="Times New Roman"/>
        </w:rPr>
      </w:pPr>
      <w:r>
        <w:rPr>
          <w:rFonts w:hint="eastAsia" w:ascii="仿宋_GB2312" w:hAnsi="Calibri" w:eastAsia="仿宋_GB2312" w:cs="Times New Roman"/>
        </w:rPr>
        <w:t>三、西部云雾山森林保护修复区</w:t>
      </w:r>
    </w:p>
    <w:p w14:paraId="6266F5AC">
      <w:pPr>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区域范围：</w:t>
      </w:r>
      <w:r>
        <w:rPr>
          <w:rFonts w:ascii="Times New Roman" w:hAnsi="Times New Roman" w:eastAsia="仿宋_GB2312" w:cs="Times New Roman"/>
          <w:sz w:val="32"/>
          <w:szCs w:val="32"/>
        </w:rPr>
        <w:t>主要位于阳江市西北部云雾山南侧及河尾山北侧区域，包括阳春市马水镇、八甲镇、潭水镇、三甲镇、双窖镇等5个镇（街），面积约1371平方公里。</w:t>
      </w:r>
    </w:p>
    <w:p w14:paraId="7C175828">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区域概况：</w:t>
      </w:r>
      <w:r>
        <w:rPr>
          <w:rFonts w:hint="eastAsia" w:ascii="Calibri" w:hAnsi="Calibri" w:eastAsia="仿宋_GB2312" w:cs="Times New Roman"/>
          <w:sz w:val="32"/>
          <w:szCs w:val="32"/>
        </w:rPr>
        <w:t>区域内包括广东阳春鹅凰嶂地方级自然保护区、云雾山南麓</w:t>
      </w:r>
      <w:bookmarkStart w:id="66" w:name="_GoBack"/>
      <w:bookmarkEnd w:id="66"/>
      <w:r>
        <w:rPr>
          <w:rFonts w:hint="eastAsia" w:ascii="Calibri" w:hAnsi="Calibri" w:eastAsia="仿宋_GB2312" w:cs="Times New Roman"/>
          <w:sz w:val="32"/>
          <w:szCs w:val="32"/>
        </w:rPr>
        <w:t>及潭水河、八甲河等水系，主要保护对象是华南地区热带北缘季雨林和山地雨林为主体的森林生态系统。区域内存在猪血木、大果五加、绿球茜草等多种珍稀濒危植物及蟒蛇、巨蜥、平胸龟等国家一、二级保护动物。</w:t>
      </w:r>
    </w:p>
    <w:p w14:paraId="6C55D921">
      <w:pPr>
        <w:spacing w:line="600" w:lineRule="exact"/>
        <w:ind w:firstLine="643" w:firstLineChars="200"/>
        <w:rPr>
          <w:rFonts w:ascii="Calibri" w:hAnsi="Calibri" w:eastAsia="仿宋_GB2312" w:cs="Times New Roman"/>
          <w:b/>
          <w:bCs/>
          <w:sz w:val="32"/>
          <w:szCs w:val="32"/>
        </w:rPr>
      </w:pPr>
      <w:r>
        <w:rPr>
          <w:rFonts w:hint="eastAsia" w:ascii="Calibri" w:hAnsi="Calibri" w:eastAsia="仿宋_GB2312" w:cs="Times New Roman"/>
          <w:b/>
          <w:bCs/>
          <w:sz w:val="32"/>
          <w:szCs w:val="32"/>
        </w:rPr>
        <w:t>主要生态问题：</w:t>
      </w:r>
      <w:r>
        <w:rPr>
          <w:rFonts w:hint="eastAsia" w:ascii="Calibri" w:hAnsi="Calibri" w:eastAsia="仿宋_GB2312" w:cs="Times New Roman"/>
          <w:sz w:val="32"/>
          <w:szCs w:val="32"/>
        </w:rPr>
        <w:t>区域范围内森林火灾风险较大，同时存在一定的外来入侵物种风险，森林生态系统的稳定性和可持续性面临挑战。同时由于城市开发建设和农业扩张的因素，对局部地区的土壤和水系产生一定的潜在污染影响。</w:t>
      </w:r>
    </w:p>
    <w:p w14:paraId="2A383E12">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重点任务：</w:t>
      </w:r>
      <w:r>
        <w:rPr>
          <w:rFonts w:hint="eastAsia" w:ascii="Calibri" w:hAnsi="Calibri" w:eastAsia="仿宋_GB2312" w:cs="Times New Roman"/>
          <w:sz w:val="32"/>
          <w:szCs w:val="32"/>
        </w:rPr>
        <w:t>持续开展生态监测，强化对濒危珍稀动植物的保护。加强对古树名木的生境和长势监管监测，及时进行病虫害防治。结合周边社区开展森林防灭火工作，开展薇甘菊等外来入侵物种清理，推动地带性森林植被带维育。加强区域范围内河流水系的水生态保护，保障生态通道。</w:t>
      </w:r>
    </w:p>
    <w:p w14:paraId="5D16B37E">
      <w:pPr>
        <w:pStyle w:val="4"/>
        <w:spacing w:before="0" w:after="0" w:line="600" w:lineRule="exact"/>
        <w:ind w:firstLine="643" w:firstLineChars="200"/>
        <w:rPr>
          <w:rFonts w:ascii="仿宋_GB2312" w:hAnsi="Calibri" w:eastAsia="仿宋_GB2312" w:cs="Times New Roman"/>
        </w:rPr>
      </w:pPr>
      <w:r>
        <w:rPr>
          <w:rFonts w:hint="eastAsia" w:ascii="仿宋_GB2312" w:hAnsi="Calibri" w:eastAsia="仿宋_GB2312" w:cs="Times New Roman"/>
        </w:rPr>
        <w:t>四、漠阳江中游保护修复区</w:t>
      </w:r>
    </w:p>
    <w:p w14:paraId="1C9B573B">
      <w:pPr>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区域范围：</w:t>
      </w:r>
      <w:r>
        <w:rPr>
          <w:rFonts w:ascii="Times New Roman" w:hAnsi="Times New Roman" w:eastAsia="仿宋_GB2312" w:cs="Times New Roman"/>
          <w:sz w:val="32"/>
          <w:szCs w:val="32"/>
        </w:rPr>
        <w:t>主要位于阳江市中部、漠阳江中游区域，包括阳春市河口镇、岗美镇、阳东区塘坪镇、红丰镇及江城区双捷镇等5个镇，面积约826平方公里。</w:t>
      </w:r>
    </w:p>
    <w:p w14:paraId="62815B25">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区域概况：</w:t>
      </w:r>
      <w:r>
        <w:rPr>
          <w:rFonts w:hint="eastAsia" w:ascii="Calibri" w:hAnsi="Calibri" w:eastAsia="仿宋_GB2312" w:cs="Times New Roman"/>
          <w:sz w:val="32"/>
          <w:szCs w:val="32"/>
        </w:rPr>
        <w:t>区域内地形相对平坦，是漠阳江通山达海的过渡区域，存在较多农田与耕地，整体耕地质量较高。作为阳江市域范围内重要的农业空间，除粮食种植外，还存在畜禽养殖、岭南特色水果、南药、花卉苗木、优质蔬菜、优质稻和油料作物等多种农业产业，是阳江市乡村振兴的潜力发展区域。</w:t>
      </w:r>
    </w:p>
    <w:p w14:paraId="7D3E98EF">
      <w:pPr>
        <w:spacing w:line="600" w:lineRule="exact"/>
        <w:ind w:firstLine="643" w:firstLineChars="200"/>
        <w:rPr>
          <w:rFonts w:ascii="Calibri" w:hAnsi="Calibri" w:eastAsia="仿宋_GB2312" w:cs="Times New Roman"/>
          <w:b/>
          <w:bCs/>
          <w:sz w:val="32"/>
          <w:szCs w:val="32"/>
        </w:rPr>
      </w:pPr>
      <w:r>
        <w:rPr>
          <w:rFonts w:hint="eastAsia" w:ascii="Calibri" w:hAnsi="Calibri" w:eastAsia="仿宋_GB2312" w:cs="Times New Roman"/>
          <w:b/>
          <w:bCs/>
          <w:sz w:val="32"/>
          <w:szCs w:val="32"/>
        </w:rPr>
        <w:t>主要生态问题：</w:t>
      </w:r>
      <w:r>
        <w:rPr>
          <w:rFonts w:hint="eastAsia" w:ascii="Calibri" w:hAnsi="Calibri" w:eastAsia="仿宋_GB2312" w:cs="Times New Roman"/>
          <w:sz w:val="32"/>
          <w:szCs w:val="32"/>
        </w:rPr>
        <w:t>区域内农作物亩均化肥用量及农药用量较高，同时受到畜禽养殖生产建设的影响，导致周边水体呈现出一定的富营养化，对漠阳江的水质造成了一定影响。农村内部土地低效闲置用地较多，人居环境有待进一步提升。</w:t>
      </w:r>
    </w:p>
    <w:p w14:paraId="6A28B110">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重点任务</w:t>
      </w:r>
      <w:r>
        <w:rPr>
          <w:rFonts w:hint="eastAsia" w:ascii="Calibri" w:hAnsi="Calibri" w:eastAsia="仿宋_GB2312" w:cs="Times New Roman"/>
          <w:sz w:val="32"/>
          <w:szCs w:val="32"/>
        </w:rPr>
        <w:t>：重点加强漠阳江两岸农用地的整治，推广生态农业和有机农业，减少化肥和农药的使用。实施农业面源污染治理，逐步清退漠阳江周边的畜禽养殖产业，保护和恢复水生生态系统。优化区域内乡村生产、生活、生态用地布局，推动农田集中成片，建设用地集约高效。</w:t>
      </w:r>
    </w:p>
    <w:p w14:paraId="1E1B985C">
      <w:pPr>
        <w:pStyle w:val="4"/>
        <w:spacing w:before="0" w:after="0" w:line="600" w:lineRule="exact"/>
        <w:ind w:firstLine="643" w:firstLineChars="200"/>
        <w:rPr>
          <w:rFonts w:ascii="仿宋_GB2312" w:hAnsi="Calibri" w:eastAsia="仿宋_GB2312" w:cs="Times New Roman"/>
        </w:rPr>
      </w:pPr>
      <w:r>
        <w:rPr>
          <w:rFonts w:hint="eastAsia" w:ascii="仿宋_GB2312" w:hAnsi="Calibri" w:eastAsia="仿宋_GB2312" w:cs="Times New Roman"/>
        </w:rPr>
        <w:t>五、中部城镇生态品质提升区</w:t>
      </w:r>
    </w:p>
    <w:p w14:paraId="4D06AEB0">
      <w:pPr>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区域范围：</w:t>
      </w:r>
      <w:r>
        <w:rPr>
          <w:rFonts w:ascii="Times New Roman" w:hAnsi="Times New Roman" w:eastAsia="仿宋_GB2312" w:cs="Times New Roman"/>
          <w:sz w:val="32"/>
          <w:szCs w:val="32"/>
        </w:rPr>
        <w:t>主要位于阳江市中心城区及其周边区域，漠阳江下游及入海区域。包括阳东区雅韶镇、东城镇、北惯镇及江城区埠场镇、平冈镇、岗列街道、白沙街道、南恩街道、中洲街道、城东街道、城西街道、城南街道、城北街道等13个镇（街），面积约779平方公里。</w:t>
      </w:r>
    </w:p>
    <w:p w14:paraId="5BB3B341">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区域概况：</w:t>
      </w:r>
      <w:r>
        <w:rPr>
          <w:rFonts w:hint="eastAsia" w:ascii="Calibri" w:hAnsi="Calibri" w:eastAsia="仿宋_GB2312" w:cs="Times New Roman"/>
          <w:sz w:val="32"/>
          <w:szCs w:val="32"/>
        </w:rPr>
        <w:t>该区域包括漠阳江入海口、那龙江下游、罗琴山等典型生态地区，生态要素丰富，是全市人口最为集中的地区，人地矛盾较为凸显，生态环境保护压力较大。</w:t>
      </w:r>
    </w:p>
    <w:p w14:paraId="56BDCFFA">
      <w:pPr>
        <w:spacing w:line="600" w:lineRule="exact"/>
        <w:ind w:firstLine="643" w:firstLineChars="200"/>
        <w:rPr>
          <w:rFonts w:ascii="Calibri" w:hAnsi="Calibri" w:eastAsia="仿宋_GB2312" w:cs="Times New Roman"/>
          <w:b/>
          <w:bCs/>
          <w:sz w:val="32"/>
          <w:szCs w:val="32"/>
        </w:rPr>
      </w:pPr>
      <w:r>
        <w:rPr>
          <w:rFonts w:hint="eastAsia" w:ascii="Calibri" w:hAnsi="Calibri" w:eastAsia="仿宋_GB2312" w:cs="Times New Roman"/>
          <w:b/>
          <w:bCs/>
          <w:sz w:val="32"/>
          <w:szCs w:val="32"/>
        </w:rPr>
        <w:t>主要生态问题：</w:t>
      </w:r>
      <w:r>
        <w:rPr>
          <w:rFonts w:hint="eastAsia" w:ascii="Calibri" w:hAnsi="Calibri" w:eastAsia="仿宋_GB2312" w:cs="Times New Roman"/>
          <w:sz w:val="32"/>
          <w:szCs w:val="32"/>
        </w:rPr>
        <w:t>由于城市化的不断发展，城市生态空间受到一定挤压，建成区绿化覆盖率存在一定不足。包括马南河、三江涌、新阳河等河涌水系在内，水质环境较差，存在水体发臭发黑等现象。同时，由于自然因素（如风暴潮）和人类活动（如水利工程、城市发展等）的共同影响，漠阳江入海口存在一定的海岸侵蚀以及洪涝灾害的风险。</w:t>
      </w:r>
    </w:p>
    <w:p w14:paraId="3B6489D1">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重点任务：</w:t>
      </w:r>
      <w:r>
        <w:rPr>
          <w:rFonts w:hint="eastAsia" w:ascii="Calibri" w:hAnsi="Calibri" w:eastAsia="仿宋_GB2312" w:cs="Times New Roman"/>
          <w:sz w:val="32"/>
          <w:szCs w:val="32"/>
        </w:rPr>
        <w:t>重点改善提升城镇人居环境品质，结合绿地系统布局优化、公共活动空间改造提升等方式，完善城镇绿色网络体系。开展中心城区及其周边区域水污染整治修复，进一步完善市区排涝系统，改善城镇水环境。结合漠阳江入海口综合整治工程，在提升区域防洪排涝能力的同时，进行水生态修复和水环境整治，构建和谐的水生态环境体系。</w:t>
      </w:r>
    </w:p>
    <w:p w14:paraId="0E8C6250">
      <w:pPr>
        <w:pStyle w:val="4"/>
        <w:spacing w:before="0" w:after="0" w:line="600" w:lineRule="exact"/>
        <w:ind w:firstLine="643" w:firstLineChars="200"/>
        <w:rPr>
          <w:rFonts w:ascii="仿宋_GB2312" w:hAnsi="Calibri" w:eastAsia="仿宋_GB2312" w:cs="Times New Roman"/>
        </w:rPr>
      </w:pPr>
      <w:r>
        <w:rPr>
          <w:rFonts w:hint="eastAsia" w:ascii="仿宋_GB2312" w:hAnsi="Calibri" w:eastAsia="仿宋_GB2312" w:cs="Times New Roman"/>
        </w:rPr>
        <w:t>六、阳西生态保护修复提升区</w:t>
      </w:r>
    </w:p>
    <w:p w14:paraId="169B05EB">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区域范围：</w:t>
      </w:r>
      <w:r>
        <w:rPr>
          <w:rFonts w:hint="eastAsia" w:ascii="Calibri" w:hAnsi="Calibri" w:eastAsia="仿宋_GB2312" w:cs="Times New Roman"/>
          <w:sz w:val="32"/>
          <w:szCs w:val="32"/>
        </w:rPr>
        <w:t>阳西生态保护修复提升区为阳西县全域，包括</w:t>
      </w:r>
      <w:r>
        <w:rPr>
          <w:rFonts w:ascii="Times New Roman" w:hAnsi="Times New Roman" w:eastAsia="仿宋_GB2312" w:cs="Times New Roman"/>
          <w:sz w:val="32"/>
          <w:szCs w:val="32"/>
        </w:rPr>
        <w:t>阳西县织</w:t>
      </w:r>
      <w:r>
        <w:rPr>
          <w:rFonts w:hint="eastAsia" w:ascii="微软雅黑" w:hAnsi="微软雅黑" w:eastAsia="微软雅黑" w:cs="微软雅黑"/>
          <w:sz w:val="32"/>
          <w:szCs w:val="32"/>
        </w:rPr>
        <w:t>篢</w:t>
      </w:r>
      <w:r>
        <w:rPr>
          <w:rFonts w:hint="eastAsia" w:ascii="仿宋_GB2312" w:hAnsi="仿宋_GB2312" w:eastAsia="仿宋_GB2312" w:cs="仿宋_GB2312"/>
          <w:sz w:val="32"/>
          <w:szCs w:val="32"/>
        </w:rPr>
        <w:t>镇</w:t>
      </w:r>
      <w:r>
        <w:rPr>
          <w:rFonts w:ascii="Times New Roman" w:hAnsi="Times New Roman" w:eastAsia="仿宋_GB2312" w:cs="Times New Roman"/>
          <w:sz w:val="32"/>
          <w:szCs w:val="32"/>
        </w:rPr>
        <w:t>、程村镇、儒洞镇、沙扒镇、上洋镇、塘口镇、溪头镇、新圩镇等8个镇及周边海岛，面积约1442平方公里。</w:t>
      </w:r>
    </w:p>
    <w:p w14:paraId="7FC4CF3A">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区域概况：</w:t>
      </w:r>
      <w:r>
        <w:rPr>
          <w:rFonts w:hint="eastAsia" w:ascii="Calibri" w:hAnsi="Calibri" w:eastAsia="仿宋_GB2312" w:cs="Times New Roman"/>
          <w:sz w:val="32"/>
          <w:szCs w:val="32"/>
        </w:rPr>
        <w:t>该区域是阳江市范围内唯一独立于漠阳江流域之外的地区。独特的地理位置使得该区域存在森林、湿地、海洋等多种自然生态要素，其中包括程村湾、龙高山、月亮湾等重要生态源地，是全市生态系统多样性最为突出的地区。</w:t>
      </w:r>
    </w:p>
    <w:p w14:paraId="4D51B52D">
      <w:pPr>
        <w:spacing w:line="600" w:lineRule="exact"/>
        <w:ind w:firstLine="643" w:firstLineChars="200"/>
        <w:rPr>
          <w:rFonts w:ascii="Calibri" w:hAnsi="Calibri" w:eastAsia="仿宋_GB2312" w:cs="Times New Roman"/>
          <w:b/>
          <w:bCs/>
          <w:sz w:val="32"/>
          <w:szCs w:val="32"/>
        </w:rPr>
      </w:pPr>
      <w:r>
        <w:rPr>
          <w:rFonts w:hint="eastAsia" w:ascii="Calibri" w:hAnsi="Calibri" w:eastAsia="仿宋_GB2312" w:cs="Times New Roman"/>
          <w:b/>
          <w:bCs/>
          <w:sz w:val="32"/>
          <w:szCs w:val="32"/>
        </w:rPr>
        <w:t>主要生态问题：</w:t>
      </w:r>
      <w:r>
        <w:rPr>
          <w:rFonts w:hint="eastAsia" w:ascii="Calibri" w:hAnsi="Calibri" w:eastAsia="仿宋_GB2312" w:cs="Times New Roman"/>
          <w:sz w:val="32"/>
          <w:szCs w:val="32"/>
        </w:rPr>
        <w:t>区域范围内工业的不断发展带来</w:t>
      </w:r>
      <w:r>
        <w:rPr>
          <w:rFonts w:hint="eastAsia" w:ascii="仿宋_GB2312" w:hAnsi="仿宋_GB2312" w:eastAsia="仿宋_GB2312" w:cs="仿宋_GB2312"/>
          <w:sz w:val="32"/>
          <w:szCs w:val="32"/>
        </w:rPr>
        <w:t>了周边土壤污染风险，也</w:t>
      </w:r>
      <w:r>
        <w:rPr>
          <w:rFonts w:hint="eastAsia" w:ascii="Calibri" w:hAnsi="Calibri" w:eastAsia="仿宋_GB2312" w:cs="Times New Roman"/>
          <w:sz w:val="32"/>
          <w:szCs w:val="32"/>
        </w:rPr>
        <w:t>对周边儒洞河、丰头河及织</w:t>
      </w:r>
      <w:r>
        <w:rPr>
          <w:rFonts w:hint="eastAsia" w:ascii="微软雅黑" w:hAnsi="微软雅黑" w:eastAsia="微软雅黑" w:cs="微软雅黑"/>
          <w:sz w:val="32"/>
          <w:szCs w:val="32"/>
        </w:rPr>
        <w:t>篢</w:t>
      </w:r>
      <w:r>
        <w:rPr>
          <w:rFonts w:hint="eastAsia" w:ascii="仿宋_GB2312" w:hAnsi="仿宋_GB2312" w:eastAsia="仿宋_GB2312" w:cs="仿宋_GB2312"/>
          <w:sz w:val="32"/>
          <w:szCs w:val="32"/>
        </w:rPr>
        <w:t>河等河流水系的水质产生一定影响。</w:t>
      </w:r>
      <w:r>
        <w:rPr>
          <w:rFonts w:hint="eastAsia" w:ascii="Calibri" w:hAnsi="Calibri" w:eastAsia="仿宋_GB2312" w:cs="Times New Roman"/>
          <w:sz w:val="32"/>
          <w:szCs w:val="32"/>
        </w:rPr>
        <w:t>农村地区土地低效闲置用地较多，人居环境有待进一步提升。</w:t>
      </w:r>
      <w:r>
        <w:rPr>
          <w:rFonts w:hint="eastAsia" w:ascii="仿宋_GB2312" w:hAnsi="仿宋_GB2312" w:eastAsia="仿宋_GB2312" w:cs="仿宋_GB2312"/>
          <w:sz w:val="32"/>
          <w:szCs w:val="32"/>
        </w:rPr>
        <w:t>程村湾周边由于围垦和滩涂养殖，造成部分红树林宜林滩涂被占用。范围内历史遗留矿山较多，易产生土地损毁、植被破坏、山体滑坡等地质环境问题。</w:t>
      </w:r>
    </w:p>
    <w:p w14:paraId="49D8F623">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重点任务：</w:t>
      </w:r>
      <w:r>
        <w:rPr>
          <w:rFonts w:hint="eastAsia" w:ascii="Calibri" w:hAnsi="Calibri" w:eastAsia="仿宋_GB2312" w:cs="Times New Roman"/>
          <w:sz w:val="32"/>
          <w:szCs w:val="32"/>
        </w:rPr>
        <w:t>开展流域综合治理，改善区域水生态环境质量。推进违规水产养殖场清理整治，保护饮用水源地环境安全。持续开展美丽海湾建设，实施程村湾蓝色海湾综合整治项目，开展红树林保护与修复，构建水鸟生境，提升区域生物多样性。分类施策开展废弃矿山综合治理，进行历史遗留矿山的自然恢复、辅助再生、生态重建及转型利用。</w:t>
      </w:r>
    </w:p>
    <w:p w14:paraId="14BFF71F">
      <w:pPr>
        <w:pStyle w:val="4"/>
        <w:spacing w:before="0" w:after="0" w:line="600" w:lineRule="exact"/>
        <w:ind w:firstLine="643" w:firstLineChars="200"/>
        <w:rPr>
          <w:rFonts w:ascii="仿宋_GB2312" w:hAnsi="Calibri" w:eastAsia="仿宋_GB2312" w:cs="Times New Roman"/>
        </w:rPr>
      </w:pPr>
      <w:r>
        <w:rPr>
          <w:rFonts w:hint="eastAsia" w:ascii="仿宋_GB2312" w:hAnsi="Calibri" w:eastAsia="仿宋_GB2312" w:cs="Times New Roman"/>
        </w:rPr>
        <w:t>七、阳江东部保护修复提升区</w:t>
      </w:r>
    </w:p>
    <w:p w14:paraId="47EE6B72">
      <w:pPr>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区域范围：</w:t>
      </w:r>
      <w:r>
        <w:rPr>
          <w:rFonts w:ascii="Times New Roman" w:hAnsi="Times New Roman" w:eastAsia="仿宋_GB2312" w:cs="Times New Roman"/>
          <w:sz w:val="32"/>
          <w:szCs w:val="32"/>
        </w:rPr>
        <w:t>主要位于阳江市东部，阳东区的大部分范围，包括大沟镇、新洲镇、东平镇、合山镇、那龙镇等5个镇及周边海岛，面积约802平方公里。</w:t>
      </w:r>
    </w:p>
    <w:p w14:paraId="07D025FE">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区域概况：</w:t>
      </w:r>
      <w:r>
        <w:rPr>
          <w:rFonts w:hint="eastAsia" w:ascii="Calibri" w:hAnsi="Calibri" w:eastAsia="仿宋_GB2312" w:cs="Times New Roman"/>
          <w:sz w:val="32"/>
          <w:szCs w:val="32"/>
        </w:rPr>
        <w:t>区域内地形相对较为平坦，包括那龙河上游、寿长河、东湖水库、紫罗山等生态资源，湖泊湿地丰富，海岸线以自然岸线为主，拥有寿长河国家湿地自然公园、东湖湿地自然公园、东平湾森林自然公园、广东地热国家地质自然公园等多种类型的自然保护地，为诸多动植物提供了宝贵的栖息环境。</w:t>
      </w:r>
    </w:p>
    <w:p w14:paraId="0F5F45DF">
      <w:pPr>
        <w:spacing w:line="600" w:lineRule="exact"/>
        <w:ind w:firstLine="643" w:firstLineChars="200"/>
        <w:rPr>
          <w:rFonts w:ascii="Calibri" w:hAnsi="Calibri" w:eastAsia="仿宋_GB2312" w:cs="Times New Roman"/>
          <w:b/>
          <w:bCs/>
          <w:sz w:val="32"/>
          <w:szCs w:val="32"/>
        </w:rPr>
      </w:pPr>
      <w:r>
        <w:rPr>
          <w:rFonts w:hint="eastAsia" w:ascii="Calibri" w:hAnsi="Calibri" w:eastAsia="仿宋_GB2312" w:cs="Times New Roman"/>
          <w:b/>
          <w:bCs/>
          <w:sz w:val="32"/>
          <w:szCs w:val="32"/>
        </w:rPr>
        <w:t>主要生态问题：</w:t>
      </w:r>
      <w:r>
        <w:rPr>
          <w:rFonts w:hint="eastAsia" w:ascii="Calibri" w:hAnsi="Calibri" w:eastAsia="仿宋_GB2312" w:cs="Times New Roman"/>
          <w:sz w:val="32"/>
          <w:szCs w:val="32"/>
        </w:rPr>
        <w:t>区域范围内生态环境质量整体较为良好，部分河湖湿地存在面积萎缩的风险，洪水调蓄能力有所降低。那龙河周边工业废水、生活污水和农业面源污染等可能对河流生态系统造成损害。区域内自然岸线占比较高，存在被逐渐人工化改造的风险。</w:t>
      </w:r>
    </w:p>
    <w:p w14:paraId="1AA9B396">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重点任务：</w:t>
      </w:r>
      <w:r>
        <w:rPr>
          <w:rFonts w:hint="eastAsia" w:ascii="Calibri" w:hAnsi="Calibri" w:eastAsia="仿宋_GB2312" w:cs="Times New Roman"/>
          <w:sz w:val="32"/>
          <w:szCs w:val="32"/>
        </w:rPr>
        <w:t>加强东湖水库、寿长河等重要河湖湿地生态保护和综合修复，优先开展重要湿地、湿地自然保护地及水鸟生态廊道内的退化湿地生态修复，提升周边野生动植物栖息环境。</w:t>
      </w:r>
    </w:p>
    <w:p w14:paraId="4D350597">
      <w:pPr>
        <w:pStyle w:val="4"/>
        <w:spacing w:before="0" w:after="0" w:line="600" w:lineRule="exact"/>
        <w:ind w:firstLine="643" w:firstLineChars="200"/>
        <w:rPr>
          <w:rFonts w:ascii="仿宋_GB2312" w:hAnsi="Calibri" w:eastAsia="仿宋_GB2312" w:cs="Times New Roman"/>
        </w:rPr>
      </w:pPr>
      <w:r>
        <w:rPr>
          <w:rFonts w:hint="eastAsia" w:ascii="仿宋_GB2312" w:hAnsi="Calibri" w:eastAsia="仿宋_GB2312" w:cs="Times New Roman"/>
        </w:rPr>
        <w:t>八、海陵岛保护修复提升区</w:t>
      </w:r>
    </w:p>
    <w:p w14:paraId="656A4336">
      <w:pPr>
        <w:spacing w:line="600" w:lineRule="exact"/>
        <w:ind w:firstLine="643" w:firstLineChars="200"/>
        <w:rPr>
          <w:rFonts w:ascii="Times New Roman" w:hAnsi="Times New Roman" w:eastAsia="仿宋_GB2312" w:cs="Times New Roman"/>
          <w:sz w:val="32"/>
          <w:szCs w:val="32"/>
        </w:rPr>
      </w:pPr>
      <w:r>
        <w:rPr>
          <w:rFonts w:hint="eastAsia" w:ascii="Calibri" w:hAnsi="Calibri" w:eastAsia="仿宋_GB2312" w:cs="Times New Roman"/>
          <w:b/>
          <w:bCs/>
          <w:sz w:val="32"/>
          <w:szCs w:val="32"/>
        </w:rPr>
        <w:t>区域范围：</w:t>
      </w:r>
      <w:r>
        <w:rPr>
          <w:rFonts w:hint="eastAsia" w:ascii="Calibri" w:hAnsi="Calibri" w:eastAsia="仿宋_GB2312" w:cs="Times New Roman"/>
          <w:sz w:val="32"/>
          <w:szCs w:val="32"/>
        </w:rPr>
        <w:t>海陵岛保护修复提升区主要位于阳江市南部海陵岛，包括闸坡镇及周边海岛，</w:t>
      </w:r>
      <w:r>
        <w:rPr>
          <w:rFonts w:ascii="Times New Roman" w:hAnsi="Times New Roman" w:eastAsia="仿宋_GB2312" w:cs="Times New Roman"/>
          <w:sz w:val="32"/>
          <w:szCs w:val="32"/>
        </w:rPr>
        <w:t>面积约134平方公里。</w:t>
      </w:r>
    </w:p>
    <w:p w14:paraId="2043D801">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区域概况：</w:t>
      </w:r>
      <w:r>
        <w:rPr>
          <w:rFonts w:hint="eastAsia" w:ascii="Calibri" w:hAnsi="Calibri" w:eastAsia="仿宋_GB2312" w:cs="Times New Roman"/>
          <w:sz w:val="32"/>
          <w:szCs w:val="32"/>
        </w:rPr>
        <w:t>区域内由丘陵、海滨、平原和海岸滩涂地构成。存在海陵岛红树林国家湿地自然公园、海陵岛海洋自然公园、海陵飞鹅岭地方级森林公园等自然保护地，生态系统相对独立完整。</w:t>
      </w:r>
    </w:p>
    <w:p w14:paraId="76ED94B2">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主要生态问题：</w:t>
      </w:r>
      <w:r>
        <w:rPr>
          <w:rFonts w:hint="eastAsia" w:ascii="Calibri" w:hAnsi="Calibri" w:eastAsia="仿宋_GB2312" w:cs="Times New Roman"/>
          <w:sz w:val="32"/>
          <w:szCs w:val="32"/>
        </w:rPr>
        <w:t>海陵岛位于海陆相互作用较强的过渡带与敏感带，地质环境较为脆弱，极易发生山体崩塌、滑坡等地质灾害。该区域随旅游业的快速发展，包括海洋、湿地、红树林等生态系统受到人类活动的影响，存在生态环境质量下降的趋势。</w:t>
      </w:r>
    </w:p>
    <w:p w14:paraId="175EDCE1">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重点任务：</w:t>
      </w:r>
      <w:r>
        <w:rPr>
          <w:rFonts w:hint="eastAsia" w:ascii="Calibri" w:hAnsi="Calibri" w:eastAsia="仿宋_GB2312" w:cs="Times New Roman"/>
          <w:sz w:val="32"/>
          <w:szCs w:val="32"/>
        </w:rPr>
        <w:t>重点推进滨海红树林保护修复工作，发挥红树林保护海岸线、净化水质、维护生物多样性等重要功能。对地质灾害隐患点进行综合治理，并加强监测预警工作，防止其发生滑坡、泥石流等灾害。减少陆源污染物的排放，控制农业、工业和城市发展对海洋环境的影响，减少近海水质污染。</w:t>
      </w:r>
    </w:p>
    <w:p w14:paraId="2D2C0D3D">
      <w:pPr>
        <w:pStyle w:val="3"/>
        <w:spacing w:beforeLines="50" w:afterLines="50"/>
        <w:ind w:firstLine="0" w:firstLineChars="0"/>
        <w:jc w:val="center"/>
        <w:rPr>
          <w:rFonts w:ascii="楷体" w:hAnsi="楷体" w:eastAsia="楷体"/>
          <w:b/>
          <w:bCs w:val="0"/>
        </w:rPr>
      </w:pPr>
      <w:bookmarkStart w:id="18" w:name="_Toc181820170"/>
      <w:r>
        <w:rPr>
          <w:rFonts w:hint="eastAsia" w:ascii="楷体" w:hAnsi="楷体" w:eastAsia="楷体"/>
          <w:b/>
          <w:bCs w:val="0"/>
        </w:rPr>
        <w:t>第三节 生态保护修复主要任务</w:t>
      </w:r>
      <w:bookmarkEnd w:id="18"/>
    </w:p>
    <w:p w14:paraId="7735A047">
      <w:pPr>
        <w:pStyle w:val="4"/>
        <w:spacing w:before="0" w:after="0" w:line="600" w:lineRule="exact"/>
        <w:ind w:firstLine="643" w:firstLineChars="200"/>
        <w:rPr>
          <w:rFonts w:ascii="仿宋_GB2312" w:hAnsi="Calibri" w:eastAsia="仿宋_GB2312" w:cs="Times New Roman"/>
        </w:rPr>
      </w:pPr>
      <w:r>
        <w:rPr>
          <w:rFonts w:hint="eastAsia" w:ascii="仿宋_GB2312" w:hAnsi="Calibri" w:eastAsia="仿宋_GB2312" w:cs="Times New Roman"/>
        </w:rPr>
        <w:t>一、生态空间保护修复</w:t>
      </w:r>
    </w:p>
    <w:p w14:paraId="605471D0">
      <w:pPr>
        <w:spacing w:line="600" w:lineRule="exact"/>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坚持人与自然和谐共生，以自然恢复为主，人工修复为辅，严格保护生态空间。以提高生态系统多样性、稳定性、持续性为目标，严守生态保护红线，加强山水林田湖海生命共同体的整体修复，构建以“山为骨、水为脉、林为表、田为魂、海为心”的国土空间生态安全体系。以北部山林绿色生态屏障、南部海洋蓝色生态屏障和漠阳江流域生态治理为重点，推进森林保育、水源涵养、水土保持、生物多样性保护、海岸带生态保护修复等任务，确保生态本底安全。</w:t>
      </w:r>
    </w:p>
    <w:p w14:paraId="53E39344">
      <w:pPr>
        <w:pStyle w:val="4"/>
        <w:spacing w:before="0" w:after="0" w:line="600" w:lineRule="exact"/>
        <w:ind w:firstLine="643" w:firstLineChars="200"/>
        <w:rPr>
          <w:rFonts w:ascii="仿宋_GB2312" w:hAnsi="Calibri" w:eastAsia="仿宋_GB2312" w:cs="Times New Roman"/>
        </w:rPr>
      </w:pPr>
      <w:r>
        <w:rPr>
          <w:rFonts w:hint="eastAsia" w:ascii="仿宋_GB2312" w:hAnsi="Calibri" w:eastAsia="仿宋_GB2312" w:cs="Times New Roman"/>
        </w:rPr>
        <w:t>二、农业空间修复整治</w:t>
      </w:r>
    </w:p>
    <w:p w14:paraId="47D2CF6D">
      <w:pPr>
        <w:spacing w:line="600" w:lineRule="exact"/>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以全域土地综合整治为抓手，优化乡村生产、生活、生态布局，促进农田集中成片、建设用地集约高效、田园生态景观品质提升。重点推进阳西海水养殖、阳东农产品加工、阳春粮食生产、江城都市农业的发展布局，推动农业生产提质增效。加强农业面源污染防治，推进畜禽养殖废弃物资源化利用、农药化肥使用零增长和土壤污染防治行动。持续推进“千村示范、万村整治”工程，全域推进农村人居环境整治，建设生态宜居美丽乡村。</w:t>
      </w:r>
    </w:p>
    <w:p w14:paraId="514B5520">
      <w:pPr>
        <w:pStyle w:val="4"/>
        <w:spacing w:before="0" w:after="0" w:line="600" w:lineRule="exact"/>
        <w:ind w:firstLine="643" w:firstLineChars="200"/>
        <w:rPr>
          <w:rFonts w:ascii="仿宋_GB2312" w:hAnsi="Calibri" w:eastAsia="仿宋_GB2312" w:cs="Times New Roman"/>
        </w:rPr>
      </w:pPr>
      <w:r>
        <w:rPr>
          <w:rFonts w:hint="eastAsia" w:ascii="仿宋_GB2312" w:hAnsi="Calibri" w:eastAsia="仿宋_GB2312" w:cs="Times New Roman"/>
        </w:rPr>
        <w:t>三、城镇空间生态提质</w:t>
      </w:r>
    </w:p>
    <w:p w14:paraId="4D00B5B0">
      <w:pPr>
        <w:spacing w:line="600" w:lineRule="exact"/>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聚焦阳江中心城区城市生态品质提升，顺应自然地理格局，让生态融入城镇，形成生态、景观、休闲功能有机结合的城镇空间。保护修复城市水网系统，连通城市周边河湖水系，推进城市湿地建设；修复完善城市绿地系统，加强美丽海湾及城市沿江、滨海绿道、碧道建设，营造滨海特色魅力开敞空间。增强城市生态系统韧性，提升城市人居生态品质。</w:t>
      </w:r>
    </w:p>
    <w:p w14:paraId="7659F324">
      <w:pPr>
        <w:pStyle w:val="4"/>
        <w:spacing w:before="0" w:after="0" w:line="600" w:lineRule="exact"/>
        <w:ind w:firstLine="643" w:firstLineChars="200"/>
        <w:rPr>
          <w:rFonts w:ascii="Calibri" w:hAnsi="Calibri" w:eastAsia="仿宋_GB2312" w:cs="Times New Roman"/>
        </w:rPr>
      </w:pPr>
      <w:r>
        <w:rPr>
          <w:rFonts w:hint="eastAsia" w:ascii="仿宋_GB2312" w:hAnsi="Calibri" w:eastAsia="仿宋_GB2312" w:cs="Times New Roman"/>
        </w:rPr>
        <w:t>四、重要生态廊道和生物多样性网络构建</w:t>
      </w:r>
    </w:p>
    <w:p w14:paraId="17E5B76B">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支撑阳江生态廊道保护和修复。</w:t>
      </w:r>
      <w:r>
        <w:rPr>
          <w:rFonts w:hint="eastAsia" w:ascii="Calibri" w:hAnsi="Calibri" w:eastAsia="仿宋_GB2312" w:cs="Times New Roman"/>
          <w:sz w:val="32"/>
          <w:szCs w:val="32"/>
        </w:rPr>
        <w:t>顺应广东省域生态廊道骨架结构，落实漠阳江生态廊道、云雾山脉生态廊道、海岸带生态廊道等区域级生态廊道结构与走向。推进漠阳江流域干支流周边造林绿化建设，推进生态护岸建设，持续恢复和提升河滨带自然生态系统。加大南亚热带季风常绿阔叶林保护修复力度，开展水土流失生态治理。加强海岸带沿线水鸟栖息地建设，推动生物多样性保护与提升，形成通山达海、功能复合的网络化水生态廊道。</w:t>
      </w:r>
    </w:p>
    <w:p w14:paraId="1FE4087E">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完善市域蓝绿空间生态网络建设。</w:t>
      </w:r>
      <w:r>
        <w:rPr>
          <w:rFonts w:hint="eastAsia" w:ascii="Calibri" w:hAnsi="Calibri" w:eastAsia="仿宋_GB2312" w:cs="Times New Roman"/>
          <w:sz w:val="32"/>
          <w:szCs w:val="32"/>
        </w:rPr>
        <w:t>通过山体、水网、绿道等生态廊道串联全市重要湿地、森林、农田、公园绿地等生态空间，构建蓝绿交织、亲近自然的市域生态网络。以漠阳江、丰头河、儒洞河等水系生态廊道及云雾山、天露山等山林生态廊道为支撑，修复市域生态保护修复格局中断裂、堵滞的生态廊道和节点。以鸳鸯湖、燕山湖等水系空间和金鸡岭、竹篙山等山林空间为重点，联通城市绿道、碧道等线性网络，加强城区内部蓝绿空间与外围大尺度开敞空间的联系，将自然引入城市。</w:t>
      </w:r>
    </w:p>
    <w:p w14:paraId="6F7A7AC4">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加强多类型生物迁移廊道保护。</w:t>
      </w:r>
      <w:r>
        <w:rPr>
          <w:rFonts w:hint="eastAsia" w:ascii="Calibri" w:hAnsi="Calibri" w:eastAsia="仿宋_GB2312" w:cs="Times New Roman"/>
          <w:sz w:val="32"/>
          <w:szCs w:val="32"/>
        </w:rPr>
        <w:t>面向城市、郊野等不同地区生物栖息特点，统筹考虑候鸟迁飞、鱼类洄游、动物迁徙等生态过程，构建与生物多样性保护相适宜的生物廊道环境。在城市集中建设区域侧重以城市绿道与河流水系为主体，以线性生态廊道两旁的植物绿化空间为重点改造对象，完善植物群落种植结构，营造适宜生物生存、交流的栖息生境；在郊野地区重点推进河流、湖泊、湿地、耕地、森林的统筹保护，将生物廊道的修复与河流水系、生态林带的建设充分衔接，适当预留生物通道，形成布局合理、范围适宜的迁移路径。</w:t>
      </w:r>
      <w:r>
        <w:rPr>
          <w:rFonts w:ascii="Calibri" w:hAnsi="Calibri" w:eastAsia="仿宋_GB2312" w:cs="Times New Roman"/>
          <w:sz w:val="32"/>
          <w:szCs w:val="32"/>
        </w:rPr>
        <w:br w:type="page"/>
      </w:r>
    </w:p>
    <w:p w14:paraId="048471F4">
      <w:pPr>
        <w:pStyle w:val="2"/>
        <w:pageBreakBefore w:val="0"/>
        <w:numPr>
          <w:ilvl w:val="0"/>
          <w:numId w:val="1"/>
        </w:numPr>
        <w:spacing w:line="240" w:lineRule="auto"/>
        <w:rPr>
          <w:rFonts w:ascii="宋体" w:hAnsi="宋体" w:eastAsia="宋体" w:cs="方正小标宋简体"/>
          <w:b/>
          <w:bCs/>
          <w:sz w:val="40"/>
          <w:szCs w:val="40"/>
        </w:rPr>
      </w:pPr>
      <w:bookmarkStart w:id="19" w:name="_Toc181820171"/>
      <w:r>
        <w:rPr>
          <w:rFonts w:hint="eastAsia" w:ascii="宋体" w:hAnsi="宋体" w:eastAsia="宋体" w:cs="方正小标宋简体"/>
          <w:b/>
          <w:bCs/>
          <w:sz w:val="40"/>
          <w:szCs w:val="40"/>
        </w:rPr>
        <w:t>推进重要生态空间保护修复</w:t>
      </w:r>
      <w:bookmarkEnd w:id="19"/>
    </w:p>
    <w:p w14:paraId="6FE90D75">
      <w:pPr>
        <w:spacing w:beforeLines="100" w:line="600" w:lineRule="exact"/>
        <w:ind w:firstLine="640" w:firstLineChars="200"/>
        <w:rPr>
          <w:rFonts w:ascii="楷体" w:hAnsi="楷体" w:eastAsia="楷体"/>
          <w:bCs/>
        </w:rPr>
      </w:pPr>
      <w:r>
        <w:rPr>
          <w:rFonts w:hint="eastAsia" w:ascii="Calibri" w:hAnsi="Calibri" w:eastAsia="仿宋_GB2312" w:cs="Times New Roman"/>
          <w:sz w:val="32"/>
          <w:szCs w:val="32"/>
        </w:rPr>
        <w:t>坚持生态保护和自然恢复为主，统筹山水林田湖海系统修复，全面提高阳江市生态系统质量、完善生态服务功能、保障生态安全。以北部云雾山脉、天露山脉、南部海湾群岛、漠阳江生态走廊为生态修复的重点区域，筑牢山海生态屏障，聚焦护林、保水和生物多样性提升等方面部署生态保护修复的重点任务，夯实美丽阳江的生态根基。</w:t>
      </w:r>
    </w:p>
    <w:p w14:paraId="31B0478D">
      <w:pPr>
        <w:pStyle w:val="3"/>
        <w:spacing w:beforeLines="50" w:afterLines="50"/>
        <w:ind w:firstLine="0" w:firstLineChars="0"/>
        <w:jc w:val="center"/>
        <w:rPr>
          <w:rFonts w:ascii="楷体" w:hAnsi="楷体" w:eastAsia="楷体"/>
          <w:b/>
          <w:bCs w:val="0"/>
        </w:rPr>
      </w:pPr>
      <w:bookmarkStart w:id="20" w:name="_Toc181820172"/>
      <w:r>
        <w:rPr>
          <w:rFonts w:hint="eastAsia" w:ascii="楷体" w:hAnsi="楷体" w:eastAsia="楷体"/>
          <w:b/>
          <w:bCs w:val="0"/>
        </w:rPr>
        <w:t>第一节 北部绿色山林生态屏障保护和修复</w:t>
      </w:r>
      <w:bookmarkEnd w:id="20"/>
    </w:p>
    <w:p w14:paraId="724B3C50">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一矿一策，推进历史遗留矿山生态修复。</w:t>
      </w:r>
      <w:r>
        <w:rPr>
          <w:rFonts w:hint="eastAsia" w:ascii="Calibri" w:hAnsi="Calibri" w:eastAsia="仿宋_GB2312" w:cs="Times New Roman"/>
          <w:sz w:val="32"/>
          <w:szCs w:val="32"/>
        </w:rPr>
        <w:t>基于阳江市自然地理条件和土地开发适宜性情况，针对阳江市尚未开展恢复治理工</w:t>
      </w:r>
      <w:r>
        <w:rPr>
          <w:rFonts w:ascii="Times New Roman" w:hAnsi="Times New Roman" w:eastAsia="仿宋_GB2312" w:cs="Times New Roman"/>
          <w:sz w:val="32"/>
          <w:szCs w:val="32"/>
        </w:rPr>
        <w:t>作的46处历史遗留矿山</w:t>
      </w:r>
      <w:r>
        <w:rPr>
          <w:rFonts w:hint="eastAsia" w:ascii="Calibri" w:hAnsi="Calibri" w:eastAsia="仿宋_GB2312" w:cs="Times New Roman"/>
          <w:sz w:val="32"/>
          <w:szCs w:val="32"/>
        </w:rPr>
        <w:t>，以“自然恢复、辅助再生、生态重建、转型利用”等方式实施生态修复治理，恢复地表植被生境，探索推动修复地块开发再利用方式。</w:t>
      </w:r>
    </w:p>
    <w:p w14:paraId="41CBE241">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实施重点区域水土保育，开展水土流失与地质灾害综合治理。</w:t>
      </w:r>
      <w:r>
        <w:rPr>
          <w:rFonts w:hint="eastAsia" w:ascii="Calibri" w:hAnsi="Calibri" w:eastAsia="仿宋_GB2312" w:cs="Times New Roman"/>
          <w:sz w:val="32"/>
          <w:szCs w:val="32"/>
        </w:rPr>
        <w:t>以流域为单元，因地制宜采取稳固边坡、退耕还林还草等水土流失综合治理措施，</w:t>
      </w:r>
      <w:r>
        <w:rPr>
          <w:rFonts w:hint="eastAsia" w:ascii="Times New Roman" w:hAnsi="Times New Roman" w:eastAsia="仿宋_GB2312" w:cs="Times New Roman"/>
          <w:sz w:val="32"/>
          <w:szCs w:val="32"/>
        </w:rPr>
        <w:t>到2</w:t>
      </w:r>
      <w:r>
        <w:rPr>
          <w:rFonts w:ascii="Times New Roman" w:hAnsi="Times New Roman" w:eastAsia="仿宋_GB2312" w:cs="Times New Roman"/>
          <w:sz w:val="32"/>
          <w:szCs w:val="32"/>
        </w:rPr>
        <w:t>025</w:t>
      </w:r>
      <w:r>
        <w:rPr>
          <w:rFonts w:hint="eastAsia" w:ascii="Times New Roman" w:hAnsi="Times New Roman" w:eastAsia="仿宋_GB2312" w:cs="Times New Roman"/>
          <w:sz w:val="32"/>
          <w:szCs w:val="32"/>
        </w:rPr>
        <w:t>年全市水土保持率达到</w:t>
      </w:r>
      <w:r>
        <w:rPr>
          <w:rFonts w:ascii="Times New Roman" w:hAnsi="Times New Roman" w:eastAsia="仿宋_GB2312" w:cs="Times New Roman"/>
          <w:sz w:val="32"/>
          <w:szCs w:val="32"/>
        </w:rPr>
        <w:t>92.01%</w:t>
      </w:r>
      <w:r>
        <w:rPr>
          <w:rFonts w:hint="eastAsia" w:ascii="Times New Roman" w:hAnsi="Times New Roman" w:eastAsia="仿宋_GB2312" w:cs="Times New Roman"/>
          <w:sz w:val="32"/>
          <w:szCs w:val="32"/>
        </w:rPr>
        <w:t>以上。全面强化人为水土流失监管，减少采矿、修路、坡耕地开垦等人为活动带来的地表扰动和植被损害，及时采取水土保持措施，有效控制潜在水土流失灾害风险。推进滑坡、泥石流、崩塌、地面塌陷等地质灾害隐患点综合治理，通过工程治理、专业监测等综合治理措施，重点组织实施6处大型地质灾害隐患点避险工程治理，有序开展21处</w:t>
      </w:r>
      <w:r>
        <w:rPr>
          <w:rFonts w:hint="eastAsia" w:ascii="Calibri" w:hAnsi="Calibri" w:eastAsia="仿宋_GB2312" w:cs="Times New Roman"/>
          <w:sz w:val="32"/>
          <w:szCs w:val="32"/>
        </w:rPr>
        <w:t>中、小型地质灾害隐患点综合防治，加强对新增地质灾害隐患点的综合治理，做到监测先行，能消尽消。</w:t>
      </w:r>
    </w:p>
    <w:p w14:paraId="1EDE145D">
      <w:pPr>
        <w:spacing w:line="600" w:lineRule="exact"/>
        <w:ind w:firstLine="643" w:firstLineChars="200"/>
      </w:pPr>
      <w:r>
        <w:rPr>
          <w:rFonts w:hint="eastAsia" w:ascii="Calibri" w:hAnsi="Calibri" w:eastAsia="仿宋_GB2312" w:cs="Times New Roman"/>
          <w:b/>
          <w:bCs/>
          <w:sz w:val="32"/>
          <w:szCs w:val="32"/>
        </w:rPr>
        <w:t>推动森林整体提质，提升生态功能与碳汇能力。</w:t>
      </w:r>
      <w:r>
        <w:rPr>
          <w:rFonts w:hint="eastAsia" w:ascii="Calibri" w:hAnsi="Calibri" w:eastAsia="仿宋_GB2312" w:cs="Times New Roman"/>
          <w:sz w:val="32"/>
          <w:szCs w:val="32"/>
        </w:rPr>
        <w:t>结合森林资源调查成果，因地制宜开展低质低效林林分改造、中幼林抚育、等生态修复工作，整体提升市域森林质量与生物多样性水平。实施森林质量精准提升工程，在云雾山脉、天露山脉针对低质低效林开展补植管护改造工作，对区域内林木品质不佳、地带性植被不明显的林分以及低效桉树林、低效纯松林等，通过疏伐、间伐清除非目的性树种，补植乡土阔叶树种和珍贵树种，重点保护天然林、珍稀濒危植物及其生境；在东岸岭、崖鹰山、罗琴山等区域开展中幼林抚育工作，通过合理梳伐、修枝等措施，提高抚育质量，培育稳定森林生态系统。加快创建国家生态园林城市，巩固国家园林城市建设成果，鼓励县城、城镇积极创建省级园林城市。根据古树名木的濒危程度与生长状况，采取修建围栏、支撑树体、填堵树洞以及防治病虫害等措施进行保护。种植黑木相思、铁冬青、母生等苗木，建设高质量水源林。开展低产低效商品林改造工作，提升商品林质量。推进松材线虫病疫情防控工程，杜绝疫区内疫木流失和疫区间的无序、非法流动。</w:t>
      </w:r>
    </w:p>
    <w:p w14:paraId="5D306C08">
      <w:pPr>
        <w:pStyle w:val="3"/>
        <w:spacing w:beforeLines="50" w:afterLines="50"/>
        <w:ind w:firstLine="0" w:firstLineChars="0"/>
        <w:jc w:val="center"/>
        <w:rPr>
          <w:rFonts w:ascii="楷体" w:hAnsi="楷体" w:eastAsia="楷体"/>
          <w:b/>
          <w:bCs w:val="0"/>
        </w:rPr>
      </w:pPr>
      <w:bookmarkStart w:id="21" w:name="_Toc181820173"/>
      <w:r>
        <w:rPr>
          <w:rFonts w:hint="eastAsia" w:ascii="楷体" w:hAnsi="楷体" w:eastAsia="楷体"/>
          <w:b/>
          <w:bCs w:val="0"/>
        </w:rPr>
        <w:t>第二节 南部蓝色海洋生态屏障保护和修复</w:t>
      </w:r>
      <w:bookmarkEnd w:id="21"/>
    </w:p>
    <w:p w14:paraId="7ACCBEB3">
      <w:pPr>
        <w:spacing w:line="600" w:lineRule="exact"/>
        <w:ind w:firstLine="643" w:firstLineChars="200"/>
        <w:rPr>
          <w:rFonts w:ascii="Times New Roman" w:hAnsi="Times New Roman" w:eastAsia="仿宋_GB2312" w:cs="Times New Roman"/>
          <w:sz w:val="32"/>
          <w:szCs w:val="32"/>
        </w:rPr>
      </w:pPr>
      <w:r>
        <w:rPr>
          <w:rFonts w:hint="eastAsia" w:ascii="Calibri" w:hAnsi="Calibri" w:eastAsia="仿宋_GB2312" w:cs="Times New Roman"/>
          <w:b/>
          <w:bCs/>
          <w:sz w:val="32"/>
          <w:szCs w:val="32"/>
        </w:rPr>
        <w:t>强化沿海生态防护带建设，实施海岸带综合整治修复。</w:t>
      </w:r>
      <w:r>
        <w:rPr>
          <w:rFonts w:hint="eastAsia" w:ascii="Calibri" w:hAnsi="Calibri" w:eastAsia="仿宋_GB2312" w:cs="Times New Roman"/>
          <w:sz w:val="32"/>
          <w:szCs w:val="32"/>
        </w:rPr>
        <w:t>以江城浅海海洋生态自然保护区、南鹏列岛海洋生态自然保护区等</w:t>
      </w:r>
      <w:r>
        <w:rPr>
          <w:rFonts w:ascii="Calibri" w:hAnsi="Calibri" w:eastAsia="仿宋_GB2312" w:cs="Times New Roman"/>
          <w:sz w:val="32"/>
          <w:szCs w:val="32"/>
        </w:rPr>
        <w:t>自然保护</w:t>
      </w:r>
      <w:r>
        <w:rPr>
          <w:rFonts w:hint="eastAsia" w:ascii="Calibri" w:hAnsi="Calibri" w:eastAsia="仿宋_GB2312" w:cs="Times New Roman"/>
          <w:sz w:val="32"/>
          <w:szCs w:val="32"/>
        </w:rPr>
        <w:t>地</w:t>
      </w:r>
      <w:r>
        <w:rPr>
          <w:rFonts w:ascii="Calibri" w:hAnsi="Calibri" w:eastAsia="仿宋_GB2312" w:cs="Times New Roman"/>
          <w:sz w:val="32"/>
          <w:szCs w:val="32"/>
        </w:rPr>
        <w:t>为主体，构建海岸综合生态防护带，发挥抵御海洋自然灾害的生态保障功能</w:t>
      </w:r>
      <w:r>
        <w:rPr>
          <w:rFonts w:hint="eastAsia" w:ascii="Calibri" w:hAnsi="Calibri" w:eastAsia="仿宋_GB2312" w:cs="Times New Roman"/>
          <w:sz w:val="32"/>
          <w:szCs w:val="32"/>
        </w:rPr>
        <w:t>；以阳江滨海新区（阳江高新区）、阳东区东平镇允泊</w:t>
      </w:r>
      <w:r>
        <w:rPr>
          <w:rFonts w:hint="eastAsia" w:ascii="Times New Roman" w:hAnsi="Times New Roman" w:eastAsia="仿宋_GB2312" w:cs="Times New Roman"/>
          <w:sz w:val="32"/>
          <w:szCs w:val="32"/>
        </w:rPr>
        <w:t>湾（泥澳仔）2处区域为重点，开展围填海生态保护修复；以阳东寿长河至漠阳江口北津港沿岸、漠阳江口南岸至沙头咀等</w:t>
      </w:r>
      <w:r>
        <w:rPr>
          <w:rFonts w:ascii="Times New Roman" w:hAnsi="Times New Roman" w:eastAsia="仿宋_GB2312" w:cs="Times New Roman"/>
          <w:sz w:val="32"/>
          <w:szCs w:val="32"/>
        </w:rPr>
        <w:t>2处区域为重点，加强沿海基干林带及沿海纵深防护林建设，全面提高</w:t>
      </w:r>
      <w:r>
        <w:rPr>
          <w:rFonts w:hint="eastAsia" w:ascii="Times New Roman" w:hAnsi="Times New Roman" w:eastAsia="仿宋_GB2312" w:cs="Times New Roman"/>
          <w:sz w:val="32"/>
          <w:szCs w:val="32"/>
        </w:rPr>
        <w:t>阳江市</w:t>
      </w:r>
      <w:r>
        <w:rPr>
          <w:rFonts w:ascii="Times New Roman" w:hAnsi="Times New Roman" w:eastAsia="仿宋_GB2312" w:cs="Times New Roman"/>
          <w:sz w:val="32"/>
          <w:szCs w:val="32"/>
        </w:rPr>
        <w:t>沿海防护林整体建设水平</w:t>
      </w:r>
      <w:r>
        <w:rPr>
          <w:rFonts w:hint="eastAsia" w:ascii="Times New Roman" w:hAnsi="Times New Roman" w:eastAsia="仿宋_GB2312" w:cs="Times New Roman"/>
          <w:sz w:val="32"/>
          <w:szCs w:val="32"/>
        </w:rPr>
        <w:t>。</w:t>
      </w:r>
    </w:p>
    <w:p w14:paraId="0386526C">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提升滨海生态景观品质，推进美丽海湾建设。</w:t>
      </w:r>
      <w:r>
        <w:rPr>
          <w:rFonts w:hint="eastAsia" w:ascii="Calibri" w:hAnsi="Calibri" w:eastAsia="仿宋_GB2312" w:cs="Times New Roman"/>
          <w:sz w:val="32"/>
          <w:szCs w:val="32"/>
        </w:rPr>
        <w:t>打造沙扒湾、大角湾、北洛</w:t>
      </w:r>
      <w:r>
        <w:rPr>
          <w:rFonts w:hint="eastAsia" w:ascii="Times New Roman" w:hAnsi="Times New Roman" w:eastAsia="仿宋_GB2312" w:cs="Times New Roman"/>
          <w:sz w:val="32"/>
          <w:szCs w:val="32"/>
        </w:rPr>
        <w:t>湾等</w:t>
      </w:r>
      <w:r>
        <w:rPr>
          <w:rFonts w:ascii="Times New Roman" w:hAnsi="Times New Roman" w:eastAsia="仿宋_GB2312" w:cs="Times New Roman"/>
          <w:sz w:val="32"/>
          <w:szCs w:val="32"/>
        </w:rPr>
        <w:t>11处美</w:t>
      </w:r>
      <w:r>
        <w:rPr>
          <w:rFonts w:ascii="Calibri" w:hAnsi="Calibri" w:eastAsia="仿宋_GB2312" w:cs="Times New Roman"/>
          <w:sz w:val="32"/>
          <w:szCs w:val="32"/>
        </w:rPr>
        <w:t>丽海湾，重点实施海湾水质治理、环境整治、海岸带及典型生态系统的保护与修复任务</w:t>
      </w:r>
      <w:r>
        <w:rPr>
          <w:rFonts w:hint="eastAsia" w:ascii="Calibri" w:hAnsi="Calibri" w:eastAsia="仿宋_GB2312" w:cs="Times New Roman"/>
          <w:sz w:val="32"/>
          <w:szCs w:val="32"/>
        </w:rPr>
        <w:t>；连通大岗岭、龙高山、紫罗山等</w:t>
      </w:r>
      <w:r>
        <w:rPr>
          <w:rFonts w:ascii="Calibri" w:hAnsi="Calibri" w:eastAsia="仿宋_GB2312" w:cs="Times New Roman"/>
          <w:sz w:val="32"/>
          <w:szCs w:val="32"/>
        </w:rPr>
        <w:t>山脉与海岸生态</w:t>
      </w:r>
      <w:r>
        <w:rPr>
          <w:rFonts w:hint="eastAsia" w:ascii="Calibri" w:hAnsi="Calibri" w:eastAsia="仿宋_GB2312" w:cs="Times New Roman"/>
          <w:sz w:val="32"/>
          <w:szCs w:val="32"/>
        </w:rPr>
        <w:t>走廊</w:t>
      </w:r>
      <w:r>
        <w:rPr>
          <w:rFonts w:ascii="Calibri" w:hAnsi="Calibri" w:eastAsia="仿宋_GB2312" w:cs="Times New Roman"/>
          <w:sz w:val="32"/>
          <w:szCs w:val="32"/>
        </w:rPr>
        <w:t>，</w:t>
      </w:r>
      <w:r>
        <w:rPr>
          <w:rFonts w:hint="eastAsia" w:ascii="Calibri" w:hAnsi="Calibri" w:eastAsia="仿宋_GB2312" w:cs="Times New Roman"/>
          <w:sz w:val="32"/>
          <w:szCs w:val="32"/>
        </w:rPr>
        <w:t>打造“通山、达海、贯城”的生态廊道；因地制宜在东平渔港、丰头河、海陵湾、月亮湾、沙扒湾等海湾海岛打造多元特色亲海岸线，完善滨海通道、亲海设施等服务设施建设；加强海陵岛及其周边海岛生态修复、滨海红树林保护修复。</w:t>
      </w:r>
    </w:p>
    <w:p w14:paraId="1351A00B">
      <w:pPr>
        <w:spacing w:line="600" w:lineRule="exact"/>
        <w:ind w:firstLine="643" w:firstLineChars="200"/>
      </w:pPr>
      <w:r>
        <w:rPr>
          <w:rFonts w:hint="eastAsia" w:ascii="Calibri" w:hAnsi="Calibri" w:eastAsia="仿宋_GB2312" w:cs="Times New Roman"/>
          <w:b/>
          <w:sz w:val="32"/>
          <w:szCs w:val="32"/>
        </w:rPr>
        <w:t>重点推进红树林保护修复工作，塑造阳江“海上森林”生态名片。</w:t>
      </w:r>
      <w:r>
        <w:rPr>
          <w:rFonts w:hint="eastAsia" w:ascii="Calibri" w:hAnsi="Calibri" w:eastAsia="仿宋_GB2312" w:cs="Times New Roman"/>
          <w:sz w:val="32"/>
          <w:szCs w:val="32"/>
        </w:rPr>
        <w:t>以高新平冈红树林自然保护区、海陵岛红树林国家湿地公园</w:t>
      </w:r>
      <w:r>
        <w:rPr>
          <w:rFonts w:hint="eastAsia" w:ascii="Times New Roman" w:hAnsi="Times New Roman" w:eastAsia="仿宋_GB2312" w:cs="Times New Roman"/>
          <w:sz w:val="32"/>
          <w:szCs w:val="32"/>
        </w:rPr>
        <w:t>等</w:t>
      </w:r>
      <w:r>
        <w:rPr>
          <w:rFonts w:ascii="Times New Roman" w:hAnsi="Times New Roman" w:eastAsia="仿宋_GB2312" w:cs="Times New Roman"/>
          <w:sz w:val="32"/>
          <w:szCs w:val="32"/>
        </w:rPr>
        <w:t>5处区</w:t>
      </w:r>
      <w:r>
        <w:rPr>
          <w:rFonts w:ascii="Calibri" w:hAnsi="Calibri" w:eastAsia="仿宋_GB2312" w:cs="Times New Roman"/>
          <w:sz w:val="32"/>
          <w:szCs w:val="32"/>
        </w:rPr>
        <w:t>域为重点，加强沿海滩涂红树林保护修复力度</w:t>
      </w:r>
      <w:r>
        <w:rPr>
          <w:rFonts w:hint="eastAsia" w:ascii="Calibri" w:hAnsi="Calibri" w:eastAsia="仿宋_GB2312" w:cs="Times New Roman"/>
          <w:sz w:val="32"/>
          <w:szCs w:val="32"/>
        </w:rPr>
        <w:t>，修复和完善近海生物多样性，提高红树林生态防护能力</w:t>
      </w:r>
      <w:r>
        <w:rPr>
          <w:rFonts w:ascii="Calibri" w:hAnsi="Calibri" w:eastAsia="仿宋_GB2312" w:cs="Times New Roman"/>
          <w:sz w:val="32"/>
          <w:szCs w:val="32"/>
        </w:rPr>
        <w:t>。</w:t>
      </w:r>
      <w:r>
        <w:rPr>
          <w:rFonts w:hint="eastAsia" w:ascii="Calibri" w:hAnsi="Calibri" w:eastAsia="仿宋_GB2312" w:cs="Times New Roman"/>
          <w:sz w:val="32"/>
          <w:szCs w:val="32"/>
        </w:rPr>
        <w:t>以红树林营建和保护为重要抓手，探索“生态保护—指标奖励—复合养殖—生态旅游”全链条的生态价值实现模式，推动阳江红树林生态优势切实转化为经济效益。</w:t>
      </w:r>
    </w:p>
    <w:p w14:paraId="490FBD31">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对有居民海岛、无居民海岛实行分类分区管理。</w:t>
      </w:r>
      <w:r>
        <w:rPr>
          <w:rFonts w:hint="eastAsia" w:ascii="Calibri" w:hAnsi="Calibri" w:eastAsia="仿宋_GB2312" w:cs="Times New Roman"/>
          <w:sz w:val="32"/>
          <w:szCs w:val="32"/>
        </w:rPr>
        <w:t>合理控制海陵岛、丰头岛</w:t>
      </w:r>
      <w:r>
        <w:rPr>
          <w:rFonts w:hint="eastAsia" w:ascii="Times New Roman" w:hAnsi="Times New Roman" w:eastAsia="仿宋_GB2312" w:cs="Times New Roman"/>
          <w:sz w:val="32"/>
          <w:szCs w:val="32"/>
        </w:rPr>
        <w:t>、骑鳌岛3处有居民海岛的开发建设规模，严格限制在海岛沙滩建造建筑物或设施，严格限制填海连岛和改变海岛岸线，防止海岛植被退化和生物多样性降低；针对</w:t>
      </w:r>
      <w:r>
        <w:rPr>
          <w:rFonts w:ascii="Times New Roman" w:hAnsi="Times New Roman" w:eastAsia="仿宋_GB2312" w:cs="Times New Roman"/>
          <w:sz w:val="32"/>
          <w:szCs w:val="32"/>
        </w:rPr>
        <w:t>119</w:t>
      </w:r>
      <w:r>
        <w:rPr>
          <w:rFonts w:hint="eastAsia" w:ascii="Times New Roman" w:hAnsi="Times New Roman" w:eastAsia="仿宋_GB2312" w:cs="Times New Roman"/>
          <w:sz w:val="32"/>
          <w:szCs w:val="32"/>
        </w:rPr>
        <w:t>个无居民海岛，一方面限制建筑物和设施总量、高度和离岸距离，提高用岛生</w:t>
      </w:r>
      <w:r>
        <w:rPr>
          <w:rFonts w:hint="eastAsia" w:ascii="Calibri" w:hAnsi="Calibri" w:eastAsia="仿宋_GB2312" w:cs="Times New Roman"/>
          <w:sz w:val="32"/>
          <w:szCs w:val="32"/>
        </w:rPr>
        <w:t>态门槛和产业准入门槛，另一方面严格执行无居民海岛有偿使用制度，探索开展旅游、工业等经营性用岛市场化出让，规范《海岛保护法》实施前已开发利用的无居民海岛的管理。</w:t>
      </w:r>
    </w:p>
    <w:p w14:paraId="1BCD01C4">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加强漠阳江河口近海区域生态环境保护工作。</w:t>
      </w:r>
      <w:r>
        <w:rPr>
          <w:rFonts w:hint="eastAsia" w:ascii="Calibri" w:hAnsi="Calibri" w:eastAsia="仿宋_GB2312" w:cs="Times New Roman"/>
          <w:sz w:val="32"/>
          <w:szCs w:val="32"/>
        </w:rPr>
        <w:t>加快临港工业区、溪头镇等沿海中心城镇的污水处理设施建设进度；推广海洋生态养殖，限制海水养殖无序发展。</w:t>
      </w:r>
    </w:p>
    <w:p w14:paraId="3DFE07CA">
      <w:pPr>
        <w:pStyle w:val="3"/>
        <w:spacing w:beforeLines="50" w:afterLines="50"/>
        <w:ind w:firstLine="0" w:firstLineChars="0"/>
        <w:jc w:val="center"/>
        <w:rPr>
          <w:rFonts w:ascii="楷体" w:hAnsi="楷体" w:eastAsia="楷体"/>
          <w:b/>
          <w:bCs w:val="0"/>
        </w:rPr>
      </w:pPr>
      <w:bookmarkStart w:id="22" w:name="_Toc181820174"/>
      <w:r>
        <w:rPr>
          <w:rFonts w:hint="eastAsia" w:ascii="楷体" w:hAnsi="楷体" w:eastAsia="楷体"/>
          <w:b/>
          <w:bCs w:val="0"/>
        </w:rPr>
        <w:t>第三节 漠阳江生态廊道保护和修复</w:t>
      </w:r>
      <w:bookmarkEnd w:id="22"/>
    </w:p>
    <w:p w14:paraId="7799E981">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重点推进漠阳江流域水环境整治。</w:t>
      </w:r>
      <w:r>
        <w:rPr>
          <w:rFonts w:hint="eastAsia" w:ascii="Calibri" w:hAnsi="Calibri" w:eastAsia="仿宋_GB2312" w:cs="Times New Roman"/>
          <w:sz w:val="32"/>
          <w:szCs w:val="32"/>
        </w:rPr>
        <w:t>推进新兴江、三合河、那龙河、洋边河等护岸新建加固及底泥清淤工作，重点建设生风河、龙湾河、牛迳河等</w:t>
      </w:r>
      <w:r>
        <w:rPr>
          <w:rFonts w:ascii="Calibri" w:hAnsi="Calibri" w:eastAsia="仿宋_GB2312" w:cs="Times New Roman"/>
          <w:sz w:val="32"/>
          <w:szCs w:val="32"/>
        </w:rPr>
        <w:t>河道周边雨污分流管网</w:t>
      </w:r>
      <w:r>
        <w:rPr>
          <w:rFonts w:hint="eastAsia" w:ascii="Calibri" w:hAnsi="Calibri" w:eastAsia="仿宋_GB2312" w:cs="Times New Roman"/>
          <w:sz w:val="32"/>
          <w:szCs w:val="32"/>
        </w:rPr>
        <w:t>，开展控源截污、排口整治、清淤疏浚工程，对有条件的河段建设人工湿地净化系统，大力推进城镇黑臭水体治理工作。</w:t>
      </w:r>
    </w:p>
    <w:p w14:paraId="43509653">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开展中上游水库排洪扩容与水源地生态保护工作。</w:t>
      </w:r>
      <w:r>
        <w:rPr>
          <w:rFonts w:hint="eastAsia" w:ascii="Calibri" w:hAnsi="Calibri" w:eastAsia="仿宋_GB2312" w:cs="Times New Roman"/>
          <w:sz w:val="32"/>
          <w:szCs w:val="32"/>
        </w:rPr>
        <w:t>强化石河水库、茅垌水库排洪能力，提升水库沿岸生态效益。对漠阳江中上游重点排洪河道进行河道疏浚，修建护岸、桥涵，增设河岸景观生态节点，优化植被群落配置，增强漠阳江中上游河流调蓄能力以及对下游中心城区的供水保障能力。</w:t>
      </w:r>
    </w:p>
    <w:p w14:paraId="510C5845">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sz w:val="32"/>
          <w:szCs w:val="32"/>
        </w:rPr>
        <w:t>完善沿河碧道、湿地景观建设。</w:t>
      </w:r>
      <w:r>
        <w:rPr>
          <w:rFonts w:hint="eastAsia" w:ascii="Calibri" w:hAnsi="Calibri" w:eastAsia="仿宋_GB2312" w:cs="Times New Roman"/>
          <w:sz w:val="32"/>
          <w:szCs w:val="32"/>
        </w:rPr>
        <w:t>以马南河、三江涌、高排渠为重点，打造“亲水一河两岸”都市型碧道景观，完善河岸湿地修复，构建宜居宜游的滨水生态廊道。结合河流现状地形和生态特征布置海绵城市设施，因地制宜设置生态浮岛，种植水葱、香蒲等水生植物，净化水质。开展马南河生态补水工程，引漠阳江水至北湖，调节北湖水闸和马南河水闸，借助涨落潮作用增强马南河水体流动性。</w:t>
      </w:r>
    </w:p>
    <w:p w14:paraId="33757613">
      <w:pPr>
        <w:spacing w:line="600" w:lineRule="exact"/>
        <w:ind w:firstLine="640" w:firstLineChars="200"/>
        <w:rPr>
          <w:rFonts w:ascii="Calibri" w:hAnsi="Calibri" w:eastAsia="仿宋_GB2312" w:cs="Times New Roman"/>
          <w:sz w:val="32"/>
          <w:szCs w:val="32"/>
        </w:rPr>
      </w:pPr>
    </w:p>
    <w:p w14:paraId="281B568A">
      <w:pPr>
        <w:widowControl/>
        <w:jc w:val="left"/>
        <w:rPr>
          <w:rFonts w:ascii="Calibri" w:hAnsi="Calibri" w:eastAsia="仿宋_GB2312" w:cs="Times New Roman"/>
          <w:sz w:val="32"/>
          <w:szCs w:val="32"/>
        </w:rPr>
      </w:pPr>
      <w:r>
        <w:rPr>
          <w:rFonts w:ascii="Calibri" w:hAnsi="Calibri" w:eastAsia="仿宋_GB2312" w:cs="Times New Roman"/>
          <w:sz w:val="32"/>
          <w:szCs w:val="32"/>
        </w:rPr>
        <w:br w:type="page"/>
      </w:r>
    </w:p>
    <w:p w14:paraId="446759A6">
      <w:pPr>
        <w:pStyle w:val="2"/>
        <w:pageBreakBefore w:val="0"/>
        <w:numPr>
          <w:ilvl w:val="0"/>
          <w:numId w:val="1"/>
        </w:numPr>
        <w:spacing w:line="240" w:lineRule="auto"/>
        <w:rPr>
          <w:rFonts w:ascii="宋体" w:hAnsi="宋体" w:eastAsia="宋体" w:cs="方正小标宋简体"/>
          <w:b/>
          <w:bCs/>
          <w:sz w:val="40"/>
          <w:szCs w:val="40"/>
        </w:rPr>
      </w:pPr>
      <w:bookmarkStart w:id="23" w:name="_Toc181820175"/>
      <w:r>
        <w:rPr>
          <w:rFonts w:hint="eastAsia" w:ascii="宋体" w:hAnsi="宋体" w:eastAsia="宋体" w:cs="方正小标宋简体"/>
          <w:b/>
          <w:bCs/>
          <w:sz w:val="40"/>
          <w:szCs w:val="40"/>
        </w:rPr>
        <w:t>统筹农业空间保护修复</w:t>
      </w:r>
      <w:bookmarkEnd w:id="23"/>
    </w:p>
    <w:p w14:paraId="55D68865">
      <w:pPr>
        <w:spacing w:beforeLines="150" w:line="600" w:lineRule="exact"/>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深入贯彻落实创新、协调、绿色、开放、共享的发展理念，大力推进阳江市农业现代化进程。以高标准农田建设为重要抓手，优化农业生产结构和区域布局，持续夯实现代农业基础，提高农业质量效益和竞争力。与此同时，保护乡村自然山水格局，开展乡村全域土地综合整治，恢复退化土地生态功能，建设生态宜居的美丽阳江。</w:t>
      </w:r>
    </w:p>
    <w:p w14:paraId="25012354">
      <w:pPr>
        <w:pStyle w:val="3"/>
        <w:spacing w:beforeLines="50" w:afterLines="50"/>
        <w:ind w:firstLine="0" w:firstLineChars="0"/>
        <w:jc w:val="center"/>
      </w:pPr>
      <w:bookmarkStart w:id="24" w:name="_Toc181820176"/>
      <w:r>
        <w:rPr>
          <w:rFonts w:hint="eastAsia" w:ascii="楷体" w:hAnsi="楷体" w:eastAsia="楷体"/>
          <w:b/>
          <w:bCs w:val="0"/>
        </w:rPr>
        <w:t>第一节 保护修复农业生产空间</w:t>
      </w:r>
      <w:bookmarkEnd w:id="24"/>
    </w:p>
    <w:p w14:paraId="7B0E69C7">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加强漠阳江流域高标准农田建设，提升耕地质量。</w:t>
      </w:r>
      <w:r>
        <w:rPr>
          <w:rFonts w:hint="eastAsia" w:ascii="Calibri" w:hAnsi="Calibri" w:eastAsia="仿宋_GB2312" w:cs="Times New Roman"/>
          <w:sz w:val="32"/>
          <w:szCs w:val="32"/>
        </w:rPr>
        <w:t>优先在天露山及漠阳江上游保护修复区、漠阳江中游保护修复区、中部城镇生态品质提升区等修复分区范围内开展高标准农田建设。已建成高标准农田的地块，优先纳入改造提升范围。将具备条件的撂荒地纳入高标准农田建设范围。结合部分地 区农业灌溉水源不足的实际情况，因地制宜发展高效节水灌溉，防止因灌溉水源不足而导致耕地撂荒。提高高标准农田建设标准，亩均投入不低于国家标准农田建设规</w:t>
      </w:r>
      <w:r>
        <w:rPr>
          <w:rFonts w:hint="eastAsia" w:ascii="Times New Roman" w:hAnsi="Times New Roman" w:eastAsia="仿宋_GB2312" w:cs="Times New Roman"/>
          <w:sz w:val="32"/>
          <w:szCs w:val="32"/>
        </w:rPr>
        <w:t>划要求的3000元／亩</w:t>
      </w:r>
      <w:r>
        <w:rPr>
          <w:rFonts w:ascii="Times New Roman" w:hAnsi="Times New Roman"/>
        </w:rPr>
        <w:footnoteReference w:id="38"/>
      </w:r>
      <w:r>
        <w:rPr>
          <w:rFonts w:hint="eastAsia" w:ascii="Times New Roman" w:hAnsi="Times New Roman" w:eastAsia="仿宋_GB2312" w:cs="Times New Roman"/>
          <w:sz w:val="32"/>
          <w:szCs w:val="32"/>
        </w:rPr>
        <w:t>。确保到20</w:t>
      </w:r>
      <w:r>
        <w:rPr>
          <w:rFonts w:ascii="Times New Roman" w:hAnsi="Times New Roman" w:eastAsia="仿宋_GB2312" w:cs="Times New Roman"/>
          <w:sz w:val="32"/>
          <w:szCs w:val="32"/>
        </w:rPr>
        <w:t>30</w:t>
      </w:r>
      <w:r>
        <w:rPr>
          <w:rFonts w:hint="eastAsia" w:ascii="Times New Roman" w:hAnsi="Times New Roman" w:eastAsia="仿宋_GB2312" w:cs="Times New Roman"/>
          <w:sz w:val="32"/>
          <w:szCs w:val="32"/>
        </w:rPr>
        <w:t>年，累计建成高标准农田不低于138.87万亩，累计改造提升高标准农田不低于</w:t>
      </w:r>
      <w:r>
        <w:rPr>
          <w:rFonts w:ascii="Times New Roman" w:hAnsi="Times New Roman" w:eastAsia="仿宋_GB2312" w:cs="Times New Roman"/>
          <w:sz w:val="32"/>
          <w:szCs w:val="32"/>
        </w:rPr>
        <w:t>19</w:t>
      </w:r>
      <w:r>
        <w:rPr>
          <w:rFonts w:hint="eastAsia" w:ascii="Times New Roman" w:hAnsi="Times New Roman" w:eastAsia="仿宋_GB2312" w:cs="Times New Roman"/>
          <w:sz w:val="32"/>
          <w:szCs w:val="32"/>
        </w:rPr>
        <w:t>万亩，将高效节水灌溉与高标准农田建设统筹规划、同步实施，力争完成3.3万亩新增高效节水灌溉建设</w:t>
      </w:r>
      <w:r>
        <w:rPr>
          <w:rFonts w:hint="eastAsia" w:ascii="Calibri" w:hAnsi="Calibri" w:eastAsia="仿宋_GB2312" w:cs="Times New Roman"/>
          <w:sz w:val="32"/>
          <w:szCs w:val="32"/>
        </w:rPr>
        <w:t>任务</w:t>
      </w:r>
      <w:r>
        <w:rPr>
          <w:rStyle w:val="22"/>
          <w:rFonts w:ascii="Calibri" w:hAnsi="Calibri" w:eastAsia="仿宋_GB2312" w:cs="Times New Roman"/>
          <w:sz w:val="32"/>
          <w:szCs w:val="32"/>
        </w:rPr>
        <w:footnoteReference w:id="39"/>
      </w:r>
      <w:r>
        <w:rPr>
          <w:rFonts w:hint="eastAsia" w:ascii="Calibri" w:hAnsi="Calibri" w:eastAsia="仿宋_GB2312" w:cs="Times New Roman"/>
          <w:sz w:val="32"/>
          <w:szCs w:val="32"/>
        </w:rPr>
        <w:t>。</w:t>
      </w:r>
    </w:p>
    <w:p w14:paraId="2E108B88">
      <w:pPr>
        <w:spacing w:line="600" w:lineRule="exact"/>
        <w:ind w:firstLine="643" w:firstLineChars="200"/>
        <w:rPr>
          <w:rFonts w:ascii="Times New Roman" w:hAnsi="Times New Roman" w:eastAsia="仿宋_GB2312" w:cs="Times New Roman"/>
          <w:sz w:val="32"/>
          <w:szCs w:val="32"/>
        </w:rPr>
      </w:pPr>
      <w:r>
        <w:rPr>
          <w:rFonts w:hint="eastAsia" w:ascii="Calibri" w:hAnsi="Calibri" w:eastAsia="仿宋_GB2312" w:cs="Times New Roman"/>
          <w:b/>
          <w:bCs/>
          <w:sz w:val="32"/>
          <w:szCs w:val="32"/>
        </w:rPr>
        <w:t>优化耕地及永久基本农田布局。</w:t>
      </w:r>
      <w:r>
        <w:rPr>
          <w:rFonts w:ascii="Times New Roman" w:hAnsi="Times New Roman" w:eastAsia="仿宋_GB2312" w:cs="Times New Roman"/>
          <w:sz w:val="32"/>
          <w:szCs w:val="32"/>
        </w:rPr>
        <w:t>推动阳春市双窖镇、三甲镇、永宁镇等地区坡度大于25°的耕地有序退出。全面摸查全市自然保护地和生态保护极重要区内现状为林地的基本农田图斑情况，包括阳春百涌、鹅凰嶂等省级自然保护区、阳春凌霄岩国家地质公园等自然保护地，以及江城区平岗镇、阳春市河口镇、三甲镇等地生态保护极重要区，对其内现状为林地的永久基本农田采取逐步退出，以减少水土流失风险。加强阳西县、阳东区的农业生产适宜区土地开发整理，稳步提高区域内耕地和基本农田连片度，加强受污染农田生态修复，严控新增土壤污染，提升耕地质量。加强水土流失治理，稳定提升农业产能，推动农业可持续发展</w:t>
      </w:r>
      <w:r>
        <w:rPr>
          <w:rStyle w:val="22"/>
          <w:rFonts w:ascii="Times New Roman" w:hAnsi="Times New Roman" w:eastAsia="仿宋_GB2312" w:cs="Times New Roman"/>
          <w:sz w:val="32"/>
          <w:szCs w:val="32"/>
        </w:rPr>
        <w:footnoteReference w:id="40"/>
      </w:r>
      <w:r>
        <w:rPr>
          <w:rFonts w:ascii="Times New Roman" w:hAnsi="Times New Roman" w:eastAsia="仿宋_GB2312" w:cs="Times New Roman"/>
          <w:sz w:val="32"/>
          <w:szCs w:val="32"/>
        </w:rPr>
        <w:t>。</w:t>
      </w:r>
    </w:p>
    <w:p w14:paraId="7E136FE9">
      <w:pPr>
        <w:spacing w:line="600" w:lineRule="exact"/>
        <w:ind w:firstLine="643" w:firstLineChars="200"/>
        <w:rPr>
          <w:rFonts w:ascii="Calibri" w:hAnsi="Calibri" w:eastAsia="仿宋_GB2312" w:cs="Times New Roman"/>
          <w:b/>
          <w:bCs/>
          <w:sz w:val="24"/>
        </w:rPr>
      </w:pPr>
      <w:r>
        <w:rPr>
          <w:rFonts w:hint="eastAsia" w:ascii="Calibri" w:hAnsi="Calibri" w:eastAsia="仿宋_GB2312" w:cs="Times New Roman"/>
          <w:b/>
          <w:bCs/>
          <w:sz w:val="32"/>
          <w:szCs w:val="32"/>
        </w:rPr>
        <w:t>分区分类推进高标准农田建设，切实提升高标准农田建成后的稳产保供能力。</w:t>
      </w:r>
      <w:r>
        <w:rPr>
          <w:rFonts w:ascii="Times New Roman" w:hAnsi="Times New Roman" w:eastAsia="仿宋_GB2312" w:cs="Times New Roman"/>
          <w:sz w:val="32"/>
          <w:szCs w:val="32"/>
        </w:rPr>
        <w:t>根据农作物不同种植类型和种植需求，按照分区分类原则，因地制宜推进数字农田、高效节水灌溉、宜机化改造、绿色农田等农业示范工程建设。衔接《阳江市高标准农田建设规划（2021-2030年）》对全市农业发展分区成果，中部现代农业区以加强农田水利设施建设，完善排灌水系统，提升耕地质量等级，加强农田林网的建设和生态环境的改善为建设重点；北部生态农业区以加强水利基础设施建设，提高防洪排涝标准为建设重点，同时加强治坡工程布</w:t>
      </w:r>
      <w:r>
        <w:rPr>
          <w:rFonts w:hint="eastAsia" w:ascii="Calibri" w:hAnsi="Calibri" w:eastAsia="仿宋_GB2312" w:cs="Times New Roman"/>
          <w:sz w:val="32"/>
          <w:szCs w:val="32"/>
        </w:rPr>
        <w:t>局和水土保持林的建设，防治水土流失；东部高效农业区以改良土壤物理性状，增加土壤的肥力为建设重点，同时加强排灌设施建设和布局，加强农田防护林建设；西部高效农业区以改良土壤物理性状，增加土壤肥力为建设重点，同时沿海地区还应加强农田防护林建设。</w:t>
      </w:r>
    </w:p>
    <w:p w14:paraId="5E29CC56">
      <w:pPr>
        <w:spacing w:line="600" w:lineRule="exact"/>
        <w:ind w:firstLine="643" w:firstLineChars="200"/>
        <w:rPr>
          <w:rFonts w:ascii="Times New Roman" w:hAnsi="Times New Roman" w:cs="Times New Roman"/>
        </w:rPr>
      </w:pPr>
      <w:r>
        <w:rPr>
          <w:rFonts w:hint="eastAsia" w:ascii="Calibri" w:hAnsi="Calibri" w:eastAsia="仿宋_GB2312" w:cs="Times New Roman"/>
          <w:b/>
          <w:bCs/>
          <w:sz w:val="32"/>
          <w:szCs w:val="32"/>
        </w:rPr>
        <w:t>扎实推进耕地污染防治。</w:t>
      </w:r>
      <w:r>
        <w:rPr>
          <w:rFonts w:hint="eastAsia" w:ascii="Calibri" w:hAnsi="Calibri" w:eastAsia="仿宋_GB2312" w:cs="Times New Roman"/>
          <w:sz w:val="32"/>
          <w:szCs w:val="32"/>
        </w:rPr>
        <w:t>编制农用地土壤环境分类清单，开展污染耕地分类治理，建立健全产地环境监测网络，持续开展区域性受污染农用地安全利用和治理修复试验示范工作。建立工业和城镇污染向耕地转移的防控机制，切断重金属污染物进入农田的途径。根据耕地土壤环境质量类别划分成果，实行耕地分类管理，对无污染耕地实施优先保护，对受污染耕地实施安全利用与严格管控。进一步完善受污染耕地安全利用技术体系和标准，扩大轻中度污染耕地安全利用试点示范和研究，筛选适合我市、节本高效的技术模式；通过种植结构调整、休耕轮作、划定特定农产品严格管控区等措施稳定重度污染耕地的风险管控。到</w:t>
      </w:r>
      <w:r>
        <w:rPr>
          <w:rFonts w:ascii="Times New Roman" w:hAnsi="Times New Roman" w:eastAsia="仿宋_GB2312" w:cs="Times New Roman"/>
          <w:sz w:val="32"/>
          <w:szCs w:val="32"/>
        </w:rPr>
        <w:t>2025 年，受污染耕地安全利用率达到92%以上</w:t>
      </w:r>
      <w:r>
        <w:rPr>
          <w:rStyle w:val="22"/>
          <w:rFonts w:ascii="Times New Roman" w:hAnsi="Times New Roman" w:eastAsia="仿宋_GB2312" w:cs="Times New Roman"/>
          <w:sz w:val="32"/>
          <w:szCs w:val="32"/>
        </w:rPr>
        <w:footnoteReference w:id="41"/>
      </w:r>
      <w:r>
        <w:rPr>
          <w:rFonts w:ascii="Times New Roman" w:hAnsi="Times New Roman" w:eastAsia="仿宋_GB2312" w:cs="Times New Roman"/>
          <w:sz w:val="32"/>
          <w:szCs w:val="32"/>
        </w:rPr>
        <w:t>。</w:t>
      </w:r>
    </w:p>
    <w:p w14:paraId="1B6D08C2">
      <w:pPr>
        <w:pStyle w:val="3"/>
        <w:spacing w:beforeLines="50" w:afterLines="50"/>
        <w:ind w:firstLine="0" w:firstLineChars="0"/>
        <w:jc w:val="center"/>
        <w:rPr>
          <w:rFonts w:ascii="楷体" w:hAnsi="楷体" w:eastAsia="楷体"/>
          <w:b/>
          <w:bCs w:val="0"/>
        </w:rPr>
      </w:pPr>
      <w:bookmarkStart w:id="25" w:name="_Toc181820177"/>
      <w:r>
        <w:rPr>
          <w:rFonts w:hint="eastAsia" w:ascii="楷体" w:hAnsi="楷体" w:eastAsia="楷体"/>
          <w:b/>
          <w:bCs w:val="0"/>
        </w:rPr>
        <w:t>第二节 提升田园生态景观品质</w:t>
      </w:r>
      <w:bookmarkEnd w:id="25"/>
    </w:p>
    <w:p w14:paraId="6F0FDC9C">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开展农村人居环境整治。</w:t>
      </w:r>
      <w:r>
        <w:rPr>
          <w:rFonts w:hint="eastAsia" w:ascii="Calibri" w:hAnsi="Calibri" w:eastAsia="仿宋_GB2312" w:cs="Times New Roman"/>
          <w:sz w:val="32"/>
          <w:szCs w:val="32"/>
        </w:rPr>
        <w:t>深入开展“三清理、三拆除、三整治”行动，持续推进“千村示范、万村整治”工程，推进农村人居环境整治，建设生态宜居美丽乡村。统筹推进“厕所革命”，开展农村生活污水治理、垃圾分类处理、村庄绿化美化等工作。实行人畜分离、家畜集中圈养、雨污分流和无害化卫生户厕建设，推进渔港水域航道、乡村小流域、河塘清淤整治，建设百里漠江，百里漠海。结合乡村振兴示范带建设，推进城市周边、主要高速铁路和高速公路沿线乡村风貌提升；推进全市古树名木建档入库，做好动态监测，实行挂牌保护</w:t>
      </w:r>
      <w:r>
        <w:rPr>
          <w:rStyle w:val="22"/>
          <w:rFonts w:ascii="Calibri" w:hAnsi="Calibri" w:eastAsia="仿宋_GB2312" w:cs="Times New Roman"/>
          <w:sz w:val="32"/>
          <w:szCs w:val="32"/>
        </w:rPr>
        <w:footnoteReference w:id="42"/>
      </w:r>
      <w:r>
        <w:rPr>
          <w:rFonts w:hint="eastAsia" w:ascii="Calibri" w:hAnsi="Calibri" w:eastAsia="仿宋_GB2312" w:cs="Times New Roman"/>
          <w:sz w:val="32"/>
          <w:szCs w:val="32"/>
        </w:rPr>
        <w:t>。完善生态宜居美丽乡村建设标准体系，开展美丽宜居村庄和美丽庭院示范创建活动，支持有条件的村庄率先建成美丽宜居村、创建特色精品村。</w:t>
      </w:r>
      <w:r>
        <w:rPr>
          <w:rFonts w:ascii="Times New Roman" w:hAnsi="Times New Roman" w:eastAsia="仿宋_GB2312" w:cs="Times New Roman"/>
          <w:sz w:val="32"/>
          <w:szCs w:val="32"/>
        </w:rPr>
        <w:t>到2025年，80%以上村庄达到美丽宜居村标准，所有村庄达到干净整洁村标准，创建一批特色精品村</w:t>
      </w:r>
      <w:r>
        <w:rPr>
          <w:rStyle w:val="22"/>
          <w:rFonts w:ascii="Times New Roman" w:hAnsi="Times New Roman" w:eastAsia="仿宋_GB2312" w:cs="Times New Roman"/>
          <w:sz w:val="32"/>
          <w:szCs w:val="32"/>
        </w:rPr>
        <w:footnoteReference w:id="43"/>
      </w:r>
      <w:r>
        <w:rPr>
          <w:rFonts w:ascii="Times New Roman" w:hAnsi="Times New Roman" w:eastAsia="仿宋_GB2312" w:cs="Times New Roman"/>
          <w:sz w:val="32"/>
          <w:szCs w:val="32"/>
        </w:rPr>
        <w:t>。</w:t>
      </w:r>
    </w:p>
    <w:p w14:paraId="5CA4F146">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塑造特色乡村风貌。</w:t>
      </w:r>
      <w:r>
        <w:rPr>
          <w:rFonts w:hint="eastAsia" w:ascii="Calibri" w:hAnsi="Calibri" w:eastAsia="仿宋_GB2312" w:cs="Times New Roman"/>
          <w:sz w:val="32"/>
          <w:szCs w:val="32"/>
        </w:rPr>
        <w:t>结合“四好农村路”、古驿道保护修复利用、万里碧道建设、“四小园”生态景观亮化等工程，有序开展美丽乡村示范创建和一体化风貌提升，沿线连片推进人居环境整治和风貌提升，打造一批彰显阳江特色的美丽乡村。加强农房风貌管控，统筹推进存量农房微改造，引导新建和修缮农房在建筑样式、风格、色调等方面与村居整体环境协调，建设一批功能现代、经济实用、结构安全、绿色环保的宜居型示范农房。</w:t>
      </w:r>
    </w:p>
    <w:p w14:paraId="2B902FC3">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推进畜禽养殖污染治理。</w:t>
      </w:r>
      <w:r>
        <w:rPr>
          <w:rFonts w:hint="eastAsia" w:ascii="Calibri" w:hAnsi="Calibri" w:eastAsia="仿宋_GB2312" w:cs="Times New Roman"/>
          <w:sz w:val="32"/>
          <w:szCs w:val="32"/>
        </w:rPr>
        <w:t>大力发展标准化生态健康养殖，加强监督管理和指导服务，落实畜禽养殖主体责任，监督和指导养殖场（户）建立、健全粪污处理和综合利用设施，采取种养结合、牧渔结合、沼气发酵等途径实现粪便等污染物的资源化利用，解决畜牧业对环境的污染问题，实现农业良性循环，推动畜牧业可持续发展。</w:t>
      </w:r>
      <w:r>
        <w:rPr>
          <w:rFonts w:ascii="Times New Roman" w:hAnsi="Times New Roman" w:eastAsia="仿宋_GB2312" w:cs="Times New Roman"/>
          <w:sz w:val="32"/>
          <w:szCs w:val="32"/>
        </w:rPr>
        <w:t>力争至2025年，全市畜禽粪污综合利用率保持在85%以上</w:t>
      </w:r>
      <w:r>
        <w:rPr>
          <w:rStyle w:val="22"/>
          <w:rFonts w:ascii="Times New Roman" w:hAnsi="Times New Roman" w:eastAsia="仿宋_GB2312" w:cs="Times New Roman"/>
          <w:sz w:val="32"/>
          <w:szCs w:val="32"/>
        </w:rPr>
        <w:footnoteReference w:id="44"/>
      </w:r>
      <w:r>
        <w:rPr>
          <w:rFonts w:ascii="Times New Roman" w:hAnsi="Times New Roman" w:eastAsia="仿宋_GB2312" w:cs="Times New Roman"/>
          <w:sz w:val="32"/>
          <w:szCs w:val="32"/>
        </w:rPr>
        <w:t>。</w:t>
      </w:r>
    </w:p>
    <w:p w14:paraId="1FC93E30">
      <w:pPr>
        <w:pStyle w:val="3"/>
        <w:spacing w:beforeLines="50" w:afterLines="50"/>
        <w:ind w:firstLine="0" w:firstLineChars="0"/>
        <w:jc w:val="center"/>
        <w:rPr>
          <w:rFonts w:ascii="楷体" w:hAnsi="楷体" w:eastAsia="楷体"/>
          <w:b/>
          <w:bCs w:val="0"/>
        </w:rPr>
      </w:pPr>
      <w:bookmarkStart w:id="26" w:name="_Toc181820178"/>
      <w:r>
        <w:rPr>
          <w:rFonts w:hint="eastAsia" w:ascii="楷体" w:hAnsi="楷体" w:eastAsia="楷体"/>
          <w:b/>
          <w:bCs w:val="0"/>
        </w:rPr>
        <w:t>第三节 实施全域土地综合整治</w:t>
      </w:r>
      <w:bookmarkEnd w:id="26"/>
    </w:p>
    <w:p w14:paraId="28EE43F3">
      <w:pPr>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开展全域土地综合整治。</w:t>
      </w:r>
      <w:r>
        <w:rPr>
          <w:rFonts w:ascii="Times New Roman" w:hAnsi="Times New Roman" w:eastAsia="仿宋_GB2312" w:cs="Times New Roman"/>
          <w:sz w:val="32"/>
          <w:szCs w:val="32"/>
        </w:rPr>
        <w:t>以乡镇为基本实施单元，通过科学规划、整体设计、综合治理，整体推进农用地整理、建设用地整理、乡村生态保护修复和乡村风貌提升等工作，优化农村生产、生活、生态布局，促进耕地和永久基本农田集中连片、农村建设用地存量盘活利用、农村人居环境和风貌系统提升。基于潜力分析，识别可补充耕地的潜力用地规模914.66平方公里，占全市国土空间土地总面积的11.49%</w:t>
      </w:r>
      <w:r>
        <w:rPr>
          <w:rStyle w:val="22"/>
          <w:rFonts w:ascii="Times New Roman" w:hAnsi="Times New Roman" w:eastAsia="仿宋_GB2312" w:cs="Times New Roman"/>
          <w:sz w:val="32"/>
          <w:szCs w:val="32"/>
        </w:rPr>
        <w:footnoteReference w:id="45"/>
      </w:r>
      <w:r>
        <w:rPr>
          <w:rFonts w:ascii="Times New Roman" w:hAnsi="Times New Roman" w:eastAsia="仿宋_GB2312" w:cs="Times New Roman"/>
          <w:sz w:val="32"/>
          <w:szCs w:val="32"/>
        </w:rPr>
        <w:t>。其中，补充耕地潜力高等级区域面积607.75平方公里，主要分布在江城区平冈镇、阳西县儒洞镇、上洋镇、阳东区大沟镇、新洲镇、东平镇等地，是阳江实施全域土地综合整治的重点潜力区域。以织</w:t>
      </w:r>
      <w:r>
        <w:rPr>
          <w:rFonts w:hint="eastAsia" w:ascii="微软雅黑" w:hAnsi="微软雅黑" w:eastAsia="微软雅黑" w:cs="微软雅黑"/>
          <w:sz w:val="32"/>
          <w:szCs w:val="32"/>
        </w:rPr>
        <w:t>篢</w:t>
      </w:r>
      <w:r>
        <w:rPr>
          <w:rFonts w:hint="eastAsia" w:ascii="仿宋_GB2312" w:hAnsi="仿宋_GB2312" w:eastAsia="仿宋_GB2312" w:cs="仿宋_GB2312"/>
          <w:sz w:val="32"/>
          <w:szCs w:val="32"/>
        </w:rPr>
        <w:t>镇</w:t>
      </w:r>
      <w:r>
        <w:rPr>
          <w:rFonts w:ascii="Times New Roman" w:hAnsi="Times New Roman" w:eastAsia="仿宋_GB2312" w:cs="Times New Roman"/>
          <w:sz w:val="32"/>
          <w:szCs w:val="32"/>
        </w:rPr>
        <w:t>、程村镇为重点，探索乡村用地高效、一二三产融合发展、生态系统服务功能协同的全域土地综合整治模式，发挥阳西县织</w:t>
      </w:r>
      <w:r>
        <w:rPr>
          <w:rFonts w:hint="eastAsia" w:ascii="微软雅黑" w:hAnsi="微软雅黑" w:eastAsia="微软雅黑" w:cs="微软雅黑"/>
          <w:sz w:val="32"/>
          <w:szCs w:val="32"/>
        </w:rPr>
        <w:t>篢</w:t>
      </w:r>
      <w:r>
        <w:rPr>
          <w:rFonts w:hint="eastAsia" w:ascii="仿宋_GB2312" w:hAnsi="仿宋_GB2312" w:eastAsia="仿宋_GB2312" w:cs="仿宋_GB2312"/>
          <w:sz w:val="32"/>
          <w:szCs w:val="32"/>
        </w:rPr>
        <w:t>镇</w:t>
      </w:r>
      <w:r>
        <w:rPr>
          <w:rFonts w:ascii="Times New Roman" w:hAnsi="Times New Roman" w:eastAsia="仿宋_GB2312" w:cs="Times New Roman"/>
          <w:sz w:val="32"/>
          <w:szCs w:val="32"/>
        </w:rPr>
        <w:t>全域土地综合整治试点项目的带动作用，以点带面推进全域土地综合整治工作。</w:t>
      </w:r>
    </w:p>
    <w:p w14:paraId="3309613B">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加强农用地整理。</w:t>
      </w:r>
      <w:r>
        <w:rPr>
          <w:rFonts w:hint="eastAsia" w:ascii="Calibri" w:hAnsi="Calibri" w:eastAsia="仿宋_GB2312" w:cs="Times New Roman"/>
          <w:sz w:val="32"/>
          <w:szCs w:val="32"/>
        </w:rPr>
        <w:t>按照“以占定补、进出平衡”的原则，深入挖潜耕地后备资源，以织篢镇</w:t>
      </w:r>
      <w:r>
        <w:rPr>
          <w:rFonts w:hint="eastAsia" w:ascii="仿宋_GB2312" w:hAnsi="仿宋_GB2312" w:eastAsia="仿宋_GB2312" w:cs="仿宋_GB2312"/>
          <w:sz w:val="32"/>
          <w:szCs w:val="32"/>
        </w:rPr>
        <w:t>、溪头镇、程村镇为重点，加快推进集中连片“即可恢复”和“工程恢复”类耕地恢复。</w:t>
      </w:r>
    </w:p>
    <w:p w14:paraId="54EF7FFC">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sz w:val="32"/>
          <w:szCs w:val="32"/>
        </w:rPr>
        <w:t>推进农村建设用地复垦。</w:t>
      </w:r>
      <w:r>
        <w:rPr>
          <w:rFonts w:hint="eastAsia" w:ascii="Calibri" w:hAnsi="Calibri" w:eastAsia="仿宋_GB2312" w:cs="Times New Roman"/>
          <w:sz w:val="32"/>
          <w:szCs w:val="32"/>
        </w:rPr>
        <w:t>以织篢镇</w:t>
      </w:r>
      <w:r>
        <w:rPr>
          <w:rFonts w:hint="eastAsia" w:ascii="仿宋_GB2312" w:hAnsi="仿宋_GB2312" w:eastAsia="仿宋_GB2312" w:cs="仿宋_GB2312"/>
          <w:sz w:val="32"/>
          <w:szCs w:val="32"/>
        </w:rPr>
        <w:t>、溪头镇、程村镇、东城镇等为重点，综合运用行政、经济、法律等手段，通过增减挂钩、增存挂钩等方式，分级分类推进闲置低效农村建设用地复垦，优化农</w:t>
      </w:r>
      <w:r>
        <w:rPr>
          <w:rFonts w:hint="eastAsia" w:ascii="Calibri" w:hAnsi="Calibri" w:eastAsia="仿宋_GB2312" w:cs="Times New Roman"/>
          <w:sz w:val="32"/>
          <w:szCs w:val="32"/>
        </w:rPr>
        <w:t>村建设用地布局，改善乡村风貌，提升农村建设用地节约集约利用水平。</w:t>
      </w:r>
    </w:p>
    <w:p w14:paraId="5B6D9FBD">
      <w:pPr>
        <w:spacing w:line="600" w:lineRule="exact"/>
        <w:ind w:firstLine="640" w:firstLineChars="200"/>
        <w:rPr>
          <w:rFonts w:ascii="Calibri" w:hAnsi="Calibri" w:eastAsia="仿宋_GB2312" w:cs="Times New Roman"/>
          <w:sz w:val="32"/>
          <w:szCs w:val="32"/>
        </w:rPr>
      </w:pPr>
    </w:p>
    <w:p w14:paraId="6C7EC077">
      <w:pPr>
        <w:widowControl/>
        <w:jc w:val="left"/>
        <w:rPr>
          <w:rFonts w:ascii="Calibri" w:hAnsi="Calibri" w:eastAsia="仿宋_GB2312" w:cs="Times New Roman"/>
          <w:sz w:val="32"/>
          <w:szCs w:val="32"/>
        </w:rPr>
      </w:pPr>
      <w:r>
        <w:rPr>
          <w:rFonts w:ascii="Calibri" w:hAnsi="Calibri" w:eastAsia="仿宋_GB2312" w:cs="Times New Roman"/>
          <w:sz w:val="32"/>
          <w:szCs w:val="32"/>
        </w:rPr>
        <w:br w:type="page"/>
      </w:r>
    </w:p>
    <w:p w14:paraId="35DFBCCE">
      <w:pPr>
        <w:pStyle w:val="2"/>
        <w:pageBreakBefore w:val="0"/>
        <w:numPr>
          <w:ilvl w:val="0"/>
          <w:numId w:val="1"/>
        </w:numPr>
        <w:spacing w:line="240" w:lineRule="auto"/>
        <w:rPr>
          <w:rFonts w:ascii="宋体" w:hAnsi="宋体" w:eastAsia="宋体" w:cs="方正小标宋简体"/>
          <w:b/>
          <w:bCs/>
          <w:sz w:val="40"/>
          <w:szCs w:val="40"/>
        </w:rPr>
      </w:pPr>
      <w:bookmarkStart w:id="27" w:name="_Toc181820179"/>
      <w:r>
        <w:rPr>
          <w:rFonts w:hint="eastAsia" w:ascii="宋体" w:hAnsi="宋体" w:eastAsia="宋体" w:cs="方正小标宋简体"/>
          <w:b/>
          <w:bCs/>
          <w:sz w:val="40"/>
          <w:szCs w:val="40"/>
        </w:rPr>
        <w:t>推动城镇空间生态品质提升</w:t>
      </w:r>
      <w:bookmarkEnd w:id="27"/>
    </w:p>
    <w:p w14:paraId="749E86F4">
      <w:pPr>
        <w:spacing w:beforeLines="150"/>
        <w:ind w:firstLine="640" w:firstLineChars="200"/>
        <w:rPr>
          <w:rFonts w:ascii="Calibri" w:hAnsi="Calibri" w:eastAsia="仿宋_GB2312" w:cs="Times New Roman"/>
          <w:bCs/>
          <w:sz w:val="32"/>
          <w:szCs w:val="32"/>
        </w:rPr>
      </w:pPr>
      <w:r>
        <w:rPr>
          <w:rFonts w:hint="eastAsia" w:ascii="Calibri" w:hAnsi="Calibri" w:eastAsia="仿宋_GB2312" w:cs="Times New Roman"/>
          <w:bCs/>
          <w:sz w:val="32"/>
          <w:szCs w:val="32"/>
        </w:rPr>
        <w:t>立足阳江市山、水、林、田、湖、海自然资源要素齐备的特征，让城市融入大自然。遵循生态文明建设理念，通过绿色开敞空间建设、蓝带绿网生态网络建设、城市韧性提升等措施，不断夯实城镇生态基底，提升城市生态环境品质，完善生态产品供给满足居民的生态休闲需求，全力推进人与自然和谐共生的现代化阳江建设。</w:t>
      </w:r>
    </w:p>
    <w:p w14:paraId="7E56FA22">
      <w:pPr>
        <w:pStyle w:val="3"/>
        <w:spacing w:beforeLines="50" w:afterLines="50"/>
        <w:ind w:firstLine="0" w:firstLineChars="0"/>
        <w:jc w:val="center"/>
        <w:rPr>
          <w:rFonts w:ascii="楷体" w:hAnsi="楷体" w:eastAsia="楷体"/>
          <w:b/>
          <w:bCs w:val="0"/>
        </w:rPr>
      </w:pPr>
      <w:bookmarkStart w:id="28" w:name="_Toc181820180"/>
      <w:r>
        <w:rPr>
          <w:rFonts w:hint="eastAsia" w:ascii="楷体" w:hAnsi="楷体" w:eastAsia="楷体"/>
          <w:b/>
          <w:bCs w:val="0"/>
        </w:rPr>
        <w:t>第一节 推进南亚热带滨海绿色开敞空间体系建设</w:t>
      </w:r>
      <w:bookmarkEnd w:id="28"/>
    </w:p>
    <w:p w14:paraId="33B915DC">
      <w:pPr>
        <w:ind w:firstLine="643" w:firstLineChars="200"/>
        <w:rPr>
          <w:rFonts w:ascii="Calibri" w:hAnsi="Calibri" w:eastAsia="仿宋_GB2312" w:cs="Times New Roman"/>
          <w:sz w:val="32"/>
          <w:szCs w:val="32"/>
        </w:rPr>
      </w:pPr>
      <w:r>
        <w:rPr>
          <w:rFonts w:hint="eastAsia" w:ascii="Calibri" w:hAnsi="Calibri" w:eastAsia="仿宋_GB2312" w:cs="Times New Roman"/>
          <w:b/>
          <w:sz w:val="32"/>
          <w:szCs w:val="32"/>
        </w:rPr>
        <w:t>构建滨海特色开敞空间体系，优化城市公园布局，提升城市生态品质。一是</w:t>
      </w:r>
      <w:r>
        <w:rPr>
          <w:rFonts w:hint="eastAsia" w:ascii="Calibri" w:hAnsi="Calibri" w:eastAsia="仿宋_GB2312" w:cs="Times New Roman"/>
          <w:bCs/>
          <w:sz w:val="32"/>
          <w:szCs w:val="32"/>
        </w:rPr>
        <w:t>立足滨海城市、山水城市特色，以北部重点山脉和漠阳江树状水网体系构建形成阳江城镇空间生态屏障，加强城镇空间与城市绿地系统、城市水系统、城市生物多样性保护的统筹协调。</w:t>
      </w:r>
      <w:r>
        <w:rPr>
          <w:rFonts w:hint="eastAsia" w:ascii="Calibri" w:hAnsi="Calibri" w:eastAsia="仿宋_GB2312" w:cs="Times New Roman"/>
          <w:b/>
          <w:sz w:val="32"/>
          <w:szCs w:val="32"/>
        </w:rPr>
        <w:t>二是</w:t>
      </w:r>
      <w:r>
        <w:rPr>
          <w:rFonts w:hint="eastAsia" w:ascii="Calibri" w:hAnsi="Calibri" w:eastAsia="仿宋_GB2312" w:cs="Times New Roman"/>
          <w:bCs/>
          <w:sz w:val="32"/>
          <w:szCs w:val="32"/>
        </w:rPr>
        <w:t>优化城市公园布局，</w:t>
      </w:r>
      <w:r>
        <w:rPr>
          <w:rFonts w:hint="eastAsia" w:ascii="Calibri" w:hAnsi="Calibri" w:eastAsia="仿宋_GB2312" w:cs="Times New Roman"/>
          <w:sz w:val="32"/>
          <w:szCs w:val="32"/>
        </w:rPr>
        <w:t>补充完善“综合公园</w:t>
      </w:r>
      <w:r>
        <w:rPr>
          <w:rFonts w:ascii="Times New Roman" w:hAnsi="Times New Roman" w:eastAsia="仿宋_GB2312" w:cs="Times New Roman"/>
          <w:sz w:val="32"/>
          <w:szCs w:val="32"/>
        </w:rPr>
        <w:t>—专项公园—社区公园”公园绿地体系，提高公园绿地覆盖率。</w:t>
      </w:r>
      <w:r>
        <w:rPr>
          <w:rFonts w:ascii="Times New Roman" w:hAnsi="Times New Roman" w:eastAsia="仿宋_GB2312" w:cs="Times New Roman"/>
          <w:bCs/>
          <w:sz w:val="32"/>
          <w:szCs w:val="32"/>
        </w:rPr>
        <w:t>按照“公园+体育、公园+文化、公园+科普、公园+旅游”等模式，积极谋划一批口袋公园，实施城市微更新，全面梳理城市公园空间，实施设施完善、环境美化、品质提升，构建“公园15分钟”生活新模式，为市民群众提供高品质、有活力的城市公园。</w:t>
      </w:r>
    </w:p>
    <w:p w14:paraId="7E74919D">
      <w:pPr>
        <w:ind w:firstLine="643" w:firstLineChars="200"/>
      </w:pPr>
      <w:r>
        <w:rPr>
          <w:rFonts w:hint="eastAsia" w:ascii="Calibri" w:hAnsi="Calibri" w:eastAsia="仿宋_GB2312" w:cs="Times New Roman"/>
          <w:b/>
          <w:sz w:val="32"/>
          <w:szCs w:val="32"/>
        </w:rPr>
        <w:t>形成富有阳江特色的南亚热带城镇绿地植物景观。</w:t>
      </w:r>
      <w:r>
        <w:rPr>
          <w:rFonts w:hint="eastAsia" w:ascii="Calibri" w:hAnsi="Calibri" w:eastAsia="仿宋_GB2312" w:cs="Times New Roman"/>
          <w:sz w:val="32"/>
          <w:szCs w:val="32"/>
        </w:rPr>
        <w:t>按照适地适树原则，合理选择和引导阳江城镇绿化应用树种配置，优化城镇应用植被结构，形成乡土树种和外来树种和谐共生、生态效益稳定的植被景观风貌。构建季相明显、层次分明、色彩丰富、系统稳定的城市植被景观，提高城镇绿地系统的生态服务功能。</w:t>
      </w:r>
    </w:p>
    <w:p w14:paraId="521B23AA">
      <w:pPr>
        <w:pStyle w:val="3"/>
        <w:spacing w:beforeLines="50" w:afterLines="50"/>
        <w:ind w:firstLine="0" w:firstLineChars="0"/>
        <w:jc w:val="center"/>
        <w:rPr>
          <w:rFonts w:ascii="楷体" w:hAnsi="楷体" w:eastAsia="楷体"/>
          <w:b/>
          <w:bCs w:val="0"/>
        </w:rPr>
      </w:pPr>
      <w:bookmarkStart w:id="29" w:name="_Toc181820181"/>
      <w:r>
        <w:rPr>
          <w:rFonts w:hint="eastAsia" w:ascii="楷体" w:hAnsi="楷体" w:eastAsia="楷体"/>
          <w:b/>
          <w:bCs w:val="0"/>
        </w:rPr>
        <w:t>第二节 保护修复城市蓝带绿网</w:t>
      </w:r>
      <w:bookmarkEnd w:id="29"/>
    </w:p>
    <w:p w14:paraId="4B1D9921">
      <w:pPr>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构建环城生态绿带骨架。</w:t>
      </w:r>
      <w:r>
        <w:rPr>
          <w:rFonts w:hint="eastAsia" w:ascii="Calibri" w:hAnsi="Calibri" w:eastAsia="仿宋_GB2312" w:cs="Times New Roman"/>
          <w:sz w:val="32"/>
          <w:szCs w:val="32"/>
        </w:rPr>
        <w:t>通过山体、水网、绿道等生态廊道串联中心城区内的重要湿地、森林、农田、公园绿地等生态空间，构建蓝绿交织、亲近自然的市域生态网络。以环中心城区的罗琴山、金鸡岭、雁村山等自然山体以及漠阳江东河、西河、那龙河等河流水系廊道为支撑，加强城区内部蓝绿空间与外围大尺度开敞空间的联系，将自然引入城市，形成环绕中心城区的生态绿带骨架。</w:t>
      </w:r>
    </w:p>
    <w:p w14:paraId="13094551">
      <w:pPr>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结合附属绿带和防护林带建设构建带状绿地网络。</w:t>
      </w:r>
      <w:r>
        <w:rPr>
          <w:rFonts w:hint="eastAsia" w:ascii="Calibri" w:hAnsi="Calibri" w:eastAsia="仿宋_GB2312" w:cs="Times New Roman"/>
          <w:sz w:val="32"/>
          <w:szCs w:val="32"/>
        </w:rPr>
        <w:t>通过银岭大道</w:t>
      </w:r>
      <w:r>
        <w:rPr>
          <w:rFonts w:ascii="Calibri" w:hAnsi="Calibri" w:eastAsia="仿宋_GB2312" w:cs="Times New Roman"/>
          <w:sz w:val="32"/>
          <w:szCs w:val="32"/>
        </w:rPr>
        <w:t>-站港公路、中洲大道、西平路-东门路-金平路、新江东路-新江南路-湖滨路、迎宾北路-迎</w:t>
      </w:r>
      <w:r>
        <w:rPr>
          <w:rFonts w:ascii="Times New Roman" w:hAnsi="Times New Roman" w:eastAsia="仿宋_GB2312" w:cs="Times New Roman"/>
          <w:sz w:val="32"/>
          <w:szCs w:val="32"/>
        </w:rPr>
        <w:t>宾南路、裕东一路-广雅路（东段）附属绿带和防护林带建设，形成中心城区的6条纵向生态廊道。建设</w:t>
      </w:r>
      <w:bookmarkStart w:id="30" w:name="_Hlk168495243"/>
      <w:r>
        <w:rPr>
          <w:rFonts w:ascii="Times New Roman" w:hAnsi="Times New Roman" w:eastAsia="仿宋_GB2312" w:cs="Times New Roman"/>
          <w:sz w:val="32"/>
          <w:szCs w:val="32"/>
        </w:rPr>
        <w:t>振兴路、</w:t>
      </w:r>
      <w:bookmarkEnd w:id="30"/>
      <w:r>
        <w:rPr>
          <w:rFonts w:ascii="Times New Roman" w:hAnsi="Times New Roman" w:eastAsia="仿宋_GB2312" w:cs="Times New Roman"/>
          <w:sz w:val="32"/>
          <w:szCs w:val="32"/>
        </w:rPr>
        <w:t>金山路、漠江西路-漠江路-东风三路-东风四路、富康路-江北公路-新江台大道、城南大道、鱼港路（对岸南方大道）、金朗大道（南段）、滨海大道附属绿带和防护林带，形成中心城区的8条横向生态廊道。</w:t>
      </w:r>
    </w:p>
    <w:p w14:paraId="6DC18272">
      <w:pPr>
        <w:ind w:firstLine="643" w:firstLineChars="200"/>
      </w:pPr>
      <w:r>
        <w:rPr>
          <w:rFonts w:hint="eastAsia" w:ascii="Calibri" w:hAnsi="Calibri" w:eastAsia="仿宋_GB2312" w:cs="Times New Roman"/>
          <w:b/>
          <w:bCs/>
          <w:sz w:val="32"/>
          <w:szCs w:val="32"/>
        </w:rPr>
        <w:t>塑造水清岸绿的城市优美蓝带。</w:t>
      </w:r>
      <w:r>
        <w:rPr>
          <w:rFonts w:hint="eastAsia" w:ascii="Calibri" w:hAnsi="Calibri" w:eastAsia="仿宋_GB2312" w:cs="Times New Roman"/>
          <w:sz w:val="32"/>
          <w:szCs w:val="32"/>
        </w:rPr>
        <w:t>积极推进漠阳江江城区段岸线生态修复，以漠阳江水源地防护林、滨水绿地、湿地公园等为核心，建设漠阳江东河、西河以及那龙河“三江六岸”通山达海的水岸生态蓝带。结合绿化美化亮化工程建设，整合连环水库碧道、连围河碧道、漠阳江沿线及其周边区域的自然、生态、城市功能资源，构建宜居宜业宜游的城区水系活力生态廊道。</w:t>
      </w:r>
    </w:p>
    <w:p w14:paraId="4C913AA2">
      <w:pPr>
        <w:pStyle w:val="3"/>
        <w:spacing w:beforeLines="50" w:afterLines="50"/>
        <w:ind w:firstLine="0" w:firstLineChars="0"/>
        <w:jc w:val="center"/>
        <w:rPr>
          <w:rFonts w:ascii="楷体" w:hAnsi="楷体" w:eastAsia="楷体"/>
          <w:b/>
          <w:bCs w:val="0"/>
        </w:rPr>
      </w:pPr>
      <w:bookmarkStart w:id="31" w:name="_Toc181820182"/>
      <w:r>
        <w:rPr>
          <w:rFonts w:hint="eastAsia" w:ascii="楷体" w:hAnsi="楷体" w:eastAsia="楷体"/>
          <w:b/>
          <w:bCs w:val="0"/>
        </w:rPr>
        <w:t>第三节 加强城市生态韧性治理</w:t>
      </w:r>
      <w:bookmarkEnd w:id="31"/>
    </w:p>
    <w:p w14:paraId="1217AB87">
      <w:pPr>
        <w:ind w:firstLine="643" w:firstLineChars="200"/>
        <w:rPr>
          <w:rFonts w:ascii="Calibri" w:hAnsi="Calibri" w:eastAsia="仿宋_GB2312" w:cs="Times New Roman"/>
          <w:sz w:val="32"/>
          <w:szCs w:val="32"/>
        </w:rPr>
      </w:pPr>
      <w:r>
        <w:rPr>
          <w:rFonts w:hint="eastAsia" w:ascii="Calibri" w:hAnsi="Calibri" w:eastAsia="仿宋_GB2312" w:cs="Times New Roman"/>
          <w:b/>
          <w:sz w:val="32"/>
          <w:szCs w:val="32"/>
        </w:rPr>
        <w:t>分区分类实施差异化防洪排涝治理。</w:t>
      </w:r>
      <w:r>
        <w:rPr>
          <w:rFonts w:hint="eastAsia" w:ascii="Calibri" w:hAnsi="Calibri" w:eastAsia="仿宋_GB2312" w:cs="Times New Roman"/>
          <w:bCs/>
          <w:sz w:val="32"/>
          <w:szCs w:val="32"/>
        </w:rPr>
        <w:t>立足漠阳江流域地理地形特点和水文条件，全市划</w:t>
      </w:r>
      <w:r>
        <w:rPr>
          <w:rFonts w:ascii="Times New Roman" w:hAnsi="Times New Roman" w:eastAsia="仿宋_GB2312" w:cs="Times New Roman"/>
          <w:bCs/>
          <w:sz w:val="32"/>
          <w:szCs w:val="32"/>
        </w:rPr>
        <w:t>分3类涝</w:t>
      </w:r>
      <w:r>
        <w:rPr>
          <w:rFonts w:hint="eastAsia" w:ascii="Calibri" w:hAnsi="Calibri" w:eastAsia="仿宋_GB2312" w:cs="Times New Roman"/>
          <w:bCs/>
          <w:sz w:val="32"/>
          <w:szCs w:val="32"/>
        </w:rPr>
        <w:t>区体系。</w:t>
      </w:r>
      <w:r>
        <w:rPr>
          <w:rFonts w:hint="eastAsia" w:ascii="Calibri" w:hAnsi="Calibri" w:eastAsia="仿宋_GB2312" w:cs="Times New Roman"/>
          <w:sz w:val="32"/>
          <w:szCs w:val="32"/>
        </w:rPr>
        <w:t>一是对集中在阳春市具有一定的排水坡度且排水水位高于承泄区水位的区域，采取“自排为主、泵排为辅”的排涝策略。二是对滨临河湖、受圩堤分隔、地势较低且涝水经常需抽排的区域，集中在江城区、阳东区和阳春市，应加大河涌断面治理，并针对暴雨遭遇外河水位顶托的情况实行强排；三是对集中在江城区滨临海边或潮汐河口段，排水常受潮水位顶托且涝水经常需抽排的区域，采取河网调蓄功能为主、自排为辅的策略，重点控制调蓄容量，提高地区韧性排涝能力。</w:t>
      </w:r>
    </w:p>
    <w:p w14:paraId="3FBF0294">
      <w:pPr>
        <w:ind w:firstLine="643" w:firstLineChars="200"/>
        <w:rPr>
          <w:rFonts w:ascii="Calibri" w:hAnsi="Calibri" w:eastAsia="仿宋_GB2312" w:cs="Times New Roman"/>
          <w:sz w:val="32"/>
          <w:szCs w:val="32"/>
        </w:rPr>
      </w:pPr>
      <w:r>
        <w:rPr>
          <w:rFonts w:hint="eastAsia" w:ascii="Calibri" w:hAnsi="Calibri" w:eastAsia="仿宋_GB2312" w:cs="Times New Roman"/>
          <w:b/>
          <w:sz w:val="32"/>
          <w:szCs w:val="32"/>
        </w:rPr>
        <w:t>进一步</w:t>
      </w:r>
      <w:r>
        <w:rPr>
          <w:rFonts w:hint="eastAsia" w:ascii="Calibri" w:hAnsi="Calibri" w:eastAsia="仿宋_GB2312" w:cs="Times New Roman"/>
          <w:b/>
          <w:bCs/>
          <w:sz w:val="32"/>
          <w:szCs w:val="32"/>
        </w:rPr>
        <w:t>强化城区中小型河道排洪能力</w:t>
      </w:r>
      <w:r>
        <w:rPr>
          <w:rFonts w:hint="eastAsia" w:ascii="Calibri" w:hAnsi="Calibri" w:eastAsia="仿宋_GB2312" w:cs="Times New Roman"/>
          <w:b/>
          <w:sz w:val="32"/>
          <w:szCs w:val="32"/>
        </w:rPr>
        <w:t>。</w:t>
      </w:r>
      <w:r>
        <w:rPr>
          <w:rFonts w:hint="eastAsia" w:ascii="Calibri" w:hAnsi="Calibri" w:eastAsia="仿宋_GB2312" w:cs="Times New Roman"/>
          <w:sz w:val="32"/>
          <w:szCs w:val="32"/>
        </w:rPr>
        <w:t>发挥流域内人工湖（漠阳湖）、河涌、管网、水闸和泵站的调蓄排涝功能，通过开展大垌河、新阳河、麻演河等小流域治理，高效有序地支撑防御暴雨洪水灾害的应急处置工作，最大程度地减少城市内涝造成的不利影响。</w:t>
      </w:r>
    </w:p>
    <w:p w14:paraId="315AE5D2">
      <w:pPr>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加强城市内河涌水系生态环境治理。</w:t>
      </w:r>
      <w:r>
        <w:rPr>
          <w:rFonts w:hint="eastAsia" w:ascii="Calibri" w:hAnsi="Calibri" w:eastAsia="仿宋_GB2312" w:cs="Times New Roman"/>
          <w:sz w:val="32"/>
          <w:szCs w:val="32"/>
        </w:rPr>
        <w:t>进一步整治黑臭水体，改善城镇水生态环境质量。抓好环城河、马南河、新阳河、麻演河等城市内河水系生态修复工作，恢复其自然水文过程，重建水生生物群落，发挥生态系统的自我修复能力，改善水体的物理化学特性，促进水环境持续改善，营造亲水乐水的城镇空间优美环境，推动形成人与自然和谐发展现代化新局面。</w:t>
      </w:r>
    </w:p>
    <w:p w14:paraId="261BF62A">
      <w:pPr>
        <w:widowControl/>
        <w:jc w:val="left"/>
        <w:rPr>
          <w:rFonts w:ascii="Calibri" w:hAnsi="Calibri" w:eastAsia="仿宋_GB2312" w:cs="Times New Roman"/>
          <w:sz w:val="32"/>
          <w:szCs w:val="32"/>
        </w:rPr>
      </w:pPr>
      <w:r>
        <w:rPr>
          <w:rFonts w:ascii="Calibri" w:hAnsi="Calibri" w:eastAsia="仿宋_GB2312" w:cs="Times New Roman"/>
          <w:sz w:val="32"/>
          <w:szCs w:val="32"/>
        </w:rPr>
        <w:br w:type="page"/>
      </w:r>
    </w:p>
    <w:p w14:paraId="1FB77CE2">
      <w:pPr>
        <w:pStyle w:val="2"/>
        <w:pageBreakBefore w:val="0"/>
        <w:numPr>
          <w:ilvl w:val="0"/>
          <w:numId w:val="1"/>
        </w:numPr>
        <w:spacing w:line="240" w:lineRule="auto"/>
        <w:rPr>
          <w:rFonts w:ascii="宋体" w:hAnsi="宋体" w:eastAsia="宋体" w:cs="方正小标宋简体"/>
          <w:b/>
          <w:bCs/>
          <w:sz w:val="40"/>
          <w:szCs w:val="40"/>
        </w:rPr>
      </w:pPr>
      <w:bookmarkStart w:id="32" w:name="_Toc181820183"/>
      <w:r>
        <w:rPr>
          <w:rFonts w:hint="eastAsia" w:ascii="宋体" w:hAnsi="宋体" w:eastAsia="宋体" w:cs="方正小标宋简体"/>
          <w:b/>
          <w:bCs/>
          <w:sz w:val="40"/>
          <w:szCs w:val="40"/>
        </w:rPr>
        <w:t>生态保护修复重大工程与重点项目</w:t>
      </w:r>
      <w:bookmarkEnd w:id="32"/>
    </w:p>
    <w:p w14:paraId="16D399FC">
      <w:pPr>
        <w:pStyle w:val="3"/>
        <w:spacing w:beforeLines="100" w:afterLines="50"/>
        <w:ind w:firstLine="0" w:firstLineChars="0"/>
        <w:jc w:val="center"/>
        <w:rPr>
          <w:rFonts w:ascii="楷体" w:hAnsi="楷体" w:eastAsia="楷体"/>
          <w:b/>
          <w:bCs w:val="0"/>
        </w:rPr>
      </w:pPr>
      <w:bookmarkStart w:id="33" w:name="_Toc181820184"/>
      <w:r>
        <w:rPr>
          <w:rFonts w:hint="eastAsia" w:ascii="楷体" w:hAnsi="楷体" w:eastAsia="楷体"/>
          <w:b/>
          <w:bCs w:val="0"/>
        </w:rPr>
        <w:t>第一节 海洋生态保护修复工程</w:t>
      </w:r>
      <w:bookmarkEnd w:id="33"/>
    </w:p>
    <w:p w14:paraId="03DD1BE1">
      <w:pPr>
        <w:pStyle w:val="4"/>
        <w:tabs>
          <w:tab w:val="left" w:pos="360"/>
        </w:tabs>
        <w:spacing w:before="0" w:after="0" w:line="600" w:lineRule="exact"/>
        <w:ind w:firstLine="643"/>
        <w:rPr>
          <w:rFonts w:ascii="仿宋" w:hAnsi="仿宋" w:eastAsia="仿宋"/>
        </w:rPr>
      </w:pPr>
      <w:r>
        <w:rPr>
          <w:rFonts w:hint="eastAsia" w:ascii="仿宋" w:hAnsi="仿宋" w:eastAsia="仿宋"/>
        </w:rPr>
        <w:t>一、实施区域</w:t>
      </w:r>
    </w:p>
    <w:p w14:paraId="28E668CF">
      <w:pPr>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以平冈镇西部、阳江港大桥以北的沿岸滩涂，溪头镇东部沿岸滩涂、海陵岛（闸坡镇）北侧沿海滩涂、海陵湾西岸等地为重点区域，实施红树林生态修复、互花米草治理工程。以阳东区东平镇允泊湾（泥澳仔）、阳江滨海新区（阳江高新区）为重点区域，开展围填海生态保护修复工程，重点实施岸线景观修复、红树林水域生物资源恢复、道路景观修复等修复任务。</w:t>
      </w:r>
    </w:p>
    <w:p w14:paraId="0868D727">
      <w:pPr>
        <w:pStyle w:val="4"/>
        <w:tabs>
          <w:tab w:val="left" w:pos="360"/>
        </w:tabs>
        <w:spacing w:before="0" w:after="0" w:line="600" w:lineRule="exact"/>
        <w:ind w:firstLine="643"/>
        <w:rPr>
          <w:rFonts w:ascii="仿宋" w:hAnsi="仿宋" w:eastAsia="仿宋"/>
        </w:rPr>
      </w:pPr>
      <w:r>
        <w:rPr>
          <w:rFonts w:hint="eastAsia" w:ascii="仿宋" w:hAnsi="仿宋" w:eastAsia="仿宋"/>
        </w:rPr>
        <w:t>二、修复目标</w:t>
      </w:r>
    </w:p>
    <w:p w14:paraId="76272E62">
      <w:pPr>
        <w:spacing w:line="600" w:lineRule="exact"/>
        <w:ind w:firstLine="640" w:firstLineChars="200"/>
        <w:rPr>
          <w:rFonts w:ascii="Times New Roman" w:hAnsi="Times New Roman" w:cs="Times New Roman"/>
        </w:rPr>
      </w:pPr>
      <w:r>
        <w:rPr>
          <w:rFonts w:ascii="Times New Roman" w:hAnsi="Times New Roman" w:eastAsia="仿宋_GB2312" w:cs="Times New Roman"/>
          <w:sz w:val="32"/>
          <w:szCs w:val="32"/>
        </w:rPr>
        <w:t>实现阳江海洋生态健康，通过自然岸线保育、近海海域水质治理、受损红树林湿地修复、互花米草治理等措施，构建韧性健康的阳江海洋生态系统。2025年，实现大陆自然海岸线保有率达到36.7%、近岸海域水质优良（一、二类）面积比例达到96.8%、营造和修复红树林面积达到690公顷。确保至2035年，海洋生态系统关键指标稳步提升，持续开展南部蓝色海洋生态屏障保护和修复。通过红树林生态修复工程进一步恢复自然岸线、治理互花米草、提升海岸生态减灾功能。</w:t>
      </w:r>
    </w:p>
    <w:p w14:paraId="45A9DBE5">
      <w:pPr>
        <w:pStyle w:val="4"/>
        <w:spacing w:before="0" w:after="0" w:line="600" w:lineRule="exact"/>
        <w:ind w:firstLine="643"/>
        <w:rPr>
          <w:rFonts w:ascii="仿宋" w:hAnsi="仿宋" w:eastAsia="仿宋"/>
        </w:rPr>
      </w:pPr>
      <w:r>
        <w:rPr>
          <w:rFonts w:hint="eastAsia" w:ascii="仿宋" w:hAnsi="仿宋" w:eastAsia="仿宋"/>
        </w:rPr>
        <w:t>三、重点项目</w:t>
      </w:r>
    </w:p>
    <w:p w14:paraId="0E51BBCD">
      <w:pPr>
        <w:spacing w:line="600" w:lineRule="exact"/>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海洋生态保护修复工程涉及围填海生态保护修复工程、红树林生态修复工</w:t>
      </w:r>
      <w:r>
        <w:rPr>
          <w:rFonts w:hint="eastAsia" w:ascii="Times New Roman" w:hAnsi="Times New Roman" w:eastAsia="仿宋_GB2312" w:cs="Times New Roman"/>
          <w:sz w:val="32"/>
          <w:szCs w:val="32"/>
        </w:rPr>
        <w:t>程</w:t>
      </w: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大工程，共计</w:t>
      </w:r>
      <w:r>
        <w:rPr>
          <w:rFonts w:ascii="Times New Roman" w:hAnsi="Times New Roman" w:eastAsia="仿宋_GB2312" w:cs="Times New Roman"/>
          <w:sz w:val="32"/>
          <w:szCs w:val="32"/>
        </w:rPr>
        <w:t>9</w:t>
      </w:r>
      <w:r>
        <w:rPr>
          <w:rFonts w:hint="eastAsia" w:ascii="Times New Roman" w:hAnsi="Times New Roman" w:eastAsia="仿宋_GB2312" w:cs="Times New Roman"/>
          <w:sz w:val="32"/>
          <w:szCs w:val="32"/>
        </w:rPr>
        <w:t>个重点项</w:t>
      </w:r>
      <w:r>
        <w:rPr>
          <w:rFonts w:hint="eastAsia" w:ascii="Calibri" w:hAnsi="Calibri" w:eastAsia="仿宋_GB2312" w:cs="Times New Roman"/>
          <w:sz w:val="32"/>
          <w:szCs w:val="32"/>
        </w:rPr>
        <w:t>目。</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6233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5000" w:type="pct"/>
            <w:shd w:val="clear" w:color="auto" w:fill="D9D9D9"/>
            <w:vAlign w:val="center"/>
          </w:tcPr>
          <w:p w14:paraId="741DA888">
            <w:pPr>
              <w:jc w:val="center"/>
              <w:rPr>
                <w:rFonts w:eastAsia="仿宋_GB2312"/>
                <w:sz w:val="28"/>
                <w:szCs w:val="28"/>
              </w:rPr>
            </w:pPr>
            <w:r>
              <w:rPr>
                <w:rFonts w:hint="eastAsia" w:eastAsia="仿宋_GB2312"/>
                <w:b/>
                <w:bCs/>
                <w:sz w:val="28"/>
                <w:szCs w:val="28"/>
              </w:rPr>
              <w:t>专栏</w:t>
            </w:r>
            <w:r>
              <w:rPr>
                <w:rFonts w:eastAsia="仿宋_GB2312"/>
                <w:b/>
                <w:bCs/>
                <w:sz w:val="28"/>
                <w:szCs w:val="28"/>
              </w:rPr>
              <w:t>7</w:t>
            </w:r>
            <w:r>
              <w:rPr>
                <w:rFonts w:hint="eastAsia" w:eastAsia="仿宋_GB2312"/>
                <w:b/>
                <w:bCs/>
                <w:sz w:val="28"/>
                <w:szCs w:val="28"/>
              </w:rPr>
              <w:t>-</w:t>
            </w:r>
            <w:r>
              <w:rPr>
                <w:rFonts w:eastAsia="仿宋_GB2312"/>
                <w:b/>
                <w:bCs/>
                <w:sz w:val="28"/>
                <w:szCs w:val="28"/>
              </w:rPr>
              <w:t>1</w:t>
            </w:r>
            <w:r>
              <w:rPr>
                <w:rFonts w:hint="eastAsia" w:eastAsia="仿宋_GB2312"/>
                <w:b/>
                <w:bCs/>
                <w:sz w:val="28"/>
                <w:szCs w:val="28"/>
              </w:rPr>
              <w:t>：海洋生态保护修复工程</w:t>
            </w:r>
          </w:p>
        </w:tc>
      </w:tr>
      <w:tr w14:paraId="76149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000" w:type="pct"/>
            <w:vAlign w:val="center"/>
          </w:tcPr>
          <w:p w14:paraId="369E64FC">
            <w:pPr>
              <w:pStyle w:val="29"/>
              <w:numPr>
                <w:ilvl w:val="0"/>
                <w:numId w:val="3"/>
              </w:numPr>
              <w:ind w:firstLine="0" w:firstLineChars="0"/>
              <w:jc w:val="left"/>
              <w:rPr>
                <w:rFonts w:ascii="仿宋_GB2312" w:eastAsia="仿宋_GB2312" w:cs="Times New Roman"/>
                <w:b/>
                <w:sz w:val="22"/>
                <w:szCs w:val="22"/>
              </w:rPr>
            </w:pPr>
            <w:r>
              <w:rPr>
                <w:rFonts w:hint="eastAsia" w:ascii="仿宋_GB2312" w:eastAsia="仿宋_GB2312" w:cs="Times New Roman"/>
                <w:b/>
                <w:sz w:val="22"/>
                <w:szCs w:val="22"/>
              </w:rPr>
              <w:t>围填海生态保护修复工程</w:t>
            </w:r>
          </w:p>
          <w:p w14:paraId="4A4871F7">
            <w:pPr>
              <w:pStyle w:val="29"/>
              <w:numPr>
                <w:ilvl w:val="0"/>
                <w:numId w:val="4"/>
              </w:numPr>
              <w:ind w:firstLine="440"/>
              <w:jc w:val="left"/>
              <w:rPr>
                <w:rFonts w:ascii="仿宋_GB2312" w:eastAsia="仿宋_GB2312" w:cs="Times New Roman"/>
                <w:sz w:val="22"/>
                <w:szCs w:val="22"/>
              </w:rPr>
            </w:pPr>
            <w:r>
              <w:rPr>
                <w:rFonts w:hint="eastAsia" w:ascii="仿宋_GB2312" w:eastAsia="仿宋_GB2312" w:cs="Times New Roman"/>
                <w:sz w:val="22"/>
                <w:szCs w:val="22"/>
              </w:rPr>
              <w:t>阳东区东平镇允泊湾（泥澳仔）围填海生态保护修复工程：阳江市阳东区东平镇允泊湾（泥澳仔）围填海生态保护修复工程，在围填海陆域种植人工林，进行复绿，约6344平方米。</w:t>
            </w:r>
          </w:p>
          <w:p w14:paraId="3C54BD2D">
            <w:pPr>
              <w:pStyle w:val="29"/>
              <w:numPr>
                <w:ilvl w:val="0"/>
                <w:numId w:val="4"/>
              </w:numPr>
              <w:ind w:firstLine="440"/>
              <w:jc w:val="left"/>
              <w:rPr>
                <w:rFonts w:ascii="仿宋_GB2312" w:eastAsia="仿宋_GB2312" w:cs="Times New Roman"/>
                <w:szCs w:val="21"/>
              </w:rPr>
            </w:pPr>
            <w:r>
              <w:rPr>
                <w:rFonts w:hint="eastAsia" w:ascii="仿宋_GB2312" w:eastAsia="仿宋_GB2312" w:cs="Times New Roman"/>
                <w:sz w:val="22"/>
                <w:szCs w:val="22"/>
              </w:rPr>
              <w:t>阳江滨海新区（阳江高新区）围填海生态保护修复工程：完成岸线景观修复工程，红树林修复工程，红树林水域生物资源恢复工程，道路景观修复工程，涵洞建设工程。</w:t>
            </w:r>
          </w:p>
        </w:tc>
      </w:tr>
      <w:tr w14:paraId="7A281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000" w:type="pct"/>
            <w:vAlign w:val="center"/>
          </w:tcPr>
          <w:p w14:paraId="210355CB">
            <w:pPr>
              <w:numPr>
                <w:ilvl w:val="0"/>
                <w:numId w:val="3"/>
              </w:numPr>
              <w:jc w:val="left"/>
              <w:rPr>
                <w:rFonts w:ascii="仿宋_GB2312" w:eastAsia="仿宋_GB2312" w:cs="Times New Roman"/>
                <w:b/>
                <w:sz w:val="22"/>
                <w:szCs w:val="22"/>
              </w:rPr>
            </w:pPr>
            <w:r>
              <w:rPr>
                <w:rFonts w:hint="eastAsia" w:ascii="仿宋_GB2312" w:eastAsia="仿宋_GB2312" w:cs="Times New Roman"/>
                <w:b/>
                <w:sz w:val="22"/>
                <w:szCs w:val="22"/>
              </w:rPr>
              <w:t>红树林生态修复</w:t>
            </w:r>
          </w:p>
          <w:p w14:paraId="009A3A1C">
            <w:pPr>
              <w:pStyle w:val="29"/>
              <w:numPr>
                <w:ilvl w:val="0"/>
                <w:numId w:val="5"/>
              </w:numPr>
              <w:ind w:firstLine="440"/>
              <w:jc w:val="left"/>
              <w:rPr>
                <w:rFonts w:ascii="仿宋_GB2312" w:eastAsia="仿宋_GB2312" w:cs="Times New Roman"/>
                <w:sz w:val="22"/>
                <w:szCs w:val="22"/>
              </w:rPr>
            </w:pPr>
            <w:r>
              <w:rPr>
                <w:rFonts w:hint="eastAsia" w:ascii="仿宋_GB2312" w:eastAsia="仿宋_GB2312" w:cs="Times New Roman"/>
                <w:sz w:val="22"/>
                <w:szCs w:val="22"/>
              </w:rPr>
              <w:t>海陵湾东岸海洋生态保护修复（高新区红树林生态修复）：在高新区平冈镇进行红树林生态修复。项目拟在适宜的咸围、滩涂上进行红树林生态修复，工程主要完成生态修复，包括海域整治、海岸带整治修复、红树林营造等。</w:t>
            </w:r>
          </w:p>
          <w:p w14:paraId="3C8E1BB1">
            <w:pPr>
              <w:pStyle w:val="29"/>
              <w:numPr>
                <w:ilvl w:val="0"/>
                <w:numId w:val="5"/>
              </w:numPr>
              <w:ind w:firstLine="440"/>
              <w:jc w:val="left"/>
              <w:rPr>
                <w:rFonts w:ascii="仿宋_GB2312" w:eastAsia="仿宋_GB2312" w:cs="Times New Roman"/>
                <w:sz w:val="22"/>
                <w:szCs w:val="22"/>
              </w:rPr>
            </w:pPr>
            <w:r>
              <w:rPr>
                <w:rFonts w:hint="eastAsia" w:ascii="仿宋_GB2312" w:eastAsia="仿宋_GB2312" w:cs="Times New Roman"/>
                <w:sz w:val="22"/>
                <w:szCs w:val="22"/>
              </w:rPr>
              <w:t>江城区红树林生态修复工程：开展红树林营造工程，以及岸线整治任务200米。</w:t>
            </w:r>
          </w:p>
          <w:p w14:paraId="54240FAD">
            <w:pPr>
              <w:pStyle w:val="29"/>
              <w:numPr>
                <w:ilvl w:val="0"/>
                <w:numId w:val="5"/>
              </w:numPr>
              <w:ind w:firstLine="440"/>
              <w:jc w:val="left"/>
              <w:rPr>
                <w:rFonts w:ascii="仿宋_GB2312" w:eastAsia="仿宋_GB2312" w:cs="Times New Roman"/>
                <w:sz w:val="22"/>
                <w:szCs w:val="22"/>
              </w:rPr>
            </w:pPr>
            <w:r>
              <w:rPr>
                <w:rFonts w:hint="eastAsia" w:ascii="仿宋_GB2312" w:eastAsia="仿宋_GB2312" w:cs="Times New Roman"/>
                <w:sz w:val="22"/>
                <w:szCs w:val="22"/>
              </w:rPr>
              <w:t>阳东区红树林生态修复工程：在阳东区开展红树林营造工程。</w:t>
            </w:r>
          </w:p>
          <w:p w14:paraId="1D62309E">
            <w:pPr>
              <w:pStyle w:val="29"/>
              <w:numPr>
                <w:ilvl w:val="0"/>
                <w:numId w:val="5"/>
              </w:numPr>
              <w:ind w:firstLine="440"/>
              <w:jc w:val="left"/>
              <w:rPr>
                <w:rFonts w:ascii="仿宋_GB2312" w:eastAsia="仿宋_GB2312" w:cs="Times New Roman"/>
                <w:sz w:val="22"/>
                <w:szCs w:val="22"/>
              </w:rPr>
            </w:pPr>
            <w:r>
              <w:rPr>
                <w:rFonts w:hint="eastAsia" w:ascii="仿宋_GB2312" w:eastAsia="仿宋_GB2312" w:cs="Times New Roman"/>
                <w:sz w:val="22"/>
                <w:szCs w:val="22"/>
              </w:rPr>
              <w:t>海陵岛红树林生态修复：在海陵岛北部沿海滩涂进行红树林生态修复，因地制宜建立红树林生态系统，提升海岸生态减灾功能。工程主要完成生态修复，包括海域整治、海岸带整治修复、红树林营造等。</w:t>
            </w:r>
          </w:p>
          <w:p w14:paraId="6860F0E5">
            <w:pPr>
              <w:pStyle w:val="29"/>
              <w:numPr>
                <w:ilvl w:val="0"/>
                <w:numId w:val="5"/>
              </w:numPr>
              <w:ind w:firstLine="440"/>
              <w:jc w:val="left"/>
              <w:rPr>
                <w:rFonts w:ascii="仿宋_GB2312" w:eastAsia="仿宋_GB2312" w:cs="Times New Roman"/>
                <w:sz w:val="22"/>
                <w:szCs w:val="22"/>
              </w:rPr>
            </w:pPr>
            <w:r>
              <w:rPr>
                <w:rFonts w:hint="eastAsia" w:ascii="仿宋_GB2312" w:eastAsia="仿宋_GB2312" w:cs="Times New Roman"/>
                <w:sz w:val="22"/>
                <w:szCs w:val="22"/>
              </w:rPr>
              <w:t>阳西县红树林生态修复：通过分析溪头镇周边自然生态环境现状，结合红树林生长习性特点，开展红树林营造工程，有效发挥红树林防风消浪功能。开展外来入侵种互花米草治理工程，维护当地生物多样性。</w:t>
            </w:r>
          </w:p>
          <w:p w14:paraId="5E2E9D4F">
            <w:pPr>
              <w:pStyle w:val="29"/>
              <w:numPr>
                <w:ilvl w:val="0"/>
                <w:numId w:val="5"/>
              </w:numPr>
              <w:ind w:firstLine="440"/>
              <w:jc w:val="left"/>
              <w:rPr>
                <w:rFonts w:ascii="仿宋_GB2312" w:eastAsia="仿宋_GB2312" w:cs="Times New Roman"/>
                <w:szCs w:val="21"/>
              </w:rPr>
            </w:pPr>
            <w:r>
              <w:rPr>
                <w:rFonts w:hint="eastAsia" w:ascii="仿宋_GB2312" w:eastAsia="仿宋_GB2312" w:cs="Times New Roman"/>
                <w:sz w:val="22"/>
                <w:szCs w:val="22"/>
              </w:rPr>
              <w:t>广东省闸坡现代渔港建设项目生态保护修复：恢复红树林自然岸线约453米、营造红树林面积约0.03平方公里；增殖放流经济作物苗种440万尾</w:t>
            </w:r>
            <w:r>
              <w:rPr>
                <w:rFonts w:ascii="仿宋_GB2312" w:eastAsia="仿宋_GB2312" w:cs="Times New Roman"/>
                <w:sz w:val="22"/>
                <w:szCs w:val="22"/>
              </w:rPr>
              <w:t>。</w:t>
            </w:r>
          </w:p>
          <w:p w14:paraId="51E176B6">
            <w:pPr>
              <w:pStyle w:val="29"/>
              <w:numPr>
                <w:ilvl w:val="0"/>
                <w:numId w:val="5"/>
              </w:numPr>
              <w:ind w:firstLine="420"/>
              <w:jc w:val="left"/>
              <w:rPr>
                <w:rFonts w:ascii="仿宋_GB2312" w:eastAsia="仿宋_GB2312" w:cs="Times New Roman"/>
                <w:szCs w:val="21"/>
              </w:rPr>
            </w:pPr>
            <w:r>
              <w:rPr>
                <w:rFonts w:hint="eastAsia" w:ascii="仿宋_GB2312" w:eastAsia="仿宋_GB2312" w:cs="Times New Roman"/>
                <w:szCs w:val="21"/>
              </w:rPr>
              <w:t>海陵湾西岸海洋生态保护修复：开展约261.02公顷红树林营造工程。</w:t>
            </w:r>
          </w:p>
        </w:tc>
      </w:tr>
    </w:tbl>
    <w:p w14:paraId="0D055A2E">
      <w:pPr>
        <w:pStyle w:val="3"/>
        <w:spacing w:beforeLines="50" w:afterLines="50"/>
        <w:ind w:firstLine="0" w:firstLineChars="0"/>
        <w:jc w:val="center"/>
        <w:rPr>
          <w:rFonts w:ascii="黑体" w:hAnsi="黑体" w:cs="方正小标宋简体"/>
          <w:color w:val="FF0000"/>
        </w:rPr>
      </w:pPr>
      <w:bookmarkStart w:id="34" w:name="_Toc181820185"/>
      <w:r>
        <w:rPr>
          <w:rFonts w:hint="eastAsia" w:ascii="楷体" w:hAnsi="楷体" w:eastAsia="楷体"/>
          <w:b/>
          <w:bCs w:val="0"/>
        </w:rPr>
        <w:t>第二节 江河流域生态保护修复工程</w:t>
      </w:r>
      <w:bookmarkEnd w:id="34"/>
    </w:p>
    <w:p w14:paraId="25F24FD1">
      <w:pPr>
        <w:pStyle w:val="4"/>
        <w:spacing w:before="0" w:after="0" w:line="600" w:lineRule="exact"/>
        <w:ind w:firstLine="643"/>
        <w:rPr>
          <w:rFonts w:ascii="仿宋" w:hAnsi="仿宋" w:eastAsia="仿宋"/>
        </w:rPr>
      </w:pPr>
      <w:r>
        <w:rPr>
          <w:rFonts w:hint="eastAsia" w:ascii="仿宋" w:hAnsi="仿宋" w:eastAsia="仿宋"/>
        </w:rPr>
        <w:t>一、实施区域</w:t>
      </w:r>
    </w:p>
    <w:p w14:paraId="2DFB1FF8">
      <w:pPr>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实施区域包括从漠阳江出海口至源头全线。其中重点围绕漠阳江西支流起点、东支流起点和那龙河支流石伦村位置至漠阳江出海口，开展综合整治工程。出海口环境质量持续改善的同时，积极推进防洪（潮）安全保障能力建设、流域水体生态修复、水景观文化升级改造，逐步提升生态环境承载力。</w:t>
      </w:r>
    </w:p>
    <w:p w14:paraId="7A610ADE">
      <w:pPr>
        <w:pStyle w:val="4"/>
        <w:spacing w:before="0" w:after="0" w:line="600" w:lineRule="exact"/>
        <w:ind w:firstLine="643"/>
        <w:rPr>
          <w:rFonts w:ascii="仿宋" w:hAnsi="仿宋" w:eastAsia="仿宋"/>
        </w:rPr>
      </w:pPr>
      <w:r>
        <w:rPr>
          <w:rFonts w:hint="eastAsia" w:ascii="仿宋" w:hAnsi="仿宋" w:eastAsia="仿宋"/>
        </w:rPr>
        <w:t>二、修复目标</w:t>
      </w:r>
    </w:p>
    <w:p w14:paraId="63119BEA">
      <w:pPr>
        <w:ind w:firstLine="643" w:firstLineChars="200"/>
        <w:rPr>
          <w:rFonts w:ascii="Times New Roman" w:hAnsi="Times New Roman" w:eastAsia="仿宋_GB2312" w:cs="Times New Roman"/>
          <w:sz w:val="32"/>
          <w:szCs w:val="32"/>
        </w:rPr>
      </w:pPr>
      <w:r>
        <w:rPr>
          <w:rFonts w:hint="eastAsia" w:ascii="Calibri" w:hAnsi="Calibri" w:eastAsia="仿宋_GB2312" w:cs="Times New Roman"/>
          <w:b/>
          <w:sz w:val="32"/>
          <w:szCs w:val="32"/>
        </w:rPr>
        <w:t>1</w:t>
      </w:r>
      <w:r>
        <w:rPr>
          <w:rFonts w:ascii="Calibri" w:hAnsi="Calibri" w:eastAsia="仿宋_GB2312" w:cs="Times New Roman"/>
          <w:b/>
          <w:sz w:val="32"/>
          <w:szCs w:val="32"/>
        </w:rPr>
        <w:t>.</w:t>
      </w:r>
      <w:r>
        <w:rPr>
          <w:rFonts w:hint="eastAsia" w:ascii="Calibri" w:hAnsi="Calibri" w:eastAsia="仿宋_GB2312" w:cs="Times New Roman"/>
          <w:b/>
          <w:sz w:val="32"/>
          <w:szCs w:val="32"/>
        </w:rPr>
        <w:t>阳江市中小型河涌污染修复治理。</w:t>
      </w:r>
      <w:r>
        <w:rPr>
          <w:rFonts w:hint="eastAsia" w:ascii="Calibri" w:hAnsi="Calibri" w:eastAsia="仿宋_GB2312" w:cs="Times New Roman"/>
          <w:sz w:val="32"/>
          <w:szCs w:val="32"/>
        </w:rPr>
        <w:t>通过堤防建设、护岸护坡、清淤疏浚等措施，</w:t>
      </w:r>
      <w:r>
        <w:rPr>
          <w:rFonts w:hint="eastAsia" w:ascii="Times New Roman" w:hAnsi="Times New Roman" w:eastAsia="仿宋_GB2312" w:cs="Times New Roman"/>
          <w:sz w:val="32"/>
          <w:szCs w:val="32"/>
        </w:rPr>
        <w:t>对全市50段中小河流进行治理，治理总长为733公里。加大对漠阳江出海口综合整治、漠阳江中下游综合治理，开展麻演河、马南河与漠阳江支流相连通的黑臭水体治理，解决“微容量、重负荷”等问题。到2025年，全市地表水达到或好于Ⅲ类水体比例为100%，重要河湖自然岸线保有率进一步提升。</w:t>
      </w:r>
    </w:p>
    <w:p w14:paraId="1AE264D2">
      <w:pPr>
        <w:ind w:firstLine="643" w:firstLineChars="200"/>
        <w:rPr>
          <w:rFonts w:ascii="Times New Roman" w:hAnsi="Times New Roman" w:eastAsia="仿宋_GB2312" w:cs="Times New Roman"/>
          <w:sz w:val="32"/>
          <w:szCs w:val="32"/>
        </w:rPr>
      </w:pPr>
      <w:r>
        <w:rPr>
          <w:rFonts w:hint="eastAsia" w:ascii="Calibri" w:hAnsi="Calibri" w:eastAsia="仿宋_GB2312" w:cs="Times New Roman"/>
          <w:b/>
          <w:sz w:val="32"/>
          <w:szCs w:val="32"/>
        </w:rPr>
        <w:t>2</w:t>
      </w:r>
      <w:r>
        <w:rPr>
          <w:rFonts w:ascii="Calibri" w:hAnsi="Calibri" w:eastAsia="仿宋_GB2312" w:cs="Times New Roman"/>
          <w:b/>
          <w:sz w:val="32"/>
          <w:szCs w:val="32"/>
        </w:rPr>
        <w:t>.</w:t>
      </w:r>
      <w:r>
        <w:rPr>
          <w:rFonts w:hint="eastAsia" w:ascii="Calibri" w:hAnsi="Calibri" w:eastAsia="仿宋_GB2312" w:cs="Times New Roman"/>
          <w:b/>
          <w:sz w:val="32"/>
          <w:szCs w:val="32"/>
        </w:rPr>
        <w:t>完善滨水工程设施，防治自然灾害。</w:t>
      </w:r>
      <w:r>
        <w:rPr>
          <w:rFonts w:hint="eastAsia" w:ascii="Calibri" w:hAnsi="Calibri" w:eastAsia="仿宋_GB2312" w:cs="Times New Roman"/>
          <w:sz w:val="32"/>
          <w:szCs w:val="32"/>
        </w:rPr>
        <w:t>通过抬高边滩高程，拓宽卡口断面过流能力，降低洪水时期分流量，减轻漠阳江干流防洪压力。对围堤进行安全加固整治，对中游部分河段进行清障，减少防洪设施薄弱环节，</w:t>
      </w:r>
      <w:r>
        <w:rPr>
          <w:rFonts w:hint="eastAsia" w:ascii="Times New Roman" w:hAnsi="Times New Roman" w:eastAsia="仿宋_GB2312" w:cs="Times New Roman"/>
          <w:sz w:val="32"/>
          <w:szCs w:val="32"/>
        </w:rPr>
        <w:t>达到应对100年一遇洪水能力。</w:t>
      </w:r>
    </w:p>
    <w:p w14:paraId="0F9F2D22">
      <w:pPr>
        <w:pStyle w:val="4"/>
        <w:spacing w:before="0" w:after="0" w:line="600" w:lineRule="exact"/>
        <w:ind w:firstLine="643"/>
        <w:rPr>
          <w:rFonts w:ascii="仿宋" w:hAnsi="仿宋" w:eastAsia="仿宋"/>
        </w:rPr>
      </w:pPr>
      <w:r>
        <w:rPr>
          <w:rFonts w:hint="eastAsia" w:ascii="仿宋" w:hAnsi="仿宋" w:eastAsia="仿宋"/>
        </w:rPr>
        <w:t>三、重点项目</w:t>
      </w:r>
    </w:p>
    <w:p w14:paraId="1CEE5523">
      <w:pPr>
        <w:ind w:left="142"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结合已有相关规划成果及漠阳江治理现状，突出人水和谐保护环境、生态优先的治水理念，以防洪（潮）排涝整治、水生态建设为重点。其中碧道建设工程主要涉及漠阳江碧道江城区、漠阳江碧道阳东区、漠阳江碧道阳春市等子段落区域。出海口综合整治工程位于漠阳江下游麻汕村以下河段，工程范围涉及阳江市江城区、阳东区。工程任务主要以防洪（潮）、排涝为主，兼顾改善区域水环境、水景观等综合利用。漠阳江中下游综合治理工程位于高荔联围、升平围春洲水闸至四桥段、捷东围、捷西围以及红丰龙涛围，工程任务主要以整治堤围为主。阳江市石河水库边坡治理生态修复工程位于石河水库，主要开展水环境治理、环湖景观与游憩系统建设。阳江市中小河流治理工程主要开展堤防建设、护岸护坡、清淤疏浚闸涵穿堤建筑物等。</w:t>
      </w:r>
    </w:p>
    <w:p w14:paraId="3842157A">
      <w:pPr>
        <w:ind w:left="142"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水生态保护与修复工程涉及漠阳江出海口综合整治、漠阳江中下游综合治理、水库提升建设、碧道建设、中小河流治理工</w:t>
      </w:r>
      <w:r>
        <w:rPr>
          <w:rFonts w:hint="eastAsia" w:ascii="Times New Roman" w:hAnsi="Times New Roman" w:eastAsia="仿宋_GB2312" w:cs="Times New Roman"/>
          <w:sz w:val="32"/>
          <w:szCs w:val="32"/>
        </w:rPr>
        <w:t>程5大工程，共计15个重点项</w:t>
      </w:r>
      <w:r>
        <w:rPr>
          <w:rFonts w:hint="eastAsia" w:ascii="Calibri" w:hAnsi="Calibri" w:eastAsia="仿宋_GB2312" w:cs="Times New Roman"/>
          <w:sz w:val="32"/>
          <w:szCs w:val="32"/>
        </w:rPr>
        <w:t>目。</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0E47F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shd w:val="clear" w:color="auto" w:fill="D8D8D8" w:themeFill="background1" w:themeFillShade="D9"/>
            <w:vAlign w:val="center"/>
          </w:tcPr>
          <w:p w14:paraId="75769AD9">
            <w:pPr>
              <w:jc w:val="center"/>
              <w:rPr>
                <w:rFonts w:asciiTheme="minorEastAsia" w:hAnsiTheme="minorEastAsia"/>
                <w:b/>
                <w:bCs/>
              </w:rPr>
            </w:pPr>
            <w:r>
              <w:rPr>
                <w:rFonts w:hint="eastAsia" w:eastAsia="仿宋_GB2312"/>
                <w:b/>
                <w:bCs/>
                <w:sz w:val="28"/>
                <w:szCs w:val="28"/>
              </w:rPr>
              <w:t>专栏7</w:t>
            </w:r>
            <w:r>
              <w:rPr>
                <w:rFonts w:eastAsia="仿宋_GB2312"/>
                <w:b/>
                <w:bCs/>
                <w:sz w:val="28"/>
                <w:szCs w:val="28"/>
              </w:rPr>
              <w:t>-2</w:t>
            </w:r>
            <w:r>
              <w:rPr>
                <w:rFonts w:hint="eastAsia" w:eastAsia="仿宋_GB2312"/>
                <w:b/>
                <w:bCs/>
                <w:sz w:val="28"/>
                <w:szCs w:val="28"/>
              </w:rPr>
              <w:t>：江河流域生态保护修复工程</w:t>
            </w:r>
          </w:p>
        </w:tc>
      </w:tr>
      <w:tr w14:paraId="2CE7B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vAlign w:val="center"/>
          </w:tcPr>
          <w:p w14:paraId="5EDFE30B">
            <w:pPr>
              <w:ind w:firstLine="442" w:firstLineChars="200"/>
              <w:jc w:val="left"/>
              <w:rPr>
                <w:rFonts w:ascii="仿宋_GB2312" w:hAnsi="仿宋" w:eastAsia="仿宋_GB2312"/>
                <w:b/>
                <w:bCs/>
                <w:sz w:val="22"/>
                <w:szCs w:val="22"/>
              </w:rPr>
            </w:pPr>
            <w:bookmarkStart w:id="35" w:name="OLE_LINK1"/>
            <w:r>
              <w:rPr>
                <w:rFonts w:ascii="仿宋_GB2312" w:hAnsi="仿宋" w:eastAsia="仿宋_GB2312"/>
                <w:b/>
                <w:bCs/>
                <w:sz w:val="22"/>
                <w:szCs w:val="22"/>
              </w:rPr>
              <w:t>1.</w:t>
            </w:r>
            <w:r>
              <w:rPr>
                <w:rFonts w:hint="eastAsia" w:ascii="仿宋_GB2312" w:hAnsi="仿宋" w:eastAsia="仿宋_GB2312"/>
                <w:b/>
                <w:bCs/>
                <w:sz w:val="22"/>
                <w:szCs w:val="22"/>
              </w:rPr>
              <w:t>漠阳江出海口综合整治工程</w:t>
            </w:r>
            <w:r>
              <w:rPr>
                <w:rFonts w:ascii="仿宋_GB2312" w:hAnsi="仿宋" w:eastAsia="仿宋_GB2312"/>
                <w:b/>
                <w:bCs/>
                <w:sz w:val="22"/>
                <w:szCs w:val="22"/>
              </w:rPr>
              <w:t>:</w:t>
            </w:r>
          </w:p>
          <w:bookmarkEnd w:id="35"/>
          <w:p w14:paraId="2745D2E1">
            <w:pPr>
              <w:ind w:firstLine="440" w:firstLineChars="200"/>
              <w:jc w:val="left"/>
              <w:rPr>
                <w:rFonts w:ascii="仿宋_GB2312" w:hAnsi="仿宋" w:eastAsia="仿宋_GB2312"/>
                <w:sz w:val="22"/>
                <w:szCs w:val="22"/>
              </w:rPr>
            </w:pPr>
            <w:r>
              <w:rPr>
                <w:rFonts w:hint="eastAsia" w:ascii="仿宋_GB2312" w:hAnsi="仿宋" w:eastAsia="仿宋_GB2312"/>
                <w:sz w:val="22"/>
                <w:szCs w:val="22"/>
              </w:rPr>
              <w:t>（</w:t>
            </w:r>
            <w:r>
              <w:rPr>
                <w:rFonts w:ascii="仿宋_GB2312" w:hAnsi="仿宋" w:eastAsia="仿宋_GB2312"/>
                <w:sz w:val="22"/>
                <w:szCs w:val="22"/>
              </w:rPr>
              <w:t>1</w:t>
            </w:r>
            <w:r>
              <w:rPr>
                <w:rFonts w:hint="eastAsia" w:ascii="仿宋_GB2312" w:hAnsi="仿宋" w:eastAsia="仿宋_GB2312"/>
                <w:sz w:val="22"/>
                <w:szCs w:val="22"/>
              </w:rPr>
              <w:t>）新洲控导项目：通过抬高东支汊口两侧边滩，束窄高水位时的过流面积，降低洪水时期东支分流量，从而降低东支设计洪水位。</w:t>
            </w:r>
          </w:p>
          <w:p w14:paraId="5E61914A">
            <w:pPr>
              <w:ind w:firstLine="440" w:firstLineChars="200"/>
              <w:jc w:val="left"/>
              <w:rPr>
                <w:rFonts w:ascii="仿宋_GB2312" w:hAnsi="仿宋" w:eastAsia="仿宋_GB2312"/>
                <w:sz w:val="22"/>
                <w:szCs w:val="22"/>
              </w:rPr>
            </w:pPr>
            <w:r>
              <w:rPr>
                <w:rFonts w:hint="eastAsia" w:ascii="仿宋_GB2312" w:hAnsi="仿宋" w:eastAsia="仿宋_GB2312"/>
                <w:sz w:val="22"/>
                <w:szCs w:val="22"/>
              </w:rPr>
              <w:t>（</w:t>
            </w:r>
            <w:r>
              <w:rPr>
                <w:rFonts w:ascii="仿宋_GB2312" w:hAnsi="仿宋" w:eastAsia="仿宋_GB2312"/>
                <w:sz w:val="22"/>
                <w:szCs w:val="22"/>
              </w:rPr>
              <w:t>2</w:t>
            </w:r>
            <w:r>
              <w:rPr>
                <w:rFonts w:hint="eastAsia" w:ascii="仿宋_GB2312" w:hAnsi="仿宋" w:eastAsia="仿宋_GB2312"/>
                <w:sz w:val="22"/>
                <w:szCs w:val="22"/>
              </w:rPr>
              <w:t>）西支流疏浚项目：清淤疏浚整治，拓宽卡口断面过流能力，减轻控导后西支流防洪压力。</w:t>
            </w:r>
          </w:p>
          <w:p w14:paraId="68DE95DC">
            <w:pPr>
              <w:ind w:firstLine="440" w:firstLineChars="200"/>
              <w:jc w:val="left"/>
              <w:rPr>
                <w:rFonts w:ascii="仿宋_GB2312" w:hAnsi="仿宋" w:eastAsia="仿宋_GB2312"/>
                <w:sz w:val="22"/>
                <w:szCs w:val="22"/>
              </w:rPr>
            </w:pPr>
            <w:r>
              <w:rPr>
                <w:rFonts w:hint="eastAsia" w:ascii="仿宋_GB2312" w:hAnsi="仿宋" w:eastAsia="仿宋_GB2312"/>
                <w:sz w:val="22"/>
                <w:szCs w:val="22"/>
              </w:rPr>
              <w:t>（</w:t>
            </w:r>
            <w:r>
              <w:rPr>
                <w:rFonts w:ascii="仿宋_GB2312" w:hAnsi="仿宋" w:eastAsia="仿宋_GB2312"/>
                <w:sz w:val="22"/>
                <w:szCs w:val="22"/>
              </w:rPr>
              <w:t>3</w:t>
            </w:r>
            <w:r>
              <w:rPr>
                <w:rFonts w:hint="eastAsia" w:ascii="仿宋_GB2312" w:hAnsi="仿宋" w:eastAsia="仿宋_GB2312"/>
                <w:sz w:val="22"/>
                <w:szCs w:val="22"/>
              </w:rPr>
              <w:t>）堤防能力提升项目：按照</w:t>
            </w:r>
            <w:r>
              <w:rPr>
                <w:rFonts w:ascii="仿宋_GB2312" w:hAnsi="仿宋" w:eastAsia="仿宋_GB2312"/>
                <w:sz w:val="22"/>
                <w:szCs w:val="22"/>
              </w:rPr>
              <w:t>100年一遇防洪（潮）标准加固漠阳江出海口堤围。</w:t>
            </w:r>
          </w:p>
          <w:p w14:paraId="491C42A6">
            <w:pPr>
              <w:ind w:firstLine="440" w:firstLineChars="200"/>
              <w:jc w:val="left"/>
              <w:rPr>
                <w:rFonts w:ascii="仿宋_GB2312" w:hAnsi="仿宋" w:eastAsia="仿宋_GB2312"/>
                <w:sz w:val="22"/>
                <w:szCs w:val="22"/>
              </w:rPr>
            </w:pPr>
            <w:r>
              <w:rPr>
                <w:rFonts w:hint="eastAsia" w:ascii="仿宋_GB2312" w:hAnsi="仿宋" w:eastAsia="仿宋_GB2312"/>
                <w:sz w:val="22"/>
                <w:szCs w:val="22"/>
              </w:rPr>
              <w:t>（</w:t>
            </w:r>
            <w:r>
              <w:rPr>
                <w:rFonts w:ascii="仿宋_GB2312" w:hAnsi="仿宋" w:eastAsia="仿宋_GB2312"/>
                <w:sz w:val="22"/>
                <w:szCs w:val="22"/>
              </w:rPr>
              <w:t>4</w:t>
            </w:r>
            <w:r>
              <w:rPr>
                <w:rFonts w:hint="eastAsia" w:ascii="仿宋_GB2312" w:hAnsi="仿宋" w:eastAsia="仿宋_GB2312"/>
                <w:sz w:val="22"/>
                <w:szCs w:val="22"/>
              </w:rPr>
              <w:t>）涝区整治项目：按照</w:t>
            </w:r>
            <w:r>
              <w:rPr>
                <w:rFonts w:ascii="仿宋_GB2312" w:hAnsi="仿宋" w:eastAsia="仿宋_GB2312"/>
                <w:sz w:val="22"/>
                <w:szCs w:val="22"/>
              </w:rPr>
              <w:t>10-20年一遇排涝标准对中心洲联围涝区、</w:t>
            </w:r>
            <w:r>
              <w:rPr>
                <w:rFonts w:hint="eastAsia" w:ascii="仿宋_GB2312" w:hAnsi="仿宋" w:eastAsia="仿宋_GB2312"/>
                <w:sz w:val="22"/>
                <w:szCs w:val="22"/>
              </w:rPr>
              <w:t>四朗联围涝区、埠场联围涝区进行治理。</w:t>
            </w:r>
          </w:p>
          <w:p w14:paraId="7EE006F9">
            <w:pPr>
              <w:ind w:firstLine="442" w:firstLineChars="200"/>
              <w:jc w:val="left"/>
              <w:rPr>
                <w:rFonts w:ascii="仿宋_GB2312" w:hAnsi="仿宋" w:eastAsia="仿宋_GB2312"/>
                <w:b/>
                <w:bCs/>
                <w:sz w:val="22"/>
                <w:szCs w:val="22"/>
              </w:rPr>
            </w:pPr>
            <w:r>
              <w:rPr>
                <w:rFonts w:ascii="仿宋_GB2312" w:hAnsi="仿宋" w:eastAsia="仿宋_GB2312"/>
                <w:b/>
                <w:bCs/>
                <w:sz w:val="22"/>
                <w:szCs w:val="22"/>
              </w:rPr>
              <w:t>2.</w:t>
            </w:r>
            <w:r>
              <w:rPr>
                <w:rFonts w:hint="eastAsia" w:ascii="仿宋_GB2312" w:hAnsi="仿宋" w:eastAsia="仿宋_GB2312"/>
                <w:b/>
                <w:bCs/>
                <w:sz w:val="22"/>
                <w:szCs w:val="22"/>
              </w:rPr>
              <w:t>漠阳江中下游综合治理工程</w:t>
            </w:r>
            <w:r>
              <w:rPr>
                <w:rFonts w:ascii="仿宋_GB2312" w:hAnsi="仿宋" w:eastAsia="仿宋_GB2312"/>
                <w:b/>
                <w:bCs/>
                <w:sz w:val="22"/>
                <w:szCs w:val="22"/>
              </w:rPr>
              <w:t>:</w:t>
            </w:r>
          </w:p>
          <w:p w14:paraId="4EC796D5">
            <w:pPr>
              <w:ind w:firstLine="440" w:firstLineChars="200"/>
              <w:jc w:val="left"/>
              <w:rPr>
                <w:rFonts w:ascii="仿宋_GB2312" w:hAnsi="仿宋" w:eastAsia="仿宋_GB2312"/>
                <w:sz w:val="22"/>
                <w:szCs w:val="22"/>
              </w:rPr>
            </w:pPr>
            <w:r>
              <w:rPr>
                <w:rFonts w:hint="eastAsia" w:ascii="仿宋_GB2312" w:hAnsi="仿宋" w:eastAsia="仿宋_GB2312"/>
                <w:sz w:val="22"/>
                <w:szCs w:val="22"/>
              </w:rPr>
              <w:t>（</w:t>
            </w:r>
            <w:r>
              <w:rPr>
                <w:rFonts w:ascii="仿宋_GB2312" w:hAnsi="仿宋" w:eastAsia="仿宋_GB2312"/>
                <w:sz w:val="22"/>
                <w:szCs w:val="22"/>
              </w:rPr>
              <w:t>5</w:t>
            </w:r>
            <w:r>
              <w:rPr>
                <w:rFonts w:hint="eastAsia" w:ascii="仿宋_GB2312" w:hAnsi="仿宋" w:eastAsia="仿宋_GB2312"/>
                <w:sz w:val="22"/>
                <w:szCs w:val="22"/>
              </w:rPr>
              <w:t>）主要</w:t>
            </w:r>
            <w:bookmarkStart w:id="36" w:name="OLE_LINK3"/>
            <w:bookmarkStart w:id="37" w:name="OLE_LINK2"/>
            <w:r>
              <w:rPr>
                <w:rFonts w:hint="eastAsia" w:ascii="仿宋_GB2312" w:hAnsi="仿宋" w:eastAsia="仿宋_GB2312"/>
                <w:sz w:val="22"/>
                <w:szCs w:val="22"/>
              </w:rPr>
              <w:t>针对围堤进行安全加固整治，并对中游部分河段进行清障。</w:t>
            </w:r>
          </w:p>
          <w:bookmarkEnd w:id="36"/>
          <w:bookmarkEnd w:id="37"/>
          <w:p w14:paraId="6C401629">
            <w:pPr>
              <w:ind w:firstLine="442" w:firstLineChars="200"/>
              <w:jc w:val="left"/>
              <w:rPr>
                <w:rFonts w:ascii="仿宋_GB2312" w:hAnsi="仿宋" w:eastAsia="仿宋_GB2312"/>
                <w:b/>
                <w:bCs/>
                <w:sz w:val="22"/>
                <w:szCs w:val="22"/>
              </w:rPr>
            </w:pPr>
            <w:r>
              <w:rPr>
                <w:rFonts w:ascii="仿宋_GB2312" w:hAnsi="仿宋" w:eastAsia="仿宋_GB2312"/>
                <w:b/>
                <w:bCs/>
                <w:sz w:val="22"/>
                <w:szCs w:val="22"/>
              </w:rPr>
              <w:t xml:space="preserve">3. </w:t>
            </w:r>
            <w:r>
              <w:rPr>
                <w:rFonts w:hint="eastAsia" w:ascii="仿宋_GB2312" w:hAnsi="仿宋" w:eastAsia="仿宋_GB2312"/>
                <w:b/>
                <w:bCs/>
                <w:sz w:val="22"/>
                <w:szCs w:val="22"/>
              </w:rPr>
              <w:t>水库提升建设工程：</w:t>
            </w:r>
          </w:p>
          <w:p w14:paraId="0DC18B23">
            <w:pPr>
              <w:ind w:firstLine="440" w:firstLineChars="200"/>
              <w:jc w:val="left"/>
              <w:rPr>
                <w:rFonts w:ascii="仿宋_GB2312" w:hAnsi="仿宋" w:eastAsia="仿宋_GB2312"/>
                <w:sz w:val="22"/>
                <w:szCs w:val="22"/>
              </w:rPr>
            </w:pPr>
            <w:r>
              <w:rPr>
                <w:rFonts w:hint="eastAsia" w:ascii="仿宋_GB2312" w:hAnsi="仿宋" w:eastAsia="仿宋_GB2312"/>
                <w:sz w:val="22"/>
                <w:szCs w:val="22"/>
              </w:rPr>
              <w:t>（</w:t>
            </w:r>
            <w:r>
              <w:rPr>
                <w:rFonts w:ascii="仿宋_GB2312" w:hAnsi="仿宋" w:eastAsia="仿宋_GB2312"/>
                <w:sz w:val="22"/>
                <w:szCs w:val="22"/>
              </w:rPr>
              <w:t>6</w:t>
            </w:r>
            <w:r>
              <w:rPr>
                <w:rFonts w:hint="eastAsia" w:ascii="仿宋_GB2312" w:hAnsi="仿宋" w:eastAsia="仿宋_GB2312"/>
                <w:sz w:val="22"/>
                <w:szCs w:val="22"/>
              </w:rPr>
              <w:t>）阳江市石河水库边陂治理生态修复项目：主要开展</w:t>
            </w:r>
            <w:bookmarkStart w:id="38" w:name="OLE_LINK5"/>
            <w:bookmarkStart w:id="39" w:name="OLE_LINK4"/>
            <w:r>
              <w:rPr>
                <w:rFonts w:hint="eastAsia" w:ascii="仿宋_GB2312" w:hAnsi="仿宋" w:eastAsia="仿宋_GB2312"/>
                <w:sz w:val="22"/>
                <w:szCs w:val="22"/>
              </w:rPr>
              <w:t>水生态及水环境治理项目、环湖景观与游憩系统项目及水利设施提升</w:t>
            </w:r>
            <w:bookmarkEnd w:id="38"/>
            <w:bookmarkEnd w:id="39"/>
            <w:r>
              <w:rPr>
                <w:rFonts w:hint="eastAsia" w:ascii="仿宋_GB2312" w:hAnsi="仿宋" w:eastAsia="仿宋_GB2312"/>
                <w:sz w:val="22"/>
                <w:szCs w:val="22"/>
              </w:rPr>
              <w:t>项目</w:t>
            </w:r>
            <w:bookmarkStart w:id="40" w:name="OLE_LINK7"/>
            <w:bookmarkStart w:id="41" w:name="OLE_LINK6"/>
            <w:r>
              <w:rPr>
                <w:rFonts w:hint="eastAsia" w:ascii="仿宋_GB2312" w:hAnsi="仿宋" w:eastAsia="仿宋_GB2312"/>
                <w:sz w:val="22"/>
                <w:szCs w:val="22"/>
              </w:rPr>
              <w:t>。</w:t>
            </w:r>
            <w:bookmarkEnd w:id="40"/>
            <w:bookmarkEnd w:id="41"/>
          </w:p>
          <w:p w14:paraId="1464A7D9">
            <w:pPr>
              <w:ind w:firstLine="442" w:firstLineChars="200"/>
              <w:jc w:val="left"/>
              <w:rPr>
                <w:rFonts w:ascii="仿宋_GB2312" w:hAnsi="仿宋" w:eastAsia="仿宋_GB2312"/>
                <w:b/>
                <w:bCs/>
                <w:sz w:val="22"/>
                <w:szCs w:val="22"/>
              </w:rPr>
            </w:pPr>
            <w:r>
              <w:rPr>
                <w:rFonts w:ascii="仿宋_GB2312" w:hAnsi="仿宋" w:eastAsia="仿宋_GB2312"/>
                <w:b/>
                <w:bCs/>
                <w:sz w:val="22"/>
                <w:szCs w:val="22"/>
              </w:rPr>
              <w:t>4.碧道建设工程:</w:t>
            </w:r>
          </w:p>
          <w:p w14:paraId="15DB0D31">
            <w:pPr>
              <w:ind w:firstLine="440" w:firstLineChars="200"/>
              <w:jc w:val="left"/>
              <w:rPr>
                <w:rFonts w:ascii="仿宋_GB2312" w:hAnsi="仿宋" w:eastAsia="仿宋_GB2312"/>
                <w:bCs/>
                <w:sz w:val="22"/>
                <w:szCs w:val="22"/>
              </w:rPr>
            </w:pPr>
            <w:r>
              <w:rPr>
                <w:rFonts w:hint="eastAsia" w:ascii="仿宋_GB2312" w:hAnsi="仿宋" w:eastAsia="仿宋_GB2312"/>
                <w:bCs/>
                <w:sz w:val="22"/>
                <w:szCs w:val="22"/>
              </w:rPr>
              <w:t>（</w:t>
            </w:r>
            <w:r>
              <w:rPr>
                <w:rFonts w:ascii="仿宋_GB2312" w:hAnsi="仿宋" w:eastAsia="仿宋_GB2312"/>
                <w:bCs/>
                <w:sz w:val="22"/>
                <w:szCs w:val="22"/>
              </w:rPr>
              <w:t>7</w:t>
            </w:r>
            <w:r>
              <w:rPr>
                <w:rFonts w:hint="eastAsia" w:ascii="仿宋_GB2312" w:hAnsi="仿宋" w:eastAsia="仿宋_GB2312"/>
                <w:bCs/>
                <w:sz w:val="22"/>
                <w:szCs w:val="22"/>
              </w:rPr>
              <w:t>）百里碧道建设项目：百里漠江碧道包括从漠阳江出海口至源头全线。其中规划建设内容有漠阳江碧道江城区、漠阳江碧道阳东区、漠阳江碧道阳春市段等子项目。通过守、退、补方式加快推进江河湖库、城市建成区河涌两岸生态缓冲带建设，优化岸边带生态系统结构，逐步引导可持续利用岸边带资源，构建河流生态廊道。</w:t>
            </w:r>
          </w:p>
          <w:p w14:paraId="7915AD44">
            <w:pPr>
              <w:pStyle w:val="29"/>
              <w:tabs>
                <w:tab w:val="left" w:pos="312"/>
              </w:tabs>
              <w:ind w:left="420" w:firstLine="0" w:firstLineChars="0"/>
              <w:jc w:val="left"/>
              <w:rPr>
                <w:rFonts w:ascii="仿宋_GB2312" w:hAnsi="仿宋" w:eastAsia="仿宋_GB2312"/>
                <w:b/>
                <w:bCs/>
                <w:sz w:val="22"/>
                <w:szCs w:val="22"/>
              </w:rPr>
            </w:pPr>
            <w:bookmarkStart w:id="42" w:name="OLE_LINK9"/>
            <w:bookmarkStart w:id="43" w:name="OLE_LINK8"/>
            <w:r>
              <w:rPr>
                <w:rFonts w:ascii="仿宋_GB2312" w:hAnsi="仿宋" w:eastAsia="仿宋_GB2312"/>
                <w:b/>
                <w:bCs/>
                <w:sz w:val="22"/>
                <w:szCs w:val="22"/>
              </w:rPr>
              <w:t>5.</w:t>
            </w:r>
            <w:r>
              <w:rPr>
                <w:rFonts w:hint="eastAsia" w:ascii="仿宋_GB2312" w:hAnsi="仿宋" w:eastAsia="仿宋_GB2312"/>
                <w:b/>
                <w:bCs/>
                <w:sz w:val="22"/>
                <w:szCs w:val="22"/>
              </w:rPr>
              <w:t>中小河流治理工程</w:t>
            </w:r>
            <w:bookmarkEnd w:id="42"/>
            <w:bookmarkEnd w:id="43"/>
            <w:r>
              <w:rPr>
                <w:rFonts w:hint="eastAsia" w:ascii="仿宋_GB2312" w:hAnsi="仿宋" w:eastAsia="仿宋_GB2312"/>
                <w:b/>
                <w:bCs/>
                <w:sz w:val="22"/>
                <w:szCs w:val="22"/>
              </w:rPr>
              <w:t>：</w:t>
            </w:r>
          </w:p>
          <w:p w14:paraId="16127670">
            <w:pPr>
              <w:ind w:firstLine="440" w:firstLineChars="200"/>
              <w:jc w:val="left"/>
              <w:rPr>
                <w:rFonts w:ascii="仿宋_GB2312" w:hAnsi="仿宋" w:eastAsia="仿宋_GB2312"/>
                <w:sz w:val="22"/>
                <w:szCs w:val="22"/>
              </w:rPr>
            </w:pPr>
            <w:r>
              <w:rPr>
                <w:rFonts w:hint="eastAsia" w:ascii="仿宋_GB2312" w:hAnsi="仿宋" w:eastAsia="仿宋_GB2312"/>
                <w:sz w:val="22"/>
                <w:szCs w:val="22"/>
              </w:rPr>
              <w:t>（</w:t>
            </w:r>
            <w:r>
              <w:rPr>
                <w:rFonts w:ascii="仿宋_GB2312" w:hAnsi="仿宋" w:eastAsia="仿宋_GB2312"/>
                <w:sz w:val="22"/>
                <w:szCs w:val="22"/>
              </w:rPr>
              <w:t>8）岗美镇</w:t>
            </w:r>
            <w:r>
              <w:rPr>
                <w:rFonts w:hint="eastAsia" w:ascii="仿宋_GB2312" w:hAnsi="仿宋" w:eastAsia="仿宋_GB2312"/>
                <w:sz w:val="22"/>
                <w:szCs w:val="22"/>
              </w:rPr>
              <w:t>生风河整治项目：生风河及其周边区域敷设排污管。</w:t>
            </w:r>
          </w:p>
          <w:p w14:paraId="30BB2B0F">
            <w:pPr>
              <w:ind w:firstLine="440" w:firstLineChars="200"/>
              <w:jc w:val="left"/>
              <w:rPr>
                <w:rFonts w:ascii="仿宋_GB2312" w:hAnsi="仿宋" w:eastAsia="仿宋_GB2312"/>
                <w:sz w:val="22"/>
                <w:szCs w:val="22"/>
              </w:rPr>
            </w:pPr>
            <w:r>
              <w:rPr>
                <w:rFonts w:hint="eastAsia" w:ascii="仿宋_GB2312" w:hAnsi="仿宋" w:eastAsia="仿宋_GB2312"/>
                <w:sz w:val="22"/>
                <w:szCs w:val="22"/>
              </w:rPr>
              <w:t>（</w:t>
            </w:r>
            <w:r>
              <w:rPr>
                <w:rFonts w:ascii="仿宋_GB2312" w:hAnsi="仿宋" w:eastAsia="仿宋_GB2312"/>
                <w:sz w:val="22"/>
                <w:szCs w:val="22"/>
              </w:rPr>
              <w:t>9）</w:t>
            </w:r>
            <w:r>
              <w:rPr>
                <w:rFonts w:hint="eastAsia" w:ascii="仿宋_GB2312" w:hAnsi="仿宋" w:eastAsia="仿宋_GB2312"/>
                <w:sz w:val="22"/>
                <w:szCs w:val="22"/>
              </w:rPr>
              <w:t>茅垌水库排洪河治理项目：对全段河涌进行河道疏浚，新增碧道、优化坡面景观及生态节点。</w:t>
            </w:r>
          </w:p>
          <w:p w14:paraId="1A807A21">
            <w:pPr>
              <w:ind w:firstLine="440" w:firstLineChars="200"/>
              <w:jc w:val="left"/>
              <w:rPr>
                <w:rFonts w:ascii="仿宋_GB2312" w:hAnsi="仿宋" w:eastAsia="仿宋_GB2312"/>
                <w:sz w:val="22"/>
                <w:szCs w:val="22"/>
              </w:rPr>
            </w:pPr>
            <w:r>
              <w:rPr>
                <w:rFonts w:hint="eastAsia" w:ascii="仿宋_GB2312" w:hAnsi="仿宋" w:eastAsia="仿宋_GB2312"/>
                <w:sz w:val="22"/>
                <w:szCs w:val="22"/>
              </w:rPr>
              <w:t>（</w:t>
            </w:r>
            <w:r>
              <w:rPr>
                <w:rFonts w:ascii="仿宋_GB2312" w:hAnsi="仿宋" w:eastAsia="仿宋_GB2312"/>
                <w:sz w:val="22"/>
                <w:szCs w:val="22"/>
              </w:rPr>
              <w:t>10）儒洞河东水段治理项目：开展河道护岸治理、修建桥涵、水</w:t>
            </w:r>
            <w:r>
              <w:rPr>
                <w:rFonts w:hint="eastAsia" w:ascii="仿宋_GB2312" w:hAnsi="仿宋" w:eastAsia="仿宋_GB2312"/>
                <w:sz w:val="22"/>
                <w:szCs w:val="22"/>
              </w:rPr>
              <w:t>陂及箱涵。</w:t>
            </w:r>
          </w:p>
          <w:p w14:paraId="5D6F03D3">
            <w:pPr>
              <w:ind w:firstLine="440" w:firstLineChars="200"/>
              <w:jc w:val="left"/>
              <w:rPr>
                <w:rFonts w:ascii="仿宋_GB2312" w:hAnsi="仿宋" w:eastAsia="仿宋_GB2312"/>
                <w:sz w:val="22"/>
                <w:szCs w:val="22"/>
              </w:rPr>
            </w:pPr>
            <w:r>
              <w:rPr>
                <w:rFonts w:hint="eastAsia" w:ascii="仿宋_GB2312" w:hAnsi="仿宋" w:eastAsia="仿宋_GB2312"/>
                <w:sz w:val="22"/>
                <w:szCs w:val="22"/>
              </w:rPr>
              <w:t>（</w:t>
            </w:r>
            <w:r>
              <w:rPr>
                <w:rFonts w:ascii="仿宋_GB2312" w:hAnsi="仿宋" w:eastAsia="仿宋_GB2312"/>
                <w:sz w:val="22"/>
                <w:szCs w:val="22"/>
              </w:rPr>
              <w:t>11）中小河流治理项目：堤防建设、护岸护坡、清淤疏浚</w:t>
            </w:r>
            <w:r>
              <w:rPr>
                <w:rFonts w:hint="eastAsia" w:ascii="仿宋_GB2312" w:hAnsi="仿宋" w:eastAsia="仿宋_GB2312"/>
                <w:sz w:val="22"/>
                <w:szCs w:val="22"/>
              </w:rPr>
              <w:t>闸涵穿堤建筑物等。</w:t>
            </w:r>
          </w:p>
          <w:p w14:paraId="1AEF3971">
            <w:pPr>
              <w:ind w:firstLine="440" w:firstLineChars="200"/>
              <w:jc w:val="left"/>
              <w:rPr>
                <w:rFonts w:ascii="仿宋_GB2312" w:hAnsi="仿宋" w:eastAsia="仿宋_GB2312"/>
                <w:sz w:val="22"/>
                <w:szCs w:val="22"/>
              </w:rPr>
            </w:pPr>
            <w:r>
              <w:rPr>
                <w:rFonts w:hint="eastAsia" w:ascii="仿宋_GB2312" w:hAnsi="仿宋" w:eastAsia="仿宋_GB2312"/>
                <w:sz w:val="22"/>
                <w:szCs w:val="22"/>
              </w:rPr>
              <w:t>（</w:t>
            </w:r>
            <w:r>
              <w:rPr>
                <w:rFonts w:ascii="仿宋_GB2312" w:hAnsi="仿宋" w:eastAsia="仿宋_GB2312"/>
                <w:sz w:val="22"/>
                <w:szCs w:val="22"/>
              </w:rPr>
              <w:t xml:space="preserve">12）阳东区中心河流治理项目：涉及阳东区那龙河、三合河、 </w:t>
            </w:r>
            <w:r>
              <w:rPr>
                <w:rFonts w:hint="eastAsia" w:ascii="仿宋_GB2312" w:hAnsi="仿宋" w:eastAsia="仿宋_GB2312"/>
                <w:sz w:val="22"/>
                <w:szCs w:val="22"/>
              </w:rPr>
              <w:t>周亨河、大河、大迳河、沙湾河、大</w:t>
            </w:r>
            <w:r>
              <w:rPr>
                <w:rFonts w:hint="eastAsia" w:ascii="微软雅黑" w:hAnsi="微软雅黑" w:eastAsia="微软雅黑" w:cs="微软雅黑"/>
                <w:sz w:val="22"/>
                <w:szCs w:val="22"/>
              </w:rPr>
              <w:t>坰</w:t>
            </w:r>
            <w:r>
              <w:rPr>
                <w:rFonts w:hint="eastAsia" w:ascii="仿宋_GB2312" w:hAnsi="仿宋_GB2312" w:eastAsia="仿宋_GB2312" w:cs="仿宋_GB2312"/>
                <w:sz w:val="22"/>
                <w:szCs w:val="22"/>
              </w:rPr>
              <w:t>河、笏朝河</w:t>
            </w:r>
            <w:r>
              <w:rPr>
                <w:rFonts w:hint="eastAsia" w:ascii="仿宋_GB2312" w:hAnsi="仿宋" w:eastAsia="仿宋_GB2312"/>
                <w:sz w:val="22"/>
                <w:szCs w:val="22"/>
              </w:rPr>
              <w:t>、规壳河、马尾河、珠环河、马朗河、中六河、蛉沟河、漠阳江雅韶段等</w:t>
            </w:r>
            <w:r>
              <w:rPr>
                <w:rFonts w:ascii="仿宋_GB2312" w:hAnsi="仿宋" w:eastAsia="仿宋_GB2312"/>
                <w:sz w:val="22"/>
                <w:szCs w:val="22"/>
              </w:rPr>
              <w:t>16条中小河流治理。</w:t>
            </w:r>
          </w:p>
          <w:p w14:paraId="55962676">
            <w:pPr>
              <w:ind w:firstLine="440" w:firstLineChars="200"/>
              <w:jc w:val="left"/>
              <w:rPr>
                <w:rFonts w:ascii="仿宋_GB2312" w:hAnsi="仿宋" w:eastAsia="仿宋_GB2312"/>
                <w:sz w:val="22"/>
                <w:szCs w:val="22"/>
              </w:rPr>
            </w:pPr>
            <w:r>
              <w:rPr>
                <w:rFonts w:hint="eastAsia" w:ascii="仿宋_GB2312" w:hAnsi="仿宋" w:eastAsia="仿宋_GB2312"/>
                <w:sz w:val="22"/>
                <w:szCs w:val="22"/>
              </w:rPr>
              <w:t>（</w:t>
            </w:r>
            <w:r>
              <w:rPr>
                <w:rFonts w:ascii="仿宋_GB2312" w:hAnsi="仿宋" w:eastAsia="仿宋_GB2312"/>
                <w:sz w:val="22"/>
                <w:szCs w:val="22"/>
              </w:rPr>
              <w:t>13）阳春市岗美镇</w:t>
            </w:r>
            <w:r>
              <w:rPr>
                <w:rFonts w:hint="eastAsia" w:ascii="仿宋_GB2312" w:hAnsi="仿宋" w:eastAsia="仿宋_GB2312"/>
                <w:sz w:val="22"/>
                <w:szCs w:val="22"/>
              </w:rPr>
              <w:t>生风河黑臭水体水环境综合整治项目：开展控源截污，湿地净化工作。</w:t>
            </w:r>
          </w:p>
          <w:p w14:paraId="4EEF734A">
            <w:pPr>
              <w:ind w:firstLine="440" w:firstLineChars="200"/>
              <w:jc w:val="left"/>
              <w:rPr>
                <w:rFonts w:ascii="仿宋_GB2312" w:hAnsi="仿宋" w:eastAsia="仿宋_GB2312"/>
                <w:sz w:val="22"/>
                <w:szCs w:val="22"/>
              </w:rPr>
            </w:pPr>
            <w:r>
              <w:rPr>
                <w:rFonts w:hint="eastAsia" w:ascii="仿宋_GB2312" w:hAnsi="仿宋" w:eastAsia="仿宋_GB2312"/>
                <w:sz w:val="22"/>
                <w:szCs w:val="22"/>
              </w:rPr>
              <w:t>（</w:t>
            </w:r>
            <w:r>
              <w:rPr>
                <w:rFonts w:ascii="仿宋_GB2312" w:hAnsi="仿宋" w:eastAsia="仿宋_GB2312"/>
                <w:sz w:val="22"/>
                <w:szCs w:val="22"/>
              </w:rPr>
              <w:t>14）阳春市城区黑臭水体整治项目：对龙湾河、牛</w:t>
            </w:r>
            <w:r>
              <w:rPr>
                <w:rFonts w:hint="eastAsia" w:ascii="仿宋_GB2312" w:hAnsi="仿宋" w:eastAsia="仿宋_GB2312"/>
                <w:sz w:val="22"/>
                <w:szCs w:val="22"/>
              </w:rPr>
              <w:t>迳河、田螺埒及新开河四条河涌合计约</w:t>
            </w:r>
            <w:r>
              <w:rPr>
                <w:rFonts w:ascii="仿宋_GB2312" w:hAnsi="仿宋" w:eastAsia="仿宋_GB2312"/>
                <w:sz w:val="22"/>
                <w:szCs w:val="22"/>
              </w:rPr>
              <w:t>13公里</w:t>
            </w:r>
            <w:r>
              <w:rPr>
                <w:rFonts w:hint="eastAsia" w:ascii="仿宋_GB2312" w:hAnsi="仿宋" w:eastAsia="仿宋_GB2312"/>
                <w:sz w:val="22"/>
                <w:szCs w:val="22"/>
              </w:rPr>
              <w:t>开展控源截污、排口整治、清淤疏浚和生态修复等工作。</w:t>
            </w:r>
          </w:p>
          <w:p w14:paraId="24F18020">
            <w:pPr>
              <w:ind w:firstLine="440" w:firstLineChars="200"/>
              <w:jc w:val="left"/>
              <w:rPr>
                <w:rFonts w:ascii="仿宋" w:hAnsi="仿宋" w:eastAsia="仿宋"/>
                <w:sz w:val="24"/>
                <w:szCs w:val="21"/>
              </w:rPr>
            </w:pPr>
            <w:r>
              <w:rPr>
                <w:rFonts w:hint="eastAsia" w:ascii="仿宋_GB2312" w:hAnsi="仿宋" w:eastAsia="仿宋_GB2312"/>
                <w:sz w:val="22"/>
                <w:szCs w:val="22"/>
              </w:rPr>
              <w:t>（</w:t>
            </w:r>
            <w:r>
              <w:rPr>
                <w:rFonts w:ascii="仿宋_GB2312" w:hAnsi="仿宋" w:eastAsia="仿宋_GB2312"/>
                <w:sz w:val="22"/>
                <w:szCs w:val="22"/>
              </w:rPr>
              <w:t>15）阳春市</w:t>
            </w:r>
            <w:r>
              <w:rPr>
                <w:rFonts w:hint="eastAsia" w:ascii="仿宋_GB2312" w:hAnsi="仿宋" w:eastAsia="仿宋_GB2312"/>
                <w:sz w:val="22"/>
                <w:szCs w:val="22"/>
              </w:rPr>
              <w:t>漠阳江水环境综合整治项目</w:t>
            </w:r>
            <w:r>
              <w:rPr>
                <w:rFonts w:ascii="仿宋_GB2312" w:hAnsi="仿宋" w:eastAsia="仿宋_GB2312"/>
                <w:sz w:val="22"/>
                <w:szCs w:val="22"/>
              </w:rPr>
              <w:t>(春城至春湾段)项目：治理河道，清淤疏，提高河道通航能力，提升防洪减灾能力，提升水环境水质治理，包括两岸公路等。</w:t>
            </w:r>
          </w:p>
        </w:tc>
      </w:tr>
    </w:tbl>
    <w:p w14:paraId="0ECB679C">
      <w:pPr>
        <w:pStyle w:val="3"/>
        <w:spacing w:beforeLines="50" w:afterLines="50"/>
        <w:ind w:firstLine="0" w:firstLineChars="0"/>
        <w:jc w:val="center"/>
        <w:rPr>
          <w:rFonts w:ascii="黑体" w:hAnsi="黑体" w:cs="方正小标宋简体"/>
          <w:color w:val="FF0000"/>
        </w:rPr>
      </w:pPr>
      <w:bookmarkStart w:id="44" w:name="_Toc181820186"/>
      <w:r>
        <w:rPr>
          <w:rFonts w:hint="eastAsia" w:ascii="楷体" w:hAnsi="楷体" w:eastAsia="楷体"/>
          <w:b/>
          <w:bCs w:val="0"/>
        </w:rPr>
        <w:t>第三节 废旧矿山及地质灾害修复治理工程</w:t>
      </w:r>
      <w:bookmarkEnd w:id="44"/>
    </w:p>
    <w:p w14:paraId="3DFE34E7">
      <w:pPr>
        <w:pStyle w:val="4"/>
        <w:spacing w:before="0" w:after="0" w:line="600" w:lineRule="exact"/>
        <w:ind w:firstLine="643"/>
        <w:rPr>
          <w:rFonts w:ascii="仿宋" w:hAnsi="仿宋" w:eastAsia="仿宋"/>
        </w:rPr>
      </w:pPr>
      <w:r>
        <w:rPr>
          <w:rFonts w:hint="eastAsia" w:ascii="仿宋" w:hAnsi="仿宋" w:eastAsia="仿宋"/>
        </w:rPr>
        <w:t>一、实施区域</w:t>
      </w:r>
    </w:p>
    <w:p w14:paraId="109DEDF2">
      <w:pPr>
        <w:spacing w:line="600" w:lineRule="exact"/>
        <w:ind w:firstLine="640" w:firstLineChars="200"/>
        <w:rPr>
          <w:rFonts w:ascii="Times New Roman" w:hAnsi="Times New Roman" w:eastAsia="仿宋_GB2312" w:cs="Times New Roman"/>
          <w:sz w:val="32"/>
          <w:szCs w:val="32"/>
        </w:rPr>
      </w:pPr>
      <w:r>
        <w:rPr>
          <w:rFonts w:hint="eastAsia" w:ascii="Calibri" w:hAnsi="Calibri" w:eastAsia="仿宋_GB2312" w:cs="Times New Roman"/>
          <w:sz w:val="32"/>
          <w:szCs w:val="32"/>
        </w:rPr>
        <w:t>针对阳春市</w:t>
      </w:r>
      <w:r>
        <w:rPr>
          <w:rFonts w:hint="eastAsia" w:ascii="Times New Roman" w:hAnsi="Times New Roman" w:eastAsia="仿宋_GB2312" w:cs="Times New Roman"/>
          <w:sz w:val="32"/>
          <w:szCs w:val="32"/>
        </w:rPr>
        <w:t>、阳西县、江城区、高新区范围内46处历史遗留矿山区域开展废旧矿山修复工程，针对阳春市、阳东区、海陵区、江城区范围内27处地质灾害隐患点开展综合治理工程。</w:t>
      </w:r>
    </w:p>
    <w:p w14:paraId="679308F4">
      <w:pPr>
        <w:pStyle w:val="4"/>
        <w:spacing w:before="0" w:after="0" w:line="600" w:lineRule="exact"/>
        <w:ind w:firstLine="643"/>
        <w:rPr>
          <w:rFonts w:ascii="仿宋" w:hAnsi="仿宋" w:eastAsia="仿宋"/>
        </w:rPr>
      </w:pPr>
      <w:r>
        <w:rPr>
          <w:rFonts w:hint="eastAsia" w:ascii="仿宋" w:hAnsi="仿宋" w:eastAsia="仿宋"/>
        </w:rPr>
        <w:t>二、修复目标</w:t>
      </w:r>
    </w:p>
    <w:p w14:paraId="4DC02D2C">
      <w:pPr>
        <w:spacing w:line="600" w:lineRule="exact"/>
        <w:ind w:firstLine="640" w:firstLineChars="200"/>
        <w:rPr>
          <w:rFonts w:ascii="Times New Roman" w:hAnsi="Times New Roman" w:eastAsia="仿宋_GB2312" w:cs="Times New Roman"/>
          <w:sz w:val="32"/>
          <w:szCs w:val="32"/>
        </w:rPr>
      </w:pPr>
      <w:r>
        <w:rPr>
          <w:rFonts w:hint="eastAsia" w:ascii="Calibri" w:hAnsi="Calibri" w:eastAsia="仿宋_GB2312" w:cs="Times New Roman"/>
          <w:sz w:val="32"/>
          <w:szCs w:val="32"/>
        </w:rPr>
        <w:t>矿山生态修复治理重点是解决土地损毁、山体地表植被、水土流失等问题，通过实施自然恢复、辅助再生、生态重建、转型利用等多元修复，探索引入社会资本，以矿山修复助推乡村振兴。</w:t>
      </w:r>
      <w:r>
        <w:rPr>
          <w:rFonts w:hint="eastAsia" w:ascii="Times New Roman" w:hAnsi="Times New Roman" w:eastAsia="仿宋_GB2312" w:cs="Times New Roman"/>
          <w:sz w:val="32"/>
          <w:szCs w:val="32"/>
        </w:rPr>
        <w:t>到2030年全市重点矿山修复基本完成，到2035年全市大中型矿山达到绿色矿山建设标准，矿山环境得到有效保护、矿区受损生态系统得到全面恢复。</w:t>
      </w:r>
    </w:p>
    <w:p w14:paraId="160E0399">
      <w:pPr>
        <w:pStyle w:val="4"/>
        <w:spacing w:before="0" w:after="0" w:line="600" w:lineRule="exact"/>
        <w:ind w:firstLine="643"/>
        <w:rPr>
          <w:rFonts w:ascii="仿宋" w:hAnsi="仿宋" w:eastAsia="仿宋"/>
        </w:rPr>
      </w:pPr>
      <w:r>
        <w:rPr>
          <w:rFonts w:hint="eastAsia" w:ascii="仿宋" w:hAnsi="仿宋" w:eastAsia="仿宋"/>
        </w:rPr>
        <w:t>三、重点项目</w:t>
      </w:r>
    </w:p>
    <w:p w14:paraId="5B8FAD74">
      <w:pPr>
        <w:spacing w:line="600" w:lineRule="exact"/>
        <w:ind w:firstLine="640" w:firstLineChars="200"/>
        <w:rPr>
          <w:rFonts w:ascii="Times New Roman" w:hAnsi="Times New Roman" w:eastAsia="仿宋_GB2312" w:cs="Times New Roman"/>
          <w:sz w:val="32"/>
          <w:szCs w:val="32"/>
        </w:rPr>
      </w:pPr>
      <w:r>
        <w:rPr>
          <w:rFonts w:hint="eastAsia" w:ascii="Calibri" w:hAnsi="Calibri" w:eastAsia="仿宋_GB2312" w:cs="Times New Roman"/>
          <w:sz w:val="32"/>
          <w:szCs w:val="32"/>
        </w:rPr>
        <w:t>矿山修复工作方面，因地制宜、分类开展自然恢复、辅助再生、生态重建和转型利用四种废旧矿山生态修复工程，共</w:t>
      </w:r>
      <w:r>
        <w:rPr>
          <w:rFonts w:hint="eastAsia" w:ascii="Times New Roman" w:hAnsi="Times New Roman" w:eastAsia="仿宋_GB2312" w:cs="Times New Roman"/>
          <w:sz w:val="32"/>
          <w:szCs w:val="32"/>
        </w:rPr>
        <w:t>4个重点项目。地质灾害治理工作方面，针对滑坡、泥石流、崩塌等潜在灾害类型分类实施工程治理、专业监测等综合治理措施，共4个重点项目。</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E7B0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5000" w:type="pct"/>
            <w:shd w:val="clear" w:color="auto" w:fill="D9D9D9"/>
            <w:vAlign w:val="center"/>
          </w:tcPr>
          <w:p w14:paraId="4DE7A5FC">
            <w:pPr>
              <w:jc w:val="center"/>
              <w:rPr>
                <w:rFonts w:eastAsia="仿宋_GB2312"/>
                <w:sz w:val="28"/>
                <w:szCs w:val="28"/>
              </w:rPr>
            </w:pPr>
            <w:r>
              <w:rPr>
                <w:rFonts w:hint="eastAsia" w:eastAsia="仿宋_GB2312"/>
                <w:b/>
                <w:bCs/>
                <w:sz w:val="28"/>
                <w:szCs w:val="28"/>
              </w:rPr>
              <w:t>专栏7</w:t>
            </w:r>
            <w:r>
              <w:rPr>
                <w:rFonts w:eastAsia="仿宋_GB2312"/>
                <w:b/>
                <w:bCs/>
                <w:sz w:val="28"/>
                <w:szCs w:val="28"/>
              </w:rPr>
              <w:t>-3</w:t>
            </w:r>
            <w:r>
              <w:rPr>
                <w:rFonts w:hint="eastAsia" w:eastAsia="仿宋_GB2312"/>
                <w:b/>
                <w:bCs/>
                <w:sz w:val="28"/>
                <w:szCs w:val="28"/>
              </w:rPr>
              <w:t>：废旧矿山及地质灾害修复治理工程</w:t>
            </w:r>
          </w:p>
        </w:tc>
      </w:tr>
      <w:tr w14:paraId="75421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000" w:type="pct"/>
            <w:vAlign w:val="center"/>
          </w:tcPr>
          <w:p w14:paraId="188DEBB3">
            <w:pPr>
              <w:jc w:val="left"/>
              <w:rPr>
                <w:rFonts w:ascii="仿宋_GB2312" w:eastAsia="仿宋_GB2312" w:cs="Times New Roman"/>
                <w:b/>
                <w:sz w:val="22"/>
                <w:szCs w:val="22"/>
              </w:rPr>
            </w:pPr>
            <w:r>
              <w:rPr>
                <w:rFonts w:ascii="仿宋_GB2312" w:eastAsia="仿宋_GB2312" w:cs="Times New Roman"/>
                <w:b/>
                <w:sz w:val="22"/>
                <w:szCs w:val="22"/>
              </w:rPr>
              <w:t>1.</w:t>
            </w:r>
            <w:r>
              <w:rPr>
                <w:rFonts w:hint="eastAsia" w:ascii="仿宋_GB2312" w:eastAsia="仿宋_GB2312" w:cs="Times New Roman"/>
                <w:b/>
                <w:sz w:val="22"/>
                <w:szCs w:val="22"/>
              </w:rPr>
              <w:t>废旧矿山修复工程</w:t>
            </w:r>
          </w:p>
          <w:p w14:paraId="4852B4D8">
            <w:pPr>
              <w:ind w:firstLine="440" w:firstLineChars="200"/>
              <w:jc w:val="left"/>
              <w:rPr>
                <w:rFonts w:ascii="仿宋_GB2312" w:eastAsia="仿宋_GB2312" w:cs="Times New Roman"/>
                <w:sz w:val="22"/>
                <w:szCs w:val="22"/>
              </w:rPr>
            </w:pPr>
            <w:r>
              <w:rPr>
                <w:rFonts w:hint="eastAsia" w:ascii="仿宋_GB2312" w:eastAsia="仿宋_GB2312" w:cs="Times New Roman"/>
                <w:sz w:val="22"/>
                <w:szCs w:val="22"/>
              </w:rPr>
              <w:t>（1）阳江高新区2</w:t>
            </w:r>
            <w:r>
              <w:rPr>
                <w:rFonts w:ascii="仿宋_GB2312" w:eastAsia="仿宋_GB2312" w:cs="Times New Roman"/>
                <w:sz w:val="22"/>
                <w:szCs w:val="22"/>
              </w:rPr>
              <w:t>022</w:t>
            </w:r>
            <w:r>
              <w:rPr>
                <w:rFonts w:hint="eastAsia" w:ascii="仿宋_GB2312" w:eastAsia="仿宋_GB2312" w:cs="Times New Roman"/>
                <w:sz w:val="22"/>
                <w:szCs w:val="22"/>
              </w:rPr>
              <w:t>年历史遗留矿山生态修复项目：针对平岗镇东一村等区域内的废弃矿山开展修复治理工程。</w:t>
            </w:r>
          </w:p>
          <w:p w14:paraId="4E6DF456">
            <w:pPr>
              <w:ind w:firstLine="440" w:firstLineChars="200"/>
              <w:jc w:val="left"/>
              <w:rPr>
                <w:rFonts w:ascii="仿宋_GB2312" w:eastAsia="仿宋_GB2312" w:cs="Times New Roman"/>
                <w:sz w:val="22"/>
                <w:szCs w:val="22"/>
              </w:rPr>
            </w:pPr>
            <w:r>
              <w:rPr>
                <w:rFonts w:hint="eastAsia" w:ascii="仿宋_GB2312" w:eastAsia="仿宋_GB2312" w:cs="Times New Roman"/>
                <w:sz w:val="22"/>
                <w:szCs w:val="22"/>
              </w:rPr>
              <w:t>（</w:t>
            </w:r>
            <w:r>
              <w:rPr>
                <w:rFonts w:ascii="仿宋_GB2312" w:eastAsia="仿宋_GB2312" w:cs="Times New Roman"/>
                <w:sz w:val="22"/>
                <w:szCs w:val="22"/>
              </w:rPr>
              <w:t>2</w:t>
            </w:r>
            <w:r>
              <w:rPr>
                <w:rFonts w:hint="eastAsia" w:ascii="仿宋_GB2312" w:eastAsia="仿宋_GB2312" w:cs="Times New Roman"/>
                <w:sz w:val="22"/>
                <w:szCs w:val="22"/>
              </w:rPr>
              <w:t>）江城区废旧矿山修复工程：针对双捷镇等区域内的废弃矿山开展修复治理工程。</w:t>
            </w:r>
          </w:p>
          <w:p w14:paraId="5C8C3132">
            <w:pPr>
              <w:ind w:firstLine="440" w:firstLineChars="200"/>
              <w:jc w:val="left"/>
              <w:rPr>
                <w:rFonts w:ascii="仿宋_GB2312" w:eastAsia="仿宋_GB2312" w:cs="Times New Roman"/>
                <w:sz w:val="22"/>
                <w:szCs w:val="22"/>
              </w:rPr>
            </w:pPr>
            <w:r>
              <w:rPr>
                <w:rFonts w:hint="eastAsia" w:ascii="仿宋_GB2312" w:eastAsia="仿宋_GB2312" w:cs="Times New Roman"/>
                <w:sz w:val="22"/>
                <w:szCs w:val="22"/>
              </w:rPr>
              <w:t>（</w:t>
            </w:r>
            <w:r>
              <w:rPr>
                <w:rFonts w:ascii="仿宋_GB2312" w:eastAsia="仿宋_GB2312" w:cs="Times New Roman"/>
                <w:sz w:val="22"/>
                <w:szCs w:val="22"/>
              </w:rPr>
              <w:t>3</w:t>
            </w:r>
            <w:r>
              <w:rPr>
                <w:rFonts w:hint="eastAsia" w:ascii="仿宋_GB2312" w:eastAsia="仿宋_GB2312" w:cs="Times New Roman"/>
                <w:sz w:val="22"/>
                <w:szCs w:val="22"/>
              </w:rPr>
              <w:t>）阳春市废旧矿山修复工程：针对河西街道、陂面镇、岗美镇、八甲镇等区域内的废弃矿山开展修复治理工程。</w:t>
            </w:r>
          </w:p>
          <w:p w14:paraId="2B4C277E">
            <w:pPr>
              <w:ind w:firstLine="440" w:firstLineChars="200"/>
              <w:rPr>
                <w:sz w:val="22"/>
                <w:szCs w:val="22"/>
              </w:rPr>
            </w:pPr>
            <w:r>
              <w:rPr>
                <w:rFonts w:hint="eastAsia" w:ascii="仿宋_GB2312" w:eastAsia="仿宋_GB2312" w:cs="Times New Roman"/>
                <w:sz w:val="22"/>
                <w:szCs w:val="22"/>
              </w:rPr>
              <w:t>（</w:t>
            </w:r>
            <w:r>
              <w:rPr>
                <w:rFonts w:ascii="仿宋_GB2312" w:eastAsia="仿宋_GB2312" w:cs="Times New Roman"/>
                <w:sz w:val="22"/>
                <w:szCs w:val="22"/>
              </w:rPr>
              <w:t>4</w:t>
            </w:r>
            <w:r>
              <w:rPr>
                <w:rFonts w:hint="eastAsia" w:ascii="仿宋_GB2312" w:eastAsia="仿宋_GB2312" w:cs="Times New Roman"/>
                <w:sz w:val="22"/>
                <w:szCs w:val="22"/>
              </w:rPr>
              <w:t>）阳西县废旧矿山修复工程：针对新墟镇、塘口镇、程村镇、儒洞镇等区域内的废弃矿山开展修复治理工程。</w:t>
            </w:r>
          </w:p>
        </w:tc>
      </w:tr>
      <w:tr w14:paraId="5E65A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000" w:type="pct"/>
            <w:vAlign w:val="center"/>
          </w:tcPr>
          <w:p w14:paraId="7D10017A">
            <w:pPr>
              <w:jc w:val="left"/>
              <w:rPr>
                <w:rFonts w:ascii="仿宋_GB2312" w:eastAsia="仿宋_GB2312" w:cs="Times New Roman"/>
                <w:b/>
                <w:sz w:val="22"/>
                <w:szCs w:val="22"/>
              </w:rPr>
            </w:pPr>
            <w:r>
              <w:rPr>
                <w:rFonts w:ascii="仿宋_GB2312" w:eastAsia="仿宋_GB2312" w:cs="Times New Roman"/>
                <w:b/>
                <w:sz w:val="22"/>
                <w:szCs w:val="22"/>
              </w:rPr>
              <w:t>2.</w:t>
            </w:r>
            <w:r>
              <w:rPr>
                <w:rFonts w:hint="eastAsia" w:ascii="仿宋_GB2312" w:eastAsia="仿宋_GB2312" w:cs="Times New Roman"/>
                <w:b/>
                <w:sz w:val="22"/>
                <w:szCs w:val="22"/>
              </w:rPr>
              <w:t>地质灾害治理工程</w:t>
            </w:r>
          </w:p>
          <w:p w14:paraId="1E71D6CD">
            <w:pPr>
              <w:ind w:firstLine="440" w:firstLineChars="200"/>
              <w:jc w:val="left"/>
              <w:rPr>
                <w:rFonts w:ascii="仿宋_GB2312" w:eastAsia="仿宋_GB2312" w:cs="Times New Roman"/>
                <w:sz w:val="22"/>
                <w:szCs w:val="22"/>
              </w:rPr>
            </w:pPr>
            <w:r>
              <w:rPr>
                <w:rFonts w:hint="eastAsia" w:ascii="仿宋_GB2312" w:eastAsia="仿宋_GB2312" w:cs="Times New Roman"/>
                <w:sz w:val="22"/>
                <w:szCs w:val="22"/>
              </w:rPr>
              <w:t>（5）海陵区地质灾害治理工程：针对新星社区、南兴社区、北环社区</w:t>
            </w:r>
            <w:r>
              <w:rPr>
                <w:rFonts w:hint="eastAsia" w:ascii="仿宋_GB2312" w:hAnsi="仿宋_GB2312" w:eastAsia="仿宋_GB2312" w:cs="仿宋_GB2312"/>
                <w:sz w:val="22"/>
                <w:szCs w:val="22"/>
              </w:rPr>
              <w:t>等区域内的崩塌等地质灾害隐患开展治理工程。</w:t>
            </w:r>
          </w:p>
          <w:p w14:paraId="331AE647">
            <w:pPr>
              <w:ind w:firstLine="440" w:firstLineChars="200"/>
              <w:jc w:val="left"/>
              <w:rPr>
                <w:rFonts w:ascii="仿宋_GB2312" w:eastAsia="仿宋_GB2312" w:cs="Times New Roman"/>
                <w:sz w:val="22"/>
                <w:szCs w:val="22"/>
              </w:rPr>
            </w:pPr>
            <w:r>
              <w:rPr>
                <w:rFonts w:hint="eastAsia" w:ascii="仿宋_GB2312" w:eastAsia="仿宋_GB2312" w:cs="Times New Roman"/>
                <w:sz w:val="22"/>
                <w:szCs w:val="22"/>
              </w:rPr>
              <w:t>（</w:t>
            </w:r>
            <w:r>
              <w:rPr>
                <w:rFonts w:ascii="仿宋_GB2312" w:eastAsia="仿宋_GB2312" w:cs="Times New Roman"/>
                <w:sz w:val="22"/>
                <w:szCs w:val="22"/>
              </w:rPr>
              <w:t>6</w:t>
            </w:r>
            <w:r>
              <w:rPr>
                <w:rFonts w:hint="eastAsia" w:ascii="仿宋_GB2312" w:eastAsia="仿宋_GB2312" w:cs="Times New Roman"/>
                <w:sz w:val="22"/>
                <w:szCs w:val="22"/>
              </w:rPr>
              <w:t>）阳东区地质灾害治理工程：针对东平镇</w:t>
            </w:r>
            <w:r>
              <w:rPr>
                <w:rFonts w:hint="eastAsia" w:ascii="仿宋_GB2312" w:hAnsi="仿宋_GB2312" w:eastAsia="仿宋_GB2312" w:cs="仿宋_GB2312"/>
                <w:sz w:val="22"/>
                <w:szCs w:val="22"/>
              </w:rPr>
              <w:t>等区域内的崩塌等地质灾害隐患开展治理工程。</w:t>
            </w:r>
          </w:p>
          <w:p w14:paraId="131F18A7">
            <w:pPr>
              <w:snapToGrid w:val="0"/>
              <w:ind w:firstLine="440" w:firstLineChars="200"/>
              <w:jc w:val="left"/>
              <w:rPr>
                <w:rFonts w:ascii="仿宋_GB2312" w:hAnsi="仿宋_GB2312" w:eastAsia="仿宋_GB2312" w:cs="仿宋_GB2312"/>
                <w:sz w:val="22"/>
                <w:szCs w:val="22"/>
              </w:rPr>
            </w:pPr>
            <w:r>
              <w:rPr>
                <w:rFonts w:hint="eastAsia" w:ascii="仿宋_GB2312" w:eastAsia="仿宋_GB2312" w:cs="Times New Roman"/>
                <w:sz w:val="22"/>
                <w:szCs w:val="22"/>
              </w:rPr>
              <w:t>（</w:t>
            </w:r>
            <w:r>
              <w:rPr>
                <w:rFonts w:ascii="仿宋_GB2312" w:eastAsia="仿宋_GB2312" w:cs="Times New Roman"/>
                <w:sz w:val="22"/>
                <w:szCs w:val="22"/>
              </w:rPr>
              <w:t>7</w:t>
            </w:r>
            <w:r>
              <w:rPr>
                <w:rFonts w:hint="eastAsia" w:ascii="仿宋_GB2312" w:eastAsia="仿宋_GB2312" w:cs="Times New Roman"/>
                <w:sz w:val="22"/>
                <w:szCs w:val="22"/>
              </w:rPr>
              <w:t>）江城区地质灾害治理工程：针对城南街道、双捷镇</w:t>
            </w:r>
            <w:r>
              <w:rPr>
                <w:rFonts w:hint="eastAsia" w:ascii="仿宋_GB2312" w:hAnsi="仿宋_GB2312" w:eastAsia="仿宋_GB2312" w:cs="仿宋_GB2312"/>
                <w:sz w:val="22"/>
                <w:szCs w:val="22"/>
              </w:rPr>
              <w:t>等区域内的崩塌等地质灾害隐患开展治理工程。</w:t>
            </w:r>
          </w:p>
          <w:p w14:paraId="412740C9">
            <w:pPr>
              <w:snapToGrid w:val="0"/>
              <w:ind w:firstLine="440" w:firstLineChars="200"/>
              <w:jc w:val="left"/>
              <w:rPr>
                <w:rFonts w:ascii="仿宋_GB2312" w:eastAsia="仿宋_GB2312" w:cs="Times New Roman"/>
                <w:b/>
                <w:sz w:val="22"/>
                <w:szCs w:val="22"/>
              </w:rPr>
            </w:pPr>
            <w:r>
              <w:rPr>
                <w:rFonts w:hint="eastAsia" w:ascii="仿宋_GB2312" w:eastAsia="仿宋_GB2312" w:cs="Times New Roman"/>
                <w:sz w:val="22"/>
                <w:szCs w:val="22"/>
              </w:rPr>
              <w:t>（</w:t>
            </w:r>
            <w:r>
              <w:rPr>
                <w:rFonts w:ascii="仿宋_GB2312" w:eastAsia="仿宋_GB2312" w:cs="Times New Roman"/>
                <w:sz w:val="22"/>
                <w:szCs w:val="22"/>
              </w:rPr>
              <w:t>8</w:t>
            </w:r>
            <w:r>
              <w:rPr>
                <w:rFonts w:hint="eastAsia" w:ascii="仿宋_GB2312" w:eastAsia="仿宋_GB2312" w:cs="Times New Roman"/>
                <w:sz w:val="22"/>
                <w:szCs w:val="22"/>
              </w:rPr>
              <w:t>）阳春市地质灾害治理工程：针对双</w:t>
            </w:r>
            <w:r>
              <w:rPr>
                <w:rFonts w:hint="eastAsia" w:ascii="微软雅黑" w:hAnsi="微软雅黑" w:eastAsia="微软雅黑" w:cs="微软雅黑"/>
                <w:sz w:val="22"/>
                <w:szCs w:val="22"/>
              </w:rPr>
              <w:t>滘</w:t>
            </w:r>
            <w:r>
              <w:rPr>
                <w:rFonts w:hint="eastAsia" w:ascii="仿宋_GB2312" w:hAnsi="仿宋_GB2312" w:eastAsia="仿宋_GB2312" w:cs="仿宋_GB2312"/>
                <w:sz w:val="22"/>
                <w:szCs w:val="22"/>
              </w:rPr>
              <w:t>镇、八甲镇、河</w:t>
            </w:r>
            <w:r>
              <w:rPr>
                <w:rFonts w:hint="eastAsia" w:ascii="微软雅黑" w:hAnsi="微软雅黑" w:eastAsia="微软雅黑" w:cs="微软雅黑"/>
                <w:sz w:val="22"/>
                <w:szCs w:val="22"/>
              </w:rPr>
              <w:t>㙟</w:t>
            </w:r>
            <w:r>
              <w:rPr>
                <w:rFonts w:hint="eastAsia" w:ascii="仿宋_GB2312" w:hAnsi="仿宋_GB2312" w:eastAsia="仿宋_GB2312" w:cs="仿宋_GB2312"/>
                <w:sz w:val="22"/>
                <w:szCs w:val="22"/>
              </w:rPr>
              <w:t>镇、三甲镇、春湾镇、圭岗镇、春城街道、合水镇、马水镇、陂面镇等区域内的滑坡、泥石流、崩塌、地面塌陷等地质灾害隐患开展治理工程。</w:t>
            </w:r>
          </w:p>
        </w:tc>
      </w:tr>
    </w:tbl>
    <w:p w14:paraId="36E43806">
      <w:pPr>
        <w:pStyle w:val="3"/>
        <w:spacing w:beforeLines="50" w:afterLines="50"/>
        <w:ind w:firstLine="0" w:firstLineChars="0"/>
        <w:jc w:val="center"/>
        <w:rPr>
          <w:rFonts w:ascii="黑体" w:hAnsi="黑体" w:cs="方正小标宋简体"/>
          <w:color w:val="FF0000"/>
        </w:rPr>
      </w:pPr>
      <w:bookmarkStart w:id="45" w:name="_Toc181820187"/>
      <w:r>
        <w:rPr>
          <w:rFonts w:hint="eastAsia" w:ascii="楷体" w:hAnsi="楷体" w:eastAsia="楷体"/>
          <w:b/>
          <w:bCs w:val="0"/>
        </w:rPr>
        <w:t>第四节 绿美阳江城市绿化工程</w:t>
      </w:r>
      <w:bookmarkEnd w:id="45"/>
    </w:p>
    <w:p w14:paraId="06AAA376">
      <w:pPr>
        <w:pStyle w:val="4"/>
        <w:spacing w:before="0" w:after="0" w:line="600" w:lineRule="exact"/>
        <w:ind w:firstLine="643"/>
        <w:rPr>
          <w:rFonts w:ascii="仿宋" w:hAnsi="仿宋" w:eastAsia="仿宋"/>
        </w:rPr>
      </w:pPr>
      <w:r>
        <w:rPr>
          <w:rFonts w:hint="eastAsia" w:ascii="仿宋" w:hAnsi="仿宋" w:eastAsia="仿宋"/>
        </w:rPr>
        <w:t>一、实施区域</w:t>
      </w:r>
    </w:p>
    <w:p w14:paraId="46002569">
      <w:pPr>
        <w:spacing w:line="600" w:lineRule="exact"/>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绿美阳江城市绿化工程主要面向全域提升绿化品质、持续加大治污力度、改善农村环境等措施，推进阳江市生态文明建设，建设高水平城乡一体化绿美环境。重点实施区域包括城市森林、城乡蓝绿空间、自然保护地、海洋海岸带等全域生态空间。</w:t>
      </w:r>
    </w:p>
    <w:p w14:paraId="00AD83BA">
      <w:pPr>
        <w:pStyle w:val="4"/>
        <w:spacing w:before="0" w:after="0" w:line="600" w:lineRule="exact"/>
        <w:ind w:firstLine="643"/>
        <w:rPr>
          <w:rFonts w:ascii="仿宋" w:hAnsi="仿宋" w:eastAsia="仿宋"/>
        </w:rPr>
      </w:pPr>
      <w:r>
        <w:rPr>
          <w:rFonts w:hint="eastAsia" w:ascii="仿宋" w:hAnsi="仿宋" w:eastAsia="仿宋"/>
        </w:rPr>
        <w:t>二、修复目标</w:t>
      </w:r>
    </w:p>
    <w:p w14:paraId="3E303B17">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1</w:t>
      </w:r>
      <w:r>
        <w:rPr>
          <w:rFonts w:ascii="Calibri" w:hAnsi="Calibri" w:eastAsia="仿宋_GB2312" w:cs="Times New Roman"/>
          <w:b/>
          <w:bCs/>
          <w:sz w:val="32"/>
          <w:szCs w:val="32"/>
        </w:rPr>
        <w:t>.</w:t>
      </w:r>
      <w:r>
        <w:rPr>
          <w:rFonts w:hint="eastAsia" w:ascii="Calibri" w:hAnsi="Calibri" w:eastAsia="仿宋_GB2312" w:cs="Times New Roman"/>
          <w:b/>
          <w:bCs/>
          <w:sz w:val="32"/>
          <w:szCs w:val="32"/>
        </w:rPr>
        <w:t>提高森林资源质量。</w:t>
      </w:r>
      <w:r>
        <w:rPr>
          <w:rFonts w:hint="eastAsia" w:ascii="Calibri" w:hAnsi="Calibri" w:eastAsia="仿宋_GB2312" w:cs="Times New Roman"/>
          <w:sz w:val="32"/>
          <w:szCs w:val="32"/>
        </w:rPr>
        <w:t>通过宜林地造林绿化、低质低效林分改造、森林抚育、封山育林等方式精准提升森林质量。严控林木采伐，做好保障性苗围定向供苗工作。全面提高林地单位面积森林蓄积量，形成多树种、多层次的生态景观，充分发挥森林的生态、社会、经济效益。</w:t>
      </w:r>
    </w:p>
    <w:p w14:paraId="76135106">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3</w:t>
      </w:r>
      <w:r>
        <w:rPr>
          <w:rFonts w:ascii="Calibri" w:hAnsi="Calibri" w:eastAsia="仿宋_GB2312" w:cs="Times New Roman"/>
          <w:b/>
          <w:bCs/>
          <w:sz w:val="32"/>
          <w:szCs w:val="32"/>
        </w:rPr>
        <w:t>.</w:t>
      </w:r>
      <w:r>
        <w:rPr>
          <w:rFonts w:hint="eastAsia" w:ascii="Calibri" w:hAnsi="Calibri" w:eastAsia="仿宋_GB2312" w:cs="Times New Roman"/>
          <w:b/>
          <w:bCs/>
          <w:sz w:val="32"/>
          <w:szCs w:val="32"/>
        </w:rPr>
        <w:t>提高城乡绿化格局。</w:t>
      </w:r>
      <w:r>
        <w:rPr>
          <w:rFonts w:hint="eastAsia" w:ascii="Calibri" w:hAnsi="Calibri" w:eastAsia="仿宋_GB2312" w:cs="Times New Roman"/>
          <w:sz w:val="32"/>
          <w:szCs w:val="32"/>
        </w:rPr>
        <w:t>全域开展国家森林城市建设，巩固国家森林城市建设成果。在区域层面建设湛茂阳森林城市群，在市域层面建设阳春市、阳西县县级国家森林城市，加快创建国家生态园林城市，巩固国家园林城市成果，鼓励县城、城镇积极创建省级园林城市。建成完善的城市森林生态体系、发达的城市林业产业体系、繁荣的城市生态文化体系和坚实的森林管理支撑体系。</w:t>
      </w:r>
    </w:p>
    <w:p w14:paraId="47A58953">
      <w:pPr>
        <w:pStyle w:val="4"/>
        <w:spacing w:before="0" w:after="0" w:line="600" w:lineRule="exact"/>
        <w:ind w:firstLine="643"/>
        <w:rPr>
          <w:rFonts w:ascii="仿宋" w:hAnsi="仿宋" w:eastAsia="仿宋"/>
        </w:rPr>
      </w:pPr>
      <w:r>
        <w:rPr>
          <w:rFonts w:hint="eastAsia" w:ascii="仿宋" w:hAnsi="仿宋" w:eastAsia="仿宋"/>
        </w:rPr>
        <w:t>三、重点项目</w:t>
      </w:r>
    </w:p>
    <w:p w14:paraId="6686BB2E">
      <w:pPr>
        <w:spacing w:line="600" w:lineRule="exact"/>
        <w:ind w:firstLine="640" w:firstLineChars="200"/>
        <w:rPr>
          <w:rFonts w:ascii="Times New Roman" w:hAnsi="Times New Roman" w:eastAsia="仿宋_GB2312" w:cs="Times New Roman"/>
          <w:sz w:val="32"/>
          <w:szCs w:val="32"/>
        </w:rPr>
      </w:pPr>
      <w:r>
        <w:rPr>
          <w:rFonts w:hint="eastAsia" w:ascii="Calibri" w:hAnsi="Calibri" w:eastAsia="仿宋_GB2312" w:cs="Times New Roman"/>
          <w:sz w:val="32"/>
          <w:szCs w:val="32"/>
        </w:rPr>
        <w:t>绿美阳江城市绿化工程涉及森林质量精准提升、城乡一体绿美提</w:t>
      </w:r>
      <w:r>
        <w:rPr>
          <w:rFonts w:hint="eastAsia" w:ascii="Times New Roman" w:hAnsi="Times New Roman" w:eastAsia="仿宋_GB2312" w:cs="Times New Roman"/>
          <w:sz w:val="32"/>
          <w:szCs w:val="32"/>
        </w:rPr>
        <w:t>升2大工程，共计3个重点项目。</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12057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5000" w:type="pct"/>
            <w:shd w:val="clear" w:color="auto" w:fill="D9D9D9"/>
            <w:vAlign w:val="center"/>
          </w:tcPr>
          <w:p w14:paraId="0F5F9CCD">
            <w:pPr>
              <w:jc w:val="center"/>
              <w:rPr>
                <w:rFonts w:eastAsia="仿宋_GB2312"/>
                <w:sz w:val="28"/>
                <w:szCs w:val="28"/>
              </w:rPr>
            </w:pPr>
            <w:r>
              <w:rPr>
                <w:rFonts w:hint="eastAsia" w:eastAsia="仿宋_GB2312"/>
                <w:b/>
                <w:bCs/>
                <w:sz w:val="28"/>
                <w:szCs w:val="28"/>
              </w:rPr>
              <w:t>专栏7</w:t>
            </w:r>
            <w:r>
              <w:rPr>
                <w:rFonts w:eastAsia="仿宋_GB2312"/>
                <w:b/>
                <w:bCs/>
                <w:sz w:val="28"/>
                <w:szCs w:val="28"/>
              </w:rPr>
              <w:t>-4</w:t>
            </w:r>
            <w:r>
              <w:rPr>
                <w:rFonts w:hint="eastAsia" w:eastAsia="仿宋_GB2312"/>
                <w:b/>
                <w:bCs/>
                <w:sz w:val="28"/>
                <w:szCs w:val="28"/>
              </w:rPr>
              <w:t>：绿美阳江城市绿化工程</w:t>
            </w:r>
          </w:p>
        </w:tc>
      </w:tr>
      <w:tr w14:paraId="5CC80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000" w:type="pct"/>
            <w:vAlign w:val="center"/>
          </w:tcPr>
          <w:p w14:paraId="7C8A4484">
            <w:pPr>
              <w:jc w:val="left"/>
              <w:rPr>
                <w:rFonts w:ascii="仿宋_GB2312" w:eastAsia="仿宋_GB2312" w:cs="Times New Roman"/>
                <w:b/>
                <w:sz w:val="22"/>
                <w:szCs w:val="22"/>
              </w:rPr>
            </w:pPr>
            <w:r>
              <w:rPr>
                <w:rFonts w:ascii="仿宋_GB2312" w:eastAsia="仿宋_GB2312" w:cs="Times New Roman"/>
                <w:b/>
                <w:sz w:val="22"/>
                <w:szCs w:val="22"/>
              </w:rPr>
              <w:t>1.</w:t>
            </w:r>
            <w:r>
              <w:rPr>
                <w:rFonts w:hint="eastAsia" w:ascii="仿宋_GB2312" w:eastAsia="仿宋_GB2312" w:cs="Times New Roman"/>
                <w:b/>
                <w:sz w:val="22"/>
                <w:szCs w:val="22"/>
              </w:rPr>
              <w:t>森林质量精准提升行动。</w:t>
            </w:r>
          </w:p>
          <w:p w14:paraId="58509AC0">
            <w:pPr>
              <w:ind w:firstLine="440" w:firstLineChars="200"/>
              <w:jc w:val="left"/>
              <w:rPr>
                <w:rFonts w:ascii="仿宋_GB2312" w:eastAsia="仿宋_GB2312" w:cs="Times New Roman"/>
                <w:sz w:val="22"/>
                <w:szCs w:val="22"/>
              </w:rPr>
            </w:pPr>
            <w:r>
              <w:rPr>
                <w:rFonts w:hint="eastAsia" w:ascii="仿宋_GB2312" w:eastAsia="仿宋_GB2312" w:cs="Times New Roman"/>
                <w:sz w:val="22"/>
                <w:szCs w:val="22"/>
              </w:rPr>
              <w:t>（1）以自然山体、小流域为治理单元，通过宜林地造林绿化、低质低效林分改造、森林抚育、封山育林等方式精准提升森林质量。实施过程中严控林木采伐。做好保障性苗围定向供苗工作，做大做强阳江市国有阳江林场等省级保障性苗圃。</w:t>
            </w:r>
          </w:p>
        </w:tc>
      </w:tr>
      <w:tr w14:paraId="52287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000" w:type="pct"/>
            <w:vAlign w:val="center"/>
          </w:tcPr>
          <w:p w14:paraId="5BAACCC9">
            <w:pPr>
              <w:jc w:val="left"/>
              <w:rPr>
                <w:rFonts w:ascii="仿宋_GB2312" w:eastAsia="仿宋_GB2312" w:cs="Times New Roman"/>
                <w:b/>
                <w:sz w:val="22"/>
                <w:szCs w:val="22"/>
              </w:rPr>
            </w:pPr>
            <w:r>
              <w:rPr>
                <w:rFonts w:ascii="仿宋_GB2312" w:eastAsia="仿宋_GB2312" w:cs="Times New Roman"/>
                <w:b/>
                <w:sz w:val="22"/>
                <w:szCs w:val="22"/>
              </w:rPr>
              <w:t>2.</w:t>
            </w:r>
            <w:r>
              <w:rPr>
                <w:rFonts w:hint="eastAsia" w:ascii="仿宋_GB2312" w:eastAsia="仿宋_GB2312" w:cs="Times New Roman"/>
                <w:b/>
                <w:sz w:val="22"/>
                <w:szCs w:val="22"/>
              </w:rPr>
              <w:t>城乡一体绿美提升行动</w:t>
            </w:r>
          </w:p>
          <w:p w14:paraId="24B08D9B">
            <w:pPr>
              <w:ind w:firstLine="440" w:firstLineChars="200"/>
              <w:jc w:val="left"/>
              <w:rPr>
                <w:rFonts w:ascii="仿宋_GB2312" w:eastAsia="仿宋_GB2312" w:cs="Times New Roman"/>
                <w:sz w:val="22"/>
                <w:szCs w:val="22"/>
              </w:rPr>
            </w:pPr>
            <w:r>
              <w:rPr>
                <w:rFonts w:hint="eastAsia" w:ascii="仿宋_GB2312" w:eastAsia="仿宋_GB2312" w:cs="Times New Roman"/>
                <w:sz w:val="22"/>
                <w:szCs w:val="22"/>
              </w:rPr>
              <w:t>（2）全域开展国家森林城市建设，巩固国家森林城市建设成果。在区域层面建设湛茂阳森林城市群，在市域层面建设阳春市、阳西县县级国家森林城市，加快创建国家生态园林城市，巩固国家园林城市成果，鼓励县城、城镇积极创建省级园林城市。</w:t>
            </w:r>
          </w:p>
          <w:p w14:paraId="2850C87F">
            <w:pPr>
              <w:ind w:firstLine="440" w:firstLineChars="200"/>
              <w:jc w:val="left"/>
              <w:rPr>
                <w:rFonts w:ascii="仿宋_GB2312" w:eastAsia="仿宋_GB2312" w:cs="Times New Roman"/>
                <w:sz w:val="22"/>
                <w:szCs w:val="22"/>
              </w:rPr>
            </w:pPr>
            <w:r>
              <w:rPr>
                <w:rFonts w:hint="eastAsia" w:ascii="仿宋_GB2312" w:eastAsia="仿宋_GB2312" w:cs="Times New Roman"/>
                <w:sz w:val="22"/>
                <w:szCs w:val="22"/>
              </w:rPr>
              <w:t>（3）绿美示范点建设行动</w:t>
            </w:r>
          </w:p>
          <w:p w14:paraId="3BE8D728">
            <w:pPr>
              <w:ind w:firstLine="440" w:firstLineChars="200"/>
              <w:jc w:val="left"/>
              <w:rPr>
                <w:rFonts w:ascii="仿宋_GB2312" w:eastAsia="仿宋_GB2312" w:cs="Times New Roman"/>
                <w:sz w:val="22"/>
                <w:szCs w:val="22"/>
              </w:rPr>
            </w:pPr>
            <w:r>
              <w:rPr>
                <w:rFonts w:hint="eastAsia" w:ascii="仿宋_GB2312" w:eastAsia="仿宋_GB2312" w:cs="Times New Roman"/>
                <w:sz w:val="22"/>
                <w:szCs w:val="22"/>
              </w:rPr>
              <w:t>对东湖森林公园二期新建及一期进行提升改造。</w:t>
            </w:r>
          </w:p>
        </w:tc>
      </w:tr>
    </w:tbl>
    <w:p w14:paraId="3FCEA9C4">
      <w:pPr>
        <w:pStyle w:val="3"/>
        <w:spacing w:beforeLines="50" w:afterLines="50"/>
        <w:ind w:firstLine="0" w:firstLineChars="0"/>
        <w:jc w:val="center"/>
        <w:rPr>
          <w:rFonts w:ascii="黑体" w:hAnsi="黑体" w:cs="方正小标宋简体"/>
          <w:color w:val="FF0000"/>
        </w:rPr>
      </w:pPr>
      <w:bookmarkStart w:id="46" w:name="_Toc181820188"/>
      <w:r>
        <w:rPr>
          <w:rFonts w:hint="eastAsia" w:ascii="楷体" w:hAnsi="楷体" w:eastAsia="楷体"/>
          <w:b/>
          <w:bCs w:val="0"/>
        </w:rPr>
        <w:t>第五节 农业农村生态保护和修复重点工程</w:t>
      </w:r>
      <w:bookmarkEnd w:id="46"/>
    </w:p>
    <w:p w14:paraId="60EA1A60">
      <w:pPr>
        <w:pStyle w:val="4"/>
        <w:spacing w:before="0" w:after="0" w:line="600" w:lineRule="exact"/>
        <w:ind w:firstLine="643"/>
        <w:rPr>
          <w:rFonts w:ascii="仿宋" w:hAnsi="仿宋" w:eastAsia="仿宋"/>
        </w:rPr>
      </w:pPr>
      <w:r>
        <w:rPr>
          <w:rFonts w:hint="eastAsia" w:ascii="仿宋" w:hAnsi="仿宋" w:eastAsia="仿宋"/>
        </w:rPr>
        <w:t>一、实施区域</w:t>
      </w:r>
    </w:p>
    <w:p w14:paraId="0DEF55A7">
      <w:pPr>
        <w:spacing w:line="600" w:lineRule="exact"/>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加强高标准农田建设，开展撂荒耕地整治和复耕整治，提升耕地地力，确保良田粮用。以中部现代农业区、北部生态农业区、东部高效农业区、西部高效农业区为重点分区分类推进高标准农田建设，统筹考虑提高农田生产能力、灌溉排水与节水能力、田间道路通达、宜机化水平、建后管护能力、农田防护与生态环境保持能力，以及良田粮用、高产高效和农民增收的整体要求。围绕阳江高新区、阳西县等有条件的村庄开展美丽宜居村庄和特色精品村示范创建活动。</w:t>
      </w:r>
    </w:p>
    <w:p w14:paraId="6AF98B89">
      <w:pPr>
        <w:pStyle w:val="4"/>
        <w:spacing w:before="0" w:after="0" w:line="600" w:lineRule="exact"/>
        <w:ind w:firstLine="643"/>
        <w:rPr>
          <w:rFonts w:ascii="仿宋" w:hAnsi="仿宋" w:eastAsia="仿宋"/>
        </w:rPr>
      </w:pPr>
      <w:r>
        <w:rPr>
          <w:rFonts w:hint="eastAsia" w:ascii="仿宋" w:hAnsi="仿宋" w:eastAsia="仿宋"/>
        </w:rPr>
        <w:t>二、修复目标</w:t>
      </w:r>
    </w:p>
    <w:p w14:paraId="52A5A7AE">
      <w:pPr>
        <w:spacing w:line="600" w:lineRule="exact"/>
        <w:ind w:firstLine="640" w:firstLineChars="200"/>
        <w:rPr>
          <w:rFonts w:ascii="Calibri" w:hAnsi="Calibri" w:eastAsia="仿宋_GB2312" w:cs="Times New Roman"/>
          <w:sz w:val="32"/>
          <w:szCs w:val="32"/>
        </w:rPr>
      </w:pPr>
      <w:r>
        <w:rPr>
          <w:rFonts w:hint="eastAsia" w:ascii="Times New Roman" w:hAnsi="Times New Roman" w:eastAsia="仿宋_GB2312" w:cs="Times New Roman"/>
          <w:sz w:val="32"/>
          <w:szCs w:val="32"/>
        </w:rPr>
        <w:t>高质量推进高标准农田建设与乡村人居环境整治工程。以全域土地综合整治为抓手，促进农田集中成片。确保到2030年，累计建成高标准农田不低于138.87万亩，累计改造提升高标准农田不低于19万亩，与此同时，同步实施高效节水灌溉工程，力争完成3.3万亩新增高效节水灌溉建设任务。持续推进“千村示范、万村整治”工程，全域推进农村人居环境整治，建设生态宜居美丽乡村。到2025年，80%以上村庄达到美丽宜居村标准，所有村庄达到干净整洁村标准，</w:t>
      </w:r>
      <w:r>
        <w:rPr>
          <w:rFonts w:hint="eastAsia" w:ascii="Calibri" w:hAnsi="Calibri" w:eastAsia="仿宋_GB2312" w:cs="Times New Roman"/>
          <w:sz w:val="32"/>
          <w:szCs w:val="32"/>
        </w:rPr>
        <w:t>创建一批特色精品村。</w:t>
      </w:r>
    </w:p>
    <w:p w14:paraId="1530DB19">
      <w:pPr>
        <w:pStyle w:val="4"/>
        <w:spacing w:before="0" w:after="0" w:line="600" w:lineRule="exact"/>
        <w:ind w:firstLine="643"/>
        <w:rPr>
          <w:rFonts w:ascii="仿宋" w:hAnsi="仿宋" w:eastAsia="仿宋"/>
        </w:rPr>
      </w:pPr>
      <w:r>
        <w:rPr>
          <w:rFonts w:hint="eastAsia" w:ascii="仿宋" w:hAnsi="仿宋" w:eastAsia="仿宋"/>
        </w:rPr>
        <w:t>三、重点项目</w:t>
      </w:r>
    </w:p>
    <w:p w14:paraId="2569CEB5">
      <w:pPr>
        <w:spacing w:line="600" w:lineRule="exact"/>
        <w:ind w:firstLine="640" w:firstLineChars="200"/>
        <w:rPr>
          <w:rFonts w:ascii="Times New Roman" w:hAnsi="Times New Roman" w:eastAsia="仿宋_GB2312" w:cs="Times New Roman"/>
          <w:sz w:val="32"/>
          <w:szCs w:val="32"/>
        </w:rPr>
      </w:pPr>
      <w:r>
        <w:rPr>
          <w:rFonts w:hint="eastAsia" w:ascii="Calibri" w:hAnsi="Calibri" w:eastAsia="仿宋_GB2312" w:cs="Times New Roman"/>
          <w:sz w:val="32"/>
          <w:szCs w:val="32"/>
        </w:rPr>
        <w:t>农业空间保护和修复重点工程涉及乡村人居环境整治、农业污染治理、高标</w:t>
      </w:r>
      <w:r>
        <w:rPr>
          <w:rFonts w:hint="eastAsia" w:ascii="Times New Roman" w:hAnsi="Times New Roman" w:eastAsia="仿宋_GB2312" w:cs="Times New Roman"/>
          <w:sz w:val="32"/>
          <w:szCs w:val="32"/>
        </w:rPr>
        <w:t>准农田建设等</w:t>
      </w: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大工程，共计</w:t>
      </w:r>
      <w:r>
        <w:rPr>
          <w:rFonts w:ascii="Times New Roman" w:hAnsi="Times New Roman" w:eastAsia="仿宋_GB2312" w:cs="Times New Roman"/>
          <w:sz w:val="32"/>
          <w:szCs w:val="32"/>
        </w:rPr>
        <w:t>4</w:t>
      </w:r>
      <w:r>
        <w:rPr>
          <w:rFonts w:hint="eastAsia" w:ascii="Times New Roman" w:hAnsi="Times New Roman" w:eastAsia="仿宋_GB2312" w:cs="Times New Roman"/>
          <w:sz w:val="32"/>
          <w:szCs w:val="32"/>
        </w:rPr>
        <w:t>个重点项目。</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B953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5000" w:type="pct"/>
            <w:shd w:val="clear" w:color="auto" w:fill="D9D9D9"/>
            <w:vAlign w:val="center"/>
          </w:tcPr>
          <w:p w14:paraId="1D51C683">
            <w:pPr>
              <w:jc w:val="center"/>
              <w:rPr>
                <w:rFonts w:eastAsia="仿宋_GB2312"/>
                <w:sz w:val="28"/>
                <w:szCs w:val="28"/>
              </w:rPr>
            </w:pPr>
            <w:r>
              <w:rPr>
                <w:rFonts w:hint="eastAsia" w:eastAsia="仿宋_GB2312"/>
                <w:b/>
                <w:bCs/>
                <w:sz w:val="28"/>
                <w:szCs w:val="28"/>
              </w:rPr>
              <w:t>专栏</w:t>
            </w:r>
            <w:r>
              <w:rPr>
                <w:rFonts w:eastAsia="仿宋_GB2312"/>
                <w:b/>
                <w:bCs/>
                <w:sz w:val="28"/>
                <w:szCs w:val="28"/>
              </w:rPr>
              <w:t>7</w:t>
            </w:r>
            <w:r>
              <w:rPr>
                <w:rFonts w:hint="eastAsia" w:eastAsia="仿宋_GB2312"/>
                <w:b/>
                <w:bCs/>
                <w:sz w:val="28"/>
                <w:szCs w:val="28"/>
              </w:rPr>
              <w:t>-</w:t>
            </w:r>
            <w:r>
              <w:rPr>
                <w:rFonts w:eastAsia="仿宋_GB2312"/>
                <w:b/>
                <w:bCs/>
                <w:sz w:val="28"/>
                <w:szCs w:val="28"/>
              </w:rPr>
              <w:t>5</w:t>
            </w:r>
            <w:r>
              <w:rPr>
                <w:rFonts w:hint="eastAsia" w:eastAsia="仿宋_GB2312"/>
                <w:b/>
                <w:bCs/>
                <w:sz w:val="28"/>
                <w:szCs w:val="28"/>
              </w:rPr>
              <w:t>：农业空间保护和修复重点工程</w:t>
            </w:r>
          </w:p>
        </w:tc>
      </w:tr>
      <w:tr w14:paraId="72885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000" w:type="pct"/>
            <w:vAlign w:val="center"/>
          </w:tcPr>
          <w:p w14:paraId="45FEAEAE">
            <w:pPr>
              <w:numPr>
                <w:ilvl w:val="0"/>
                <w:numId w:val="6"/>
              </w:numPr>
              <w:jc w:val="left"/>
              <w:rPr>
                <w:rFonts w:ascii="仿宋_GB2312" w:eastAsia="仿宋_GB2312" w:cs="Times New Roman"/>
                <w:b/>
                <w:sz w:val="22"/>
                <w:szCs w:val="22"/>
              </w:rPr>
            </w:pPr>
            <w:r>
              <w:rPr>
                <w:rFonts w:hint="eastAsia" w:ascii="仿宋_GB2312" w:eastAsia="仿宋_GB2312" w:cs="Times New Roman"/>
                <w:b/>
                <w:sz w:val="22"/>
                <w:szCs w:val="22"/>
              </w:rPr>
              <w:t>高标准农田建设工程</w:t>
            </w:r>
          </w:p>
          <w:p w14:paraId="13B438C5">
            <w:pPr>
              <w:pStyle w:val="29"/>
              <w:numPr>
                <w:ilvl w:val="0"/>
                <w:numId w:val="7"/>
              </w:numPr>
              <w:ind w:firstLineChars="0"/>
              <w:jc w:val="left"/>
              <w:rPr>
                <w:rFonts w:ascii="仿宋_GB2312" w:eastAsia="仿宋_GB2312" w:cs="Times New Roman"/>
                <w:sz w:val="22"/>
                <w:szCs w:val="22"/>
              </w:rPr>
            </w:pPr>
            <w:r>
              <w:rPr>
                <w:rFonts w:hint="eastAsia" w:ascii="仿宋_GB2312" w:eastAsia="仿宋_GB2312" w:cs="Times New Roman"/>
                <w:sz w:val="22"/>
                <w:szCs w:val="22"/>
              </w:rPr>
              <w:t>阳江市高标准农田建设项目：</w:t>
            </w:r>
            <w:bookmarkStart w:id="47" w:name="_Hlk165279708"/>
            <w:r>
              <w:rPr>
                <w:rFonts w:hint="eastAsia" w:ascii="仿宋_GB2312" w:eastAsia="仿宋_GB2312" w:cs="Times New Roman"/>
                <w:sz w:val="22"/>
                <w:szCs w:val="22"/>
              </w:rPr>
              <w:t>到2030年累计建成高标准农田不低于138.87万亩；</w:t>
            </w:r>
            <w:bookmarkEnd w:id="47"/>
            <w:r>
              <w:rPr>
                <w:rFonts w:hint="eastAsia" w:ascii="仿宋_GB2312" w:eastAsia="仿宋_GB2312" w:cs="Times New Roman"/>
                <w:sz w:val="22"/>
                <w:szCs w:val="22"/>
              </w:rPr>
              <w:t>到2030年累计改造提升高标准农田不低于19万亩。</w:t>
            </w:r>
          </w:p>
        </w:tc>
      </w:tr>
      <w:tr w14:paraId="5DEE6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000" w:type="pct"/>
            <w:vAlign w:val="center"/>
          </w:tcPr>
          <w:p w14:paraId="00C8F930">
            <w:pPr>
              <w:numPr>
                <w:ilvl w:val="0"/>
                <w:numId w:val="6"/>
              </w:numPr>
              <w:jc w:val="left"/>
              <w:rPr>
                <w:rFonts w:ascii="仿宋_GB2312" w:eastAsia="仿宋_GB2312" w:cs="Times New Roman"/>
                <w:b/>
                <w:sz w:val="22"/>
                <w:szCs w:val="22"/>
              </w:rPr>
            </w:pPr>
            <w:r>
              <w:rPr>
                <w:rFonts w:hint="eastAsia" w:ascii="仿宋_GB2312" w:eastAsia="仿宋_GB2312" w:cs="Times New Roman"/>
                <w:b/>
                <w:sz w:val="22"/>
                <w:szCs w:val="22"/>
              </w:rPr>
              <w:t>节水灌溉建设工程</w:t>
            </w:r>
          </w:p>
          <w:p w14:paraId="07E4F5A4">
            <w:pPr>
              <w:pStyle w:val="29"/>
              <w:numPr>
                <w:ilvl w:val="0"/>
                <w:numId w:val="7"/>
              </w:numPr>
              <w:ind w:firstLineChars="0"/>
              <w:jc w:val="left"/>
              <w:rPr>
                <w:rFonts w:ascii="仿宋_GB2312" w:eastAsia="仿宋_GB2312" w:cs="Times New Roman"/>
                <w:sz w:val="22"/>
                <w:szCs w:val="22"/>
              </w:rPr>
            </w:pPr>
            <w:r>
              <w:rPr>
                <w:rFonts w:hint="eastAsia" w:ascii="仿宋_GB2312" w:eastAsia="仿宋_GB2312" w:cs="Times New Roman"/>
                <w:sz w:val="22"/>
                <w:szCs w:val="22"/>
              </w:rPr>
              <w:t>阳江市高效节水灌溉建设工程：2021-2030年新增高效节水灌溉面积3.3万亩，推广喷灌、微灌、滴灌、管道输水等高效节水灌溉技术，提高农田灌溉水的有效利用率，减少农业用水总量，提升农作物产量和品质。</w:t>
            </w:r>
          </w:p>
        </w:tc>
      </w:tr>
      <w:tr w14:paraId="32D80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000" w:type="pct"/>
            <w:vAlign w:val="center"/>
          </w:tcPr>
          <w:p w14:paraId="4E0F4B80">
            <w:pPr>
              <w:pStyle w:val="29"/>
              <w:numPr>
                <w:ilvl w:val="0"/>
                <w:numId w:val="6"/>
              </w:numPr>
              <w:ind w:firstLine="0" w:firstLineChars="0"/>
              <w:jc w:val="left"/>
              <w:rPr>
                <w:rFonts w:ascii="仿宋_GB2312" w:eastAsia="仿宋_GB2312" w:cs="Times New Roman"/>
                <w:b/>
                <w:sz w:val="22"/>
                <w:szCs w:val="22"/>
              </w:rPr>
            </w:pPr>
            <w:r>
              <w:rPr>
                <w:rFonts w:hint="eastAsia" w:ascii="仿宋_GB2312" w:eastAsia="仿宋_GB2312" w:cs="Times New Roman"/>
                <w:b/>
                <w:sz w:val="22"/>
                <w:szCs w:val="22"/>
              </w:rPr>
              <w:t>乡村人居环境整治工程</w:t>
            </w:r>
          </w:p>
          <w:p w14:paraId="68C00FD0">
            <w:pPr>
              <w:pStyle w:val="29"/>
              <w:numPr>
                <w:ilvl w:val="0"/>
                <w:numId w:val="7"/>
              </w:numPr>
              <w:ind w:firstLineChars="0"/>
              <w:jc w:val="left"/>
              <w:rPr>
                <w:rFonts w:ascii="仿宋_GB2312" w:eastAsia="仿宋_GB2312" w:cs="Times New Roman"/>
                <w:sz w:val="22"/>
                <w:szCs w:val="22"/>
              </w:rPr>
            </w:pPr>
            <w:r>
              <w:rPr>
                <w:rFonts w:hint="eastAsia" w:ascii="仿宋_GB2312" w:eastAsia="仿宋_GB2312" w:cs="Times New Roman"/>
                <w:sz w:val="22"/>
                <w:szCs w:val="22"/>
              </w:rPr>
              <w:t>阳江滨海新区（阳江高新区）全域推进农村人居环境整治项目：建设全区22条行政村的污水处理、巷道硬化、公厕等农村人居环境整治项目，补齐农村基础设施短板，全域推进农村人居环境整治建设生态宜居美丽乡村。</w:t>
            </w:r>
          </w:p>
          <w:p w14:paraId="74105659">
            <w:pPr>
              <w:pStyle w:val="29"/>
              <w:numPr>
                <w:ilvl w:val="0"/>
                <w:numId w:val="7"/>
              </w:numPr>
              <w:ind w:firstLineChars="0"/>
              <w:jc w:val="left"/>
              <w:rPr>
                <w:rFonts w:ascii="仿宋_GB2312" w:eastAsia="仿宋_GB2312" w:cs="Times New Roman"/>
                <w:sz w:val="22"/>
                <w:szCs w:val="22"/>
              </w:rPr>
            </w:pPr>
            <w:r>
              <w:rPr>
                <w:rFonts w:hint="eastAsia" w:ascii="仿宋_GB2312" w:eastAsia="仿宋_GB2312" w:cs="Times New Roman"/>
                <w:sz w:val="22"/>
                <w:szCs w:val="22"/>
              </w:rPr>
              <w:t>阳西县新农村建设项目：推进村庄道路硬化、集中供水、污水处理、垃圾处理、公厕等基础设施建设，建设村庄绿化美化，提升村容村貌。</w:t>
            </w:r>
          </w:p>
        </w:tc>
      </w:tr>
    </w:tbl>
    <w:p w14:paraId="55CAA47B"/>
    <w:p w14:paraId="233AE0C5">
      <w:pPr>
        <w:pStyle w:val="3"/>
        <w:spacing w:beforeLines="50" w:afterLines="50"/>
        <w:ind w:firstLine="0" w:firstLineChars="0"/>
        <w:jc w:val="center"/>
        <w:rPr>
          <w:rFonts w:ascii="黑体" w:hAnsi="黑体" w:cs="方正小标宋简体"/>
          <w:color w:val="FF0000"/>
        </w:rPr>
      </w:pPr>
      <w:bookmarkStart w:id="48" w:name="_Toc181820189"/>
      <w:r>
        <w:rPr>
          <w:rFonts w:hint="eastAsia" w:ascii="楷体" w:hAnsi="楷体" w:eastAsia="楷体"/>
          <w:b/>
          <w:bCs w:val="0"/>
        </w:rPr>
        <w:t>第六节 城镇景观品质提升和修复重点工程</w:t>
      </w:r>
      <w:bookmarkEnd w:id="48"/>
    </w:p>
    <w:p w14:paraId="13AB6B4C">
      <w:pPr>
        <w:pStyle w:val="4"/>
        <w:spacing w:before="0" w:after="0" w:line="600" w:lineRule="exact"/>
        <w:ind w:firstLine="643"/>
        <w:rPr>
          <w:rFonts w:ascii="仿宋" w:hAnsi="仿宋" w:eastAsia="仿宋"/>
        </w:rPr>
      </w:pPr>
      <w:r>
        <w:rPr>
          <w:rFonts w:hint="eastAsia" w:ascii="仿宋" w:hAnsi="仿宋" w:eastAsia="仿宋"/>
        </w:rPr>
        <w:t>一、实施区域</w:t>
      </w:r>
    </w:p>
    <w:p w14:paraId="6ECB498A">
      <w:pPr>
        <w:ind w:left="142"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城镇空间保护和修复重点工程范围为阳江市中心城区。阳江市</w:t>
      </w:r>
      <w:r>
        <w:rPr>
          <w:rFonts w:ascii="Calibri" w:hAnsi="Calibri" w:eastAsia="仿宋_GB2312" w:cs="Times New Roman"/>
          <w:sz w:val="32"/>
          <w:szCs w:val="32"/>
        </w:rPr>
        <w:t>中心城区面</w:t>
      </w:r>
      <w:r>
        <w:rPr>
          <w:rFonts w:ascii="Times New Roman" w:hAnsi="Times New Roman" w:eastAsia="仿宋_GB2312" w:cs="Times New Roman"/>
          <w:sz w:val="32"/>
          <w:szCs w:val="32"/>
        </w:rPr>
        <w:t>积为</w:t>
      </w:r>
      <w:r>
        <w:rPr>
          <w:rFonts w:hint="eastAsia" w:ascii="Times New Roman" w:hAnsi="Times New Roman" w:eastAsia="仿宋_GB2312" w:cs="Times New Roman"/>
          <w:sz w:val="32"/>
          <w:szCs w:val="32"/>
        </w:rPr>
        <w:t>1232.04平方公里</w:t>
      </w:r>
      <w:r>
        <w:rPr>
          <w:rFonts w:ascii="Times New Roman" w:hAnsi="Times New Roman" w:eastAsia="仿宋_GB2312" w:cs="Times New Roman"/>
          <w:sz w:val="32"/>
          <w:szCs w:val="32"/>
        </w:rPr>
        <w:t>，建设范围包括</w:t>
      </w:r>
      <w:r>
        <w:rPr>
          <w:rFonts w:hint="eastAsia" w:ascii="Times New Roman" w:hAnsi="Times New Roman" w:eastAsia="仿宋_GB2312" w:cs="Times New Roman"/>
          <w:sz w:val="32"/>
          <w:szCs w:val="32"/>
        </w:rPr>
        <w:t>江城区、高新区、海陵岛经济开发试验区。</w:t>
      </w:r>
    </w:p>
    <w:p w14:paraId="5B27CC52">
      <w:pPr>
        <w:pStyle w:val="4"/>
        <w:spacing w:before="0" w:after="0" w:line="600" w:lineRule="exact"/>
        <w:ind w:firstLine="643"/>
        <w:rPr>
          <w:rFonts w:ascii="仿宋" w:hAnsi="仿宋" w:eastAsia="仿宋"/>
        </w:rPr>
      </w:pPr>
      <w:r>
        <w:rPr>
          <w:rFonts w:hint="eastAsia" w:ascii="仿宋" w:hAnsi="仿宋" w:eastAsia="仿宋"/>
        </w:rPr>
        <w:t>二、修复目标</w:t>
      </w:r>
    </w:p>
    <w:p w14:paraId="64FB3BFC">
      <w:pPr>
        <w:ind w:firstLine="640" w:firstLineChars="200"/>
        <w:rPr>
          <w:rFonts w:ascii="Calibri" w:hAnsi="Calibri" w:eastAsia="仿宋_GB2312" w:cs="Times New Roman"/>
          <w:sz w:val="32"/>
          <w:szCs w:val="32"/>
          <w:highlight w:val="yellow"/>
        </w:rPr>
      </w:pPr>
      <w:r>
        <w:rPr>
          <w:rFonts w:hint="eastAsia" w:ascii="Calibri" w:hAnsi="Calibri" w:eastAsia="仿宋_GB2312" w:cs="Times New Roman"/>
          <w:sz w:val="32"/>
          <w:szCs w:val="32"/>
        </w:rPr>
        <w:t>绿色开敞空间体系建设。全面梳理城市公园空间，实施设施完善、环境美化、品质提升，</w:t>
      </w:r>
      <w:r>
        <w:rPr>
          <w:rFonts w:hint="eastAsia" w:ascii="Times New Roman" w:hAnsi="Times New Roman" w:eastAsia="仿宋_GB2312" w:cs="Times New Roman"/>
          <w:sz w:val="32"/>
          <w:szCs w:val="32"/>
        </w:rPr>
        <w:t>构建“公园15分钟”生</w:t>
      </w:r>
      <w:r>
        <w:rPr>
          <w:rFonts w:hint="eastAsia" w:ascii="Calibri" w:hAnsi="Calibri" w:eastAsia="仿宋_GB2312" w:cs="Times New Roman"/>
          <w:sz w:val="32"/>
          <w:szCs w:val="32"/>
        </w:rPr>
        <w:t>活新模式，为市民群众提供高品质、有活力的城市公园。整合连通城市现有绿道、碧道，完善鸳鸯湖公园、南山公园、江湾公园等区域基础服务设施，健全城市活力健康生态空间。</w:t>
      </w:r>
    </w:p>
    <w:p w14:paraId="62882483">
      <w:pPr>
        <w:pStyle w:val="4"/>
        <w:spacing w:before="0" w:after="0" w:line="600" w:lineRule="exact"/>
        <w:ind w:firstLine="643"/>
        <w:rPr>
          <w:rFonts w:ascii="仿宋" w:hAnsi="仿宋" w:eastAsia="仿宋"/>
        </w:rPr>
      </w:pPr>
      <w:r>
        <w:rPr>
          <w:rFonts w:hint="eastAsia" w:ascii="仿宋" w:hAnsi="仿宋" w:eastAsia="仿宋"/>
        </w:rPr>
        <w:t>三、重点项目</w:t>
      </w:r>
    </w:p>
    <w:p w14:paraId="253F2C32">
      <w:pPr>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城镇空间保护和修复重点工程涉及南亚热带滨海绿色开敞空间体系建设工程、城市公共服务活动提升改造工程、城市生态韧性建设提升工程等</w:t>
      </w:r>
      <w:r>
        <w:rPr>
          <w:rFonts w:hint="eastAsia" w:ascii="Times New Roman" w:hAnsi="Times New Roman" w:eastAsia="仿宋_GB2312" w:cs="Times New Roman"/>
          <w:sz w:val="32"/>
          <w:szCs w:val="32"/>
        </w:rPr>
        <w:t>3大工程，共</w:t>
      </w:r>
      <w:r>
        <w:rPr>
          <w:rFonts w:ascii="Times New Roman" w:hAnsi="Times New Roman" w:eastAsia="仿宋_GB2312" w:cs="Times New Roman"/>
          <w:sz w:val="32"/>
          <w:szCs w:val="32"/>
        </w:rPr>
        <w:t>7</w:t>
      </w:r>
      <w:r>
        <w:rPr>
          <w:rFonts w:hint="eastAsia" w:ascii="Times New Roman" w:hAnsi="Times New Roman" w:eastAsia="仿宋_GB2312" w:cs="Times New Roman"/>
          <w:sz w:val="32"/>
          <w:szCs w:val="32"/>
        </w:rPr>
        <w:t>个重点项</w:t>
      </w:r>
      <w:r>
        <w:rPr>
          <w:rFonts w:hint="eastAsia" w:ascii="Calibri" w:hAnsi="Calibri" w:eastAsia="仿宋_GB2312" w:cs="Times New Roman"/>
          <w:sz w:val="32"/>
          <w:szCs w:val="32"/>
        </w:rPr>
        <w:t>目。</w:t>
      </w:r>
    </w:p>
    <w:tbl>
      <w:tblPr>
        <w:tblStyle w:val="17"/>
        <w:tblW w:w="8222" w:type="dxa"/>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22"/>
      </w:tblGrid>
      <w:tr w14:paraId="3752D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2" w:type="dxa"/>
            <w:shd w:val="clear" w:color="auto" w:fill="D8D8D8" w:themeFill="background1" w:themeFillShade="D9"/>
            <w:vAlign w:val="center"/>
          </w:tcPr>
          <w:p w14:paraId="5810F7A6">
            <w:pPr>
              <w:jc w:val="center"/>
              <w:rPr>
                <w:rFonts w:asciiTheme="minorEastAsia" w:hAnsiTheme="minorEastAsia"/>
                <w:b/>
                <w:bCs/>
              </w:rPr>
            </w:pPr>
            <w:bookmarkStart w:id="49" w:name="_Hlk153985177"/>
            <w:r>
              <w:rPr>
                <w:rFonts w:hint="eastAsia" w:eastAsia="仿宋_GB2312"/>
                <w:b/>
                <w:bCs/>
                <w:sz w:val="28"/>
                <w:szCs w:val="28"/>
              </w:rPr>
              <w:t>专栏</w:t>
            </w:r>
            <w:r>
              <w:rPr>
                <w:rFonts w:eastAsia="仿宋_GB2312"/>
                <w:b/>
                <w:bCs/>
                <w:sz w:val="28"/>
                <w:szCs w:val="28"/>
              </w:rPr>
              <w:t>7-6</w:t>
            </w:r>
            <w:r>
              <w:rPr>
                <w:rFonts w:hint="eastAsia" w:eastAsia="仿宋_GB2312"/>
                <w:b/>
                <w:bCs/>
                <w:sz w:val="28"/>
                <w:szCs w:val="28"/>
              </w:rPr>
              <w:t>：城镇空间保护和修复重点工程</w:t>
            </w:r>
          </w:p>
        </w:tc>
      </w:tr>
      <w:tr w14:paraId="0D6D5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trPr>
        <w:tc>
          <w:tcPr>
            <w:tcW w:w="8222" w:type="dxa"/>
            <w:vAlign w:val="center"/>
          </w:tcPr>
          <w:p w14:paraId="4C9AFB6C">
            <w:pPr>
              <w:pStyle w:val="29"/>
              <w:tabs>
                <w:tab w:val="left" w:pos="312"/>
              </w:tabs>
              <w:ind w:firstLine="0" w:firstLineChars="0"/>
              <w:jc w:val="left"/>
              <w:rPr>
                <w:rFonts w:ascii="仿宋_GB2312" w:eastAsia="仿宋_GB2312" w:cs="Times New Roman"/>
                <w:b/>
                <w:sz w:val="22"/>
                <w:szCs w:val="22"/>
              </w:rPr>
            </w:pPr>
            <w:r>
              <w:rPr>
                <w:rFonts w:ascii="仿宋_GB2312" w:eastAsia="仿宋_GB2312" w:cs="Times New Roman"/>
                <w:b/>
                <w:sz w:val="22"/>
                <w:szCs w:val="22"/>
              </w:rPr>
              <w:t>1.</w:t>
            </w:r>
            <w:r>
              <w:rPr>
                <w:rFonts w:hint="eastAsia" w:ascii="仿宋_GB2312" w:eastAsia="仿宋_GB2312" w:cs="Times New Roman"/>
                <w:b/>
                <w:sz w:val="22"/>
                <w:szCs w:val="22"/>
              </w:rPr>
              <w:t>南亚热带滨海绿色开敞空间体系建设工程</w:t>
            </w:r>
          </w:p>
          <w:p w14:paraId="1F5B563B">
            <w:pPr>
              <w:pStyle w:val="29"/>
              <w:ind w:firstLine="0" w:firstLineChars="0"/>
              <w:jc w:val="left"/>
              <w:rPr>
                <w:rFonts w:ascii="仿宋_GB2312" w:eastAsia="仿宋_GB2312" w:cs="Times New Roman"/>
                <w:sz w:val="22"/>
                <w:szCs w:val="22"/>
              </w:rPr>
            </w:pPr>
            <w:r>
              <w:rPr>
                <w:rFonts w:hint="eastAsia" w:ascii="仿宋_GB2312" w:eastAsia="仿宋_GB2312" w:cs="Times New Roman"/>
                <w:sz w:val="22"/>
                <w:szCs w:val="22"/>
              </w:rPr>
              <w:t>（1）阳江市城市“公园+”服务设施提质项目</w:t>
            </w:r>
          </w:p>
          <w:p w14:paraId="5AA670CD">
            <w:pPr>
              <w:pStyle w:val="29"/>
              <w:ind w:firstLineChars="0"/>
              <w:jc w:val="left"/>
              <w:rPr>
                <w:rFonts w:ascii="仿宋" w:hAnsi="仿宋" w:eastAsia="仿宋"/>
                <w:sz w:val="22"/>
                <w:szCs w:val="22"/>
              </w:rPr>
            </w:pPr>
            <w:r>
              <w:rPr>
                <w:rFonts w:hint="eastAsia" w:ascii="仿宋_GB2312" w:eastAsia="仿宋_GB2312" w:cs="Times New Roman"/>
                <w:sz w:val="22"/>
                <w:szCs w:val="22"/>
              </w:rPr>
              <w:t>按照“公园+体育、公园+文化、公园+科普、公园+旅游”等模式，积极谋划一批口袋公园，实施城市微更新，全面梳理城市公园空间，实施设施完善、环境美化、品质提升，构建“公园15分钟”生活新模式，为市民群众提供高品质、有活力的城市公园。</w:t>
            </w:r>
          </w:p>
        </w:tc>
      </w:tr>
      <w:tr w14:paraId="67192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222" w:type="dxa"/>
            <w:vAlign w:val="center"/>
          </w:tcPr>
          <w:p w14:paraId="457A71C9">
            <w:pPr>
              <w:pStyle w:val="29"/>
              <w:tabs>
                <w:tab w:val="left" w:pos="312"/>
              </w:tabs>
              <w:ind w:firstLine="0" w:firstLineChars="0"/>
              <w:jc w:val="left"/>
              <w:rPr>
                <w:rFonts w:ascii="仿宋_GB2312" w:eastAsia="仿宋_GB2312" w:cs="Times New Roman"/>
                <w:b/>
                <w:sz w:val="22"/>
                <w:szCs w:val="22"/>
              </w:rPr>
            </w:pPr>
            <w:r>
              <w:rPr>
                <w:rFonts w:ascii="仿宋_GB2312" w:eastAsia="仿宋_GB2312" w:cs="Times New Roman"/>
                <w:b/>
                <w:sz w:val="22"/>
                <w:szCs w:val="22"/>
              </w:rPr>
              <w:t>2.</w:t>
            </w:r>
            <w:r>
              <w:rPr>
                <w:rFonts w:hint="eastAsia" w:ascii="仿宋_GB2312" w:eastAsia="仿宋_GB2312" w:cs="Times New Roman"/>
                <w:b/>
                <w:sz w:val="22"/>
                <w:szCs w:val="22"/>
              </w:rPr>
              <w:t>城市公共服务活动提升改造工程</w:t>
            </w:r>
          </w:p>
          <w:p w14:paraId="3FF64433">
            <w:pPr>
              <w:pStyle w:val="29"/>
              <w:tabs>
                <w:tab w:val="left" w:pos="312"/>
              </w:tabs>
              <w:ind w:firstLine="0" w:firstLineChars="0"/>
              <w:jc w:val="left"/>
              <w:rPr>
                <w:rFonts w:ascii="仿宋_GB2312" w:eastAsia="仿宋_GB2312" w:cs="Times New Roman"/>
                <w:bCs/>
                <w:sz w:val="22"/>
                <w:szCs w:val="22"/>
              </w:rPr>
            </w:pPr>
            <w:r>
              <w:rPr>
                <w:rFonts w:hint="eastAsia" w:ascii="仿宋_GB2312" w:eastAsia="仿宋_GB2312" w:cs="Times New Roman"/>
                <w:bCs/>
                <w:sz w:val="22"/>
                <w:szCs w:val="22"/>
              </w:rPr>
              <w:t>（2）阳江市城市户外运动健身步道公共服务设施示范段建设项目</w:t>
            </w:r>
          </w:p>
          <w:p w14:paraId="4D8A3397">
            <w:pPr>
              <w:pStyle w:val="29"/>
              <w:ind w:firstLineChars="0"/>
              <w:jc w:val="left"/>
              <w:rPr>
                <w:rFonts w:ascii="仿宋_GB2312" w:eastAsia="仿宋_GB2312" w:cs="Times New Roman"/>
                <w:bCs/>
                <w:sz w:val="22"/>
                <w:szCs w:val="22"/>
              </w:rPr>
            </w:pPr>
            <w:r>
              <w:rPr>
                <w:rFonts w:hint="eastAsia" w:ascii="仿宋_GB2312" w:eastAsia="仿宋_GB2312" w:cs="Times New Roman"/>
                <w:bCs/>
                <w:sz w:val="22"/>
                <w:szCs w:val="22"/>
              </w:rPr>
              <w:t>在城市现有绿道碧道基础上进行整合连通、优化提升，健全自行车、跑步、健身等基础服务设施，在沿线起讫点南国风筝场主门口，以及沿线节点鸳鸯湖公园、南山公园、江湾公园、连围湿地生态公园、漠阳湖公园、儿童公园、城南西路带状公园、滨江东路带状公园、金山路带状公园、金鸡岭森林公园、共青湖公园、金山植物公园、金山湖公园、鸳鸯湖北湖公园等配建文化旅游、户外运动、休闲健身、停车场和充电桩点和其他服务站点，健全城市活力健康生活空间，方便市民游客休闲游憩、健身运动、城市体验以及城市马拉松赛事需求。</w:t>
            </w:r>
          </w:p>
          <w:p w14:paraId="270222EF">
            <w:pPr>
              <w:jc w:val="left"/>
              <w:rPr>
                <w:rFonts w:ascii="仿宋_GB2312" w:eastAsia="仿宋_GB2312"/>
                <w:bCs/>
                <w:sz w:val="22"/>
                <w:szCs w:val="22"/>
              </w:rPr>
            </w:pPr>
            <w:r>
              <w:rPr>
                <w:rFonts w:hint="eastAsia" w:ascii="仿宋_GB2312" w:eastAsia="仿宋_GB2312"/>
                <w:bCs/>
                <w:sz w:val="22"/>
                <w:szCs w:val="22"/>
              </w:rPr>
              <w:t>（3）鸳鸯湖北湖滨水公共空间服务设施完善工程</w:t>
            </w:r>
          </w:p>
          <w:p w14:paraId="04DDB601">
            <w:pPr>
              <w:ind w:firstLine="440" w:firstLineChars="200"/>
              <w:jc w:val="left"/>
              <w:rPr>
                <w:rFonts w:ascii="仿宋" w:hAnsi="仿宋" w:eastAsia="仿宋"/>
                <w:sz w:val="22"/>
                <w:szCs w:val="22"/>
              </w:rPr>
            </w:pPr>
            <w:r>
              <w:rPr>
                <w:rFonts w:hint="eastAsia" w:ascii="仿宋_GB2312" w:eastAsia="仿宋_GB2312" w:cs="Times New Roman"/>
                <w:bCs/>
                <w:sz w:val="22"/>
                <w:szCs w:val="22"/>
              </w:rPr>
              <w:t>健全环湖步道系统，增加步道长度500米，改造优化局部节点设施10个，增加游憩节点10个及栈桥一座，整治岸线环境面积15万平方米，优化设施服务功能，增强滨水空间活力。</w:t>
            </w:r>
          </w:p>
        </w:tc>
      </w:tr>
      <w:tr w14:paraId="58B4D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222" w:type="dxa"/>
            <w:vAlign w:val="center"/>
          </w:tcPr>
          <w:p w14:paraId="400C484D">
            <w:pPr>
              <w:pStyle w:val="29"/>
              <w:tabs>
                <w:tab w:val="left" w:pos="312"/>
              </w:tabs>
              <w:ind w:firstLine="0" w:firstLineChars="0"/>
              <w:jc w:val="left"/>
              <w:rPr>
                <w:rFonts w:ascii="仿宋_GB2312" w:eastAsia="仿宋_GB2312" w:cs="Times New Roman"/>
                <w:b/>
                <w:sz w:val="22"/>
                <w:szCs w:val="22"/>
              </w:rPr>
            </w:pPr>
            <w:r>
              <w:rPr>
                <w:rFonts w:ascii="仿宋_GB2312" w:eastAsia="仿宋_GB2312" w:cs="Times New Roman"/>
                <w:b/>
                <w:sz w:val="22"/>
                <w:szCs w:val="22"/>
              </w:rPr>
              <w:t>3.</w:t>
            </w:r>
            <w:r>
              <w:rPr>
                <w:rFonts w:hint="eastAsia" w:ascii="仿宋_GB2312" w:eastAsia="仿宋_GB2312" w:cs="Times New Roman"/>
                <w:b/>
                <w:sz w:val="22"/>
                <w:szCs w:val="22"/>
              </w:rPr>
              <w:t>城市生态韧性建设提升工程</w:t>
            </w:r>
          </w:p>
          <w:p w14:paraId="626B3EFC">
            <w:pPr>
              <w:pStyle w:val="29"/>
              <w:tabs>
                <w:tab w:val="left" w:pos="312"/>
              </w:tabs>
              <w:ind w:firstLine="0" w:firstLineChars="0"/>
              <w:jc w:val="left"/>
              <w:rPr>
                <w:rFonts w:ascii="仿宋_GB2312" w:eastAsia="仿宋_GB2312" w:cs="Times New Roman"/>
                <w:bCs/>
                <w:sz w:val="22"/>
                <w:szCs w:val="22"/>
              </w:rPr>
            </w:pPr>
            <w:r>
              <w:rPr>
                <w:rFonts w:hint="eastAsia" w:ascii="仿宋_GB2312" w:eastAsia="仿宋_GB2312" w:cs="Times New Roman"/>
                <w:bCs/>
                <w:sz w:val="22"/>
                <w:szCs w:val="22"/>
              </w:rPr>
              <w:t>（</w:t>
            </w:r>
            <w:r>
              <w:rPr>
                <w:rFonts w:ascii="仿宋_GB2312" w:eastAsia="仿宋_GB2312" w:cs="Times New Roman"/>
                <w:bCs/>
                <w:sz w:val="22"/>
                <w:szCs w:val="22"/>
              </w:rPr>
              <w:t>4</w:t>
            </w:r>
            <w:r>
              <w:rPr>
                <w:rFonts w:hint="eastAsia" w:ascii="仿宋_GB2312" w:eastAsia="仿宋_GB2312" w:cs="Times New Roman"/>
                <w:bCs/>
                <w:sz w:val="22"/>
                <w:szCs w:val="22"/>
              </w:rPr>
              <w:t>）市区污水处理及排水排污管网改造项目</w:t>
            </w:r>
          </w:p>
          <w:p w14:paraId="6D33DC6E">
            <w:pPr>
              <w:pStyle w:val="29"/>
              <w:ind w:firstLineChars="0"/>
              <w:jc w:val="left"/>
              <w:rPr>
                <w:rFonts w:ascii="仿宋_GB2312" w:eastAsia="仿宋_GB2312" w:cs="Times New Roman"/>
                <w:bCs/>
                <w:sz w:val="22"/>
                <w:szCs w:val="22"/>
              </w:rPr>
            </w:pPr>
            <w:r>
              <w:rPr>
                <w:rFonts w:hint="eastAsia" w:ascii="仿宋_GB2312" w:eastAsia="仿宋_GB2312" w:cs="Times New Roman"/>
                <w:bCs/>
                <w:sz w:val="22"/>
                <w:szCs w:val="22"/>
              </w:rPr>
              <w:t>新建雨污管渠294.71公里，改造雨污管渠157.61公里。累计新建改建管径300～800毫米雨污管渠434.3公里，大于800毫米雨污干管渠18.02公里，另外整治市政雨污管错接混接560处。达到综合治理面积83.59平方公里，城市河涌（暗渠）27.15公里。城南污水处理厂三期扩建增容规模4万吨／日，中洲岛污水处理厂二期扩建增容规模2万吨/日。</w:t>
            </w:r>
          </w:p>
          <w:p w14:paraId="6A136035">
            <w:pPr>
              <w:jc w:val="left"/>
              <w:rPr>
                <w:rFonts w:ascii="仿宋_GB2312" w:hAnsi="仿宋" w:eastAsia="仿宋_GB2312"/>
                <w:bCs/>
                <w:sz w:val="22"/>
                <w:szCs w:val="22"/>
              </w:rPr>
            </w:pPr>
            <w:r>
              <w:rPr>
                <w:rFonts w:hint="eastAsia" w:ascii="仿宋_GB2312" w:hAnsi="仿宋" w:eastAsia="仿宋_GB2312"/>
                <w:bCs/>
                <w:sz w:val="22"/>
                <w:szCs w:val="22"/>
              </w:rPr>
              <w:t>（</w:t>
            </w:r>
            <w:r>
              <w:rPr>
                <w:rFonts w:ascii="仿宋_GB2312" w:hAnsi="仿宋" w:eastAsia="仿宋_GB2312"/>
                <w:bCs/>
                <w:sz w:val="22"/>
                <w:szCs w:val="22"/>
              </w:rPr>
              <w:t>5）阳东区城区雨污管网建设工程</w:t>
            </w:r>
          </w:p>
          <w:p w14:paraId="54AE27E6">
            <w:pPr>
              <w:ind w:firstLine="440" w:firstLineChars="200"/>
              <w:jc w:val="left"/>
              <w:rPr>
                <w:rFonts w:ascii="仿宋_GB2312" w:hAnsi="仿宋" w:eastAsia="仿宋_GB2312"/>
                <w:bCs/>
                <w:sz w:val="22"/>
                <w:szCs w:val="22"/>
              </w:rPr>
            </w:pPr>
            <w:r>
              <w:rPr>
                <w:rFonts w:hint="eastAsia" w:ascii="仿宋_GB2312" w:hAnsi="仿宋" w:eastAsia="仿宋_GB2312"/>
                <w:bCs/>
                <w:sz w:val="22"/>
                <w:szCs w:val="22"/>
              </w:rPr>
              <w:t>对城区德政路、福兴路、广雅路、新江路、新昌路、龙日路、兴宁路等道路进行雨污水管道建设，对缺少污水管的道路及巷道增加污水管网，对现状雨水管管径较小、易发生内涝的路段，新建适宜管径的雨水管。</w:t>
            </w:r>
          </w:p>
          <w:p w14:paraId="2C525898">
            <w:pPr>
              <w:jc w:val="left"/>
              <w:rPr>
                <w:rFonts w:ascii="仿宋_GB2312" w:hAnsi="仿宋" w:eastAsia="仿宋_GB2312"/>
                <w:bCs/>
                <w:sz w:val="22"/>
                <w:szCs w:val="22"/>
              </w:rPr>
            </w:pPr>
            <w:r>
              <w:rPr>
                <w:rFonts w:hint="eastAsia" w:ascii="仿宋_GB2312" w:hAnsi="仿宋" w:eastAsia="仿宋_GB2312"/>
                <w:bCs/>
                <w:sz w:val="22"/>
                <w:szCs w:val="22"/>
              </w:rPr>
              <w:t>（</w:t>
            </w:r>
            <w:r>
              <w:rPr>
                <w:rFonts w:ascii="仿宋_GB2312" w:hAnsi="仿宋" w:eastAsia="仿宋_GB2312"/>
                <w:bCs/>
                <w:sz w:val="22"/>
                <w:szCs w:val="22"/>
              </w:rPr>
              <w:t>6</w:t>
            </w:r>
            <w:r>
              <w:rPr>
                <w:rFonts w:hint="eastAsia" w:ascii="仿宋_GB2312" w:hAnsi="仿宋" w:eastAsia="仿宋_GB2312"/>
                <w:bCs/>
                <w:sz w:val="22"/>
                <w:szCs w:val="22"/>
              </w:rPr>
              <w:t>）阳东区广雅路（永安路至文化路）增加雨水管工程</w:t>
            </w:r>
          </w:p>
          <w:p w14:paraId="000509B4">
            <w:pPr>
              <w:ind w:firstLine="440" w:firstLineChars="200"/>
              <w:jc w:val="left"/>
              <w:rPr>
                <w:rFonts w:ascii="仿宋_GB2312" w:hAnsi="仿宋" w:eastAsia="仿宋_GB2312"/>
                <w:bCs/>
                <w:sz w:val="22"/>
                <w:szCs w:val="22"/>
              </w:rPr>
            </w:pPr>
            <w:r>
              <w:rPr>
                <w:rFonts w:hint="eastAsia" w:ascii="仿宋_GB2312" w:hAnsi="仿宋" w:eastAsia="仿宋_GB2312"/>
                <w:bCs/>
                <w:sz w:val="22"/>
                <w:szCs w:val="22"/>
              </w:rPr>
              <w:t>在城区广雅路（永安路至文化路</w:t>
            </w:r>
            <w:r>
              <w:rPr>
                <w:rFonts w:ascii="仿宋_GB2312" w:hAnsi="仿宋" w:eastAsia="仿宋_GB2312"/>
                <w:bCs/>
                <w:sz w:val="22"/>
                <w:szCs w:val="22"/>
              </w:rPr>
              <w:t>)新建长度4780米雨水管，管径0.6米。</w:t>
            </w:r>
          </w:p>
          <w:p w14:paraId="544769E3">
            <w:pPr>
              <w:jc w:val="left"/>
              <w:rPr>
                <w:rFonts w:ascii="仿宋_GB2312" w:hAnsi="仿宋" w:eastAsia="仿宋_GB2312"/>
                <w:bCs/>
                <w:sz w:val="22"/>
                <w:szCs w:val="22"/>
              </w:rPr>
            </w:pPr>
            <w:r>
              <w:rPr>
                <w:rFonts w:hint="eastAsia" w:ascii="仿宋_GB2312" w:hAnsi="仿宋" w:eastAsia="仿宋_GB2312"/>
                <w:bCs/>
                <w:sz w:val="22"/>
                <w:szCs w:val="22"/>
              </w:rPr>
              <w:t>（</w:t>
            </w:r>
            <w:r>
              <w:rPr>
                <w:rFonts w:ascii="仿宋_GB2312" w:hAnsi="仿宋" w:eastAsia="仿宋_GB2312"/>
                <w:bCs/>
                <w:sz w:val="22"/>
                <w:szCs w:val="22"/>
              </w:rPr>
              <w:t>7</w:t>
            </w:r>
            <w:r>
              <w:rPr>
                <w:rFonts w:hint="eastAsia" w:ascii="仿宋_GB2312" w:hAnsi="仿宋" w:eastAsia="仿宋_GB2312"/>
                <w:bCs/>
                <w:sz w:val="22"/>
                <w:szCs w:val="22"/>
              </w:rPr>
              <w:t>）阳江市城市排涝综合整治化改造项目</w:t>
            </w:r>
          </w:p>
          <w:p w14:paraId="0A1C7643">
            <w:pPr>
              <w:ind w:firstLine="440" w:firstLineChars="200"/>
              <w:jc w:val="left"/>
              <w:rPr>
                <w:rFonts w:ascii="仿宋" w:hAnsi="仿宋" w:eastAsia="仿宋"/>
                <w:sz w:val="22"/>
                <w:szCs w:val="22"/>
              </w:rPr>
            </w:pPr>
            <w:r>
              <w:rPr>
                <w:rFonts w:hint="eastAsia" w:ascii="仿宋_GB2312" w:hAnsi="仿宋" w:eastAsia="仿宋_GB2312"/>
                <w:bCs/>
                <w:sz w:val="22"/>
                <w:szCs w:val="22"/>
              </w:rPr>
              <w:t>一是马南河小流域排涝治理工程，二是大垌河小流域排涝治理工程，三是新阳河小流域排涝治理工程，四是麻演河小流域排涝治</w:t>
            </w:r>
            <w:r>
              <w:rPr>
                <w:rFonts w:hint="eastAsia" w:ascii="仿宋_GB2312" w:hAnsi="仿宋" w:eastAsia="仿宋_GB2312"/>
                <w:sz w:val="22"/>
                <w:szCs w:val="22"/>
              </w:rPr>
              <w:t>理工程，五是环城河古城河风貌保护与利用工程。建设重点在清污分流基础上，提升排涝安全功能，强化水循环再造，生态河堤营造，滨水配套设施完善，暗渠适度明渠化，古河道风貌修复，并同步推进排涝及水生态智慧建设。综合治理城市排涝面积约</w:t>
            </w:r>
            <w:r>
              <w:rPr>
                <w:rFonts w:ascii="仿宋_GB2312" w:hAnsi="仿宋" w:eastAsia="仿宋_GB2312"/>
                <w:sz w:val="22"/>
                <w:szCs w:val="22"/>
              </w:rPr>
              <w:t>70平方公里，修复城市</w:t>
            </w:r>
            <w:r>
              <w:rPr>
                <w:rFonts w:hint="eastAsia" w:ascii="仿宋_GB2312" w:hAnsi="仿宋" w:eastAsia="仿宋_GB2312"/>
                <w:sz w:val="22"/>
                <w:szCs w:val="22"/>
              </w:rPr>
              <w:t>河涌约</w:t>
            </w:r>
            <w:r>
              <w:rPr>
                <w:rFonts w:ascii="仿宋_GB2312" w:hAnsi="仿宋" w:eastAsia="仿宋_GB2312"/>
                <w:sz w:val="22"/>
                <w:szCs w:val="22"/>
              </w:rPr>
              <w:t>26.5公里，古河道保护与利用2.4公里。</w:t>
            </w:r>
          </w:p>
        </w:tc>
      </w:tr>
      <w:bookmarkEnd w:id="49"/>
    </w:tbl>
    <w:p w14:paraId="4EDBF6FD"/>
    <w:p w14:paraId="62C855F0">
      <w:pPr>
        <w:pStyle w:val="3"/>
        <w:spacing w:beforeLines="50" w:afterLines="50"/>
        <w:ind w:firstLine="0" w:firstLineChars="0"/>
        <w:jc w:val="center"/>
        <w:rPr>
          <w:rFonts w:ascii="黑体" w:hAnsi="黑体" w:cs="方正小标宋简体"/>
          <w:color w:val="FF0000"/>
        </w:rPr>
      </w:pPr>
      <w:bookmarkStart w:id="50" w:name="_Toc181820190"/>
      <w:r>
        <w:rPr>
          <w:rFonts w:hint="eastAsia" w:ascii="楷体" w:hAnsi="楷体" w:eastAsia="楷体"/>
          <w:b/>
          <w:bCs w:val="0"/>
        </w:rPr>
        <w:t>第七节 自然保护地建设及生物多样性保护重点工程</w:t>
      </w:r>
      <w:bookmarkEnd w:id="50"/>
    </w:p>
    <w:p w14:paraId="674E6EA2">
      <w:pPr>
        <w:pStyle w:val="4"/>
        <w:spacing w:before="0" w:after="0" w:line="600" w:lineRule="exact"/>
        <w:ind w:firstLine="643"/>
        <w:rPr>
          <w:rFonts w:ascii="仿宋" w:hAnsi="仿宋" w:eastAsia="仿宋"/>
        </w:rPr>
      </w:pPr>
      <w:r>
        <w:rPr>
          <w:rFonts w:hint="eastAsia" w:ascii="仿宋" w:hAnsi="仿宋" w:eastAsia="仿宋"/>
        </w:rPr>
        <w:t>一、实施区域</w:t>
      </w:r>
    </w:p>
    <w:p w14:paraId="4C234505">
      <w:pPr>
        <w:numPr>
          <w:ilvl w:val="255"/>
          <w:numId w:val="0"/>
        </w:numPr>
        <w:spacing w:line="600" w:lineRule="exact"/>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主要针对阳江市域范围内由自然保护区和自然公园组成的自然保护地体系。围绕云雾山、天露山等山林生态屏障，通过对自然保护区、森林公园、地质公园等内部的陆生野生受损栖息地进行保护修复，维育提升野生植物和极小种群野生植物的关键生境。围绕海岸线、海岛等海洋生态系统，通过对湿地公园、海洋公园内部的内陆滩涂、滨海湿地、红树林等典型生境进行保护修复，为重要水生或海洋生物提供适宜的产卵场、索饵场、越冬场、栖息地和洄游通道，维护和丰富生物多样性。</w:t>
      </w:r>
    </w:p>
    <w:p w14:paraId="0E8F768C">
      <w:pPr>
        <w:pStyle w:val="4"/>
        <w:spacing w:before="0" w:after="0" w:line="600" w:lineRule="exact"/>
        <w:ind w:firstLine="643"/>
        <w:rPr>
          <w:rFonts w:ascii="仿宋" w:hAnsi="仿宋" w:eastAsia="仿宋"/>
        </w:rPr>
      </w:pPr>
      <w:r>
        <w:rPr>
          <w:rFonts w:hint="eastAsia" w:ascii="仿宋" w:hAnsi="仿宋" w:eastAsia="仿宋"/>
        </w:rPr>
        <w:t>二、修复目标</w:t>
      </w:r>
    </w:p>
    <w:p w14:paraId="6993D0EA">
      <w:pPr>
        <w:numPr>
          <w:ilvl w:val="255"/>
          <w:numId w:val="0"/>
        </w:numPr>
        <w:spacing w:line="600" w:lineRule="exact"/>
        <w:ind w:firstLine="640" w:firstLineChars="200"/>
      </w:pPr>
      <w:r>
        <w:rPr>
          <w:rFonts w:hint="eastAsia" w:ascii="Calibri" w:hAnsi="Calibri" w:eastAsia="仿宋_GB2312" w:cs="Times New Roman"/>
          <w:sz w:val="32"/>
          <w:szCs w:val="32"/>
        </w:rPr>
        <w:t>完成自然保护地整合优化工作，优化自然保护地管理体系与管控方式，明确管控权责与边界，协调保护与发展需求，发挥自然保护地对于生物多样性保护的主体作用，提升栖息地的完整性及连通性，加强阳西县、阳东区、海陵区等地互花米草等外来物种的清理，维护区域生态安全，支撑自然生境与栖息地的整体保护。</w:t>
      </w:r>
    </w:p>
    <w:p w14:paraId="087EFFE5">
      <w:pPr>
        <w:pStyle w:val="4"/>
        <w:spacing w:before="0" w:after="0" w:line="600" w:lineRule="exact"/>
        <w:ind w:firstLine="643"/>
        <w:rPr>
          <w:rFonts w:ascii="仿宋" w:hAnsi="仿宋" w:eastAsia="仿宋"/>
        </w:rPr>
      </w:pPr>
      <w:r>
        <w:rPr>
          <w:rFonts w:hint="eastAsia" w:ascii="仿宋" w:hAnsi="仿宋" w:eastAsia="仿宋"/>
        </w:rPr>
        <w:t>三、重点项目</w:t>
      </w:r>
    </w:p>
    <w:p w14:paraId="4063D8EA">
      <w:pPr>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突出自然保护地生态系统原真性、整体性保护，加强自然保护地管理建设，开展自然保护地整合优化。加强自然保护区物种栖息地和关键生境等修复，防治外来入侵物种，提高保护区保护能力。</w:t>
      </w:r>
    </w:p>
    <w:p w14:paraId="195E56F9">
      <w:pPr>
        <w:ind w:firstLine="640" w:firstLineChars="200"/>
        <w:rPr>
          <w:rFonts w:ascii="Calibri" w:hAnsi="Calibri" w:eastAsia="仿宋_GB2312" w:cs="Times New Roman"/>
          <w:sz w:val="32"/>
          <w:szCs w:val="32"/>
        </w:rPr>
      </w:pPr>
    </w:p>
    <w:tbl>
      <w:tblPr>
        <w:tblStyle w:val="17"/>
        <w:tblW w:w="8222" w:type="dxa"/>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22"/>
      </w:tblGrid>
      <w:tr w14:paraId="78F4E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22" w:type="dxa"/>
            <w:shd w:val="clear" w:color="auto" w:fill="D8D8D8" w:themeFill="background1" w:themeFillShade="D9"/>
            <w:vAlign w:val="center"/>
          </w:tcPr>
          <w:p w14:paraId="641A56C7">
            <w:pPr>
              <w:jc w:val="center"/>
              <w:rPr>
                <w:rFonts w:asciiTheme="minorEastAsia" w:hAnsiTheme="minorEastAsia"/>
                <w:b/>
                <w:bCs/>
              </w:rPr>
            </w:pPr>
            <w:r>
              <w:rPr>
                <w:rFonts w:hint="eastAsia" w:eastAsia="仿宋_GB2312"/>
                <w:b/>
                <w:bCs/>
                <w:sz w:val="28"/>
                <w:szCs w:val="28"/>
              </w:rPr>
              <w:t>专栏7</w:t>
            </w:r>
            <w:r>
              <w:rPr>
                <w:rFonts w:eastAsia="仿宋_GB2312"/>
                <w:b/>
                <w:bCs/>
                <w:sz w:val="28"/>
                <w:szCs w:val="28"/>
              </w:rPr>
              <w:t>-7</w:t>
            </w:r>
            <w:r>
              <w:rPr>
                <w:rFonts w:hint="eastAsia" w:eastAsia="仿宋_GB2312"/>
                <w:b/>
                <w:bCs/>
                <w:sz w:val="28"/>
                <w:szCs w:val="28"/>
              </w:rPr>
              <w:t>：自然保护地建设及生物多样性保护重点工程</w:t>
            </w:r>
          </w:p>
        </w:tc>
      </w:tr>
      <w:tr w14:paraId="62CB6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9" w:hRule="atLeast"/>
        </w:trPr>
        <w:tc>
          <w:tcPr>
            <w:tcW w:w="8222" w:type="dxa"/>
            <w:vAlign w:val="center"/>
          </w:tcPr>
          <w:p w14:paraId="45A4204A">
            <w:pPr>
              <w:ind w:firstLine="482"/>
              <w:jc w:val="left"/>
              <w:rPr>
                <w:rFonts w:ascii="仿宋_GB2312" w:eastAsia="仿宋_GB2312"/>
                <w:b/>
                <w:bCs/>
                <w:sz w:val="22"/>
                <w:szCs w:val="22"/>
              </w:rPr>
            </w:pPr>
            <w:r>
              <w:rPr>
                <w:rFonts w:ascii="仿宋_GB2312" w:eastAsia="仿宋_GB2312"/>
                <w:b/>
                <w:bCs/>
                <w:sz w:val="22"/>
                <w:szCs w:val="22"/>
              </w:rPr>
              <w:t>1</w:t>
            </w:r>
            <w:r>
              <w:rPr>
                <w:rFonts w:ascii="仿宋_GB2312" w:hAnsi="仿宋" w:eastAsia="仿宋_GB2312"/>
                <w:b/>
                <w:bCs/>
                <w:sz w:val="22"/>
                <w:szCs w:val="22"/>
              </w:rPr>
              <w:t>.</w:t>
            </w:r>
            <w:r>
              <w:rPr>
                <w:rFonts w:hint="eastAsia" w:ascii="仿宋_GB2312" w:eastAsia="仿宋_GB2312"/>
                <w:b/>
                <w:bCs/>
                <w:sz w:val="22"/>
                <w:szCs w:val="22"/>
              </w:rPr>
              <w:t>自然保护区保护管理建设</w:t>
            </w:r>
          </w:p>
          <w:p w14:paraId="303D5FF4">
            <w:pPr>
              <w:ind w:firstLine="482"/>
              <w:jc w:val="left"/>
              <w:rPr>
                <w:rFonts w:ascii="仿宋_GB2312" w:eastAsia="仿宋_GB2312"/>
                <w:sz w:val="22"/>
                <w:szCs w:val="22"/>
              </w:rPr>
            </w:pPr>
            <w:r>
              <w:rPr>
                <w:rFonts w:hint="eastAsia" w:ascii="仿宋_GB2312" w:eastAsia="仿宋_GB2312"/>
                <w:sz w:val="22"/>
                <w:szCs w:val="22"/>
              </w:rPr>
              <w:t>（1）自然保护地整合优化。开展自然保护地整合优化工作，解决自然保护地相互交叉重叠、多头管理、边界不清、权责不明、保护与发展矛盾突出等问题。</w:t>
            </w:r>
          </w:p>
        </w:tc>
      </w:tr>
      <w:tr w14:paraId="171FD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trPr>
        <w:tc>
          <w:tcPr>
            <w:tcW w:w="8222" w:type="dxa"/>
            <w:vAlign w:val="center"/>
          </w:tcPr>
          <w:p w14:paraId="615E451E">
            <w:pPr>
              <w:ind w:firstLine="482"/>
              <w:jc w:val="left"/>
              <w:rPr>
                <w:rFonts w:ascii="仿宋_GB2312" w:eastAsia="仿宋_GB2312"/>
                <w:b/>
                <w:bCs/>
                <w:sz w:val="22"/>
                <w:szCs w:val="22"/>
              </w:rPr>
            </w:pPr>
            <w:r>
              <w:rPr>
                <w:rFonts w:ascii="仿宋_GB2312" w:hAnsi="仿宋" w:eastAsia="仿宋_GB2312"/>
                <w:b/>
                <w:bCs/>
                <w:sz w:val="22"/>
                <w:szCs w:val="22"/>
              </w:rPr>
              <w:t>2.</w:t>
            </w:r>
            <w:r>
              <w:rPr>
                <w:rFonts w:hint="eastAsia" w:ascii="仿宋_GB2312" w:eastAsia="仿宋_GB2312"/>
                <w:b/>
                <w:bCs/>
                <w:sz w:val="22"/>
                <w:szCs w:val="22"/>
              </w:rPr>
              <w:t>生物多样性保护工程</w:t>
            </w:r>
          </w:p>
          <w:p w14:paraId="67BC002F">
            <w:pPr>
              <w:ind w:firstLine="482"/>
              <w:jc w:val="left"/>
              <w:rPr>
                <w:rFonts w:ascii="仿宋_GB2312" w:eastAsia="仿宋_GB2312"/>
                <w:sz w:val="22"/>
                <w:szCs w:val="22"/>
              </w:rPr>
            </w:pPr>
            <w:r>
              <w:rPr>
                <w:rFonts w:hint="eastAsia" w:ascii="仿宋_GB2312" w:eastAsia="仿宋_GB2312"/>
                <w:sz w:val="22"/>
                <w:szCs w:val="22"/>
              </w:rPr>
              <w:t>（</w:t>
            </w:r>
            <w:r>
              <w:rPr>
                <w:rFonts w:ascii="仿宋_GB2312" w:eastAsia="仿宋_GB2312"/>
                <w:sz w:val="22"/>
                <w:szCs w:val="22"/>
              </w:rPr>
              <w:t>2</w:t>
            </w:r>
            <w:r>
              <w:rPr>
                <w:rFonts w:hint="eastAsia" w:ascii="仿宋_GB2312" w:eastAsia="仿宋_GB2312"/>
                <w:sz w:val="22"/>
                <w:szCs w:val="22"/>
              </w:rPr>
              <w:t>）互花米草清理项目。通过在集中发生区机械刈割+覆膜面积及在零星分布区人工挖（拔）除等防治措施，开展阳西县、阳东区、海陵区等地的互花米草清理工作。</w:t>
            </w:r>
          </w:p>
        </w:tc>
      </w:tr>
    </w:tbl>
    <w:p w14:paraId="45E18F96"/>
    <w:p w14:paraId="3ECE4E6C">
      <w:pPr>
        <w:pStyle w:val="3"/>
        <w:spacing w:beforeLines="50" w:afterLines="50"/>
        <w:ind w:firstLine="0" w:firstLineChars="0"/>
        <w:jc w:val="center"/>
        <w:rPr>
          <w:rFonts w:ascii="楷体" w:hAnsi="楷体" w:eastAsia="楷体"/>
          <w:b/>
          <w:bCs w:val="0"/>
        </w:rPr>
      </w:pPr>
      <w:bookmarkStart w:id="51" w:name="_Toc181820191"/>
      <w:r>
        <w:rPr>
          <w:rFonts w:hint="eastAsia" w:ascii="楷体" w:hAnsi="楷体" w:eastAsia="楷体"/>
          <w:b/>
          <w:bCs w:val="0"/>
        </w:rPr>
        <w:t>第八节 生态保护和修复支撑体系重点工程</w:t>
      </w:r>
      <w:bookmarkEnd w:id="51"/>
    </w:p>
    <w:p w14:paraId="50F7E034">
      <w:pPr>
        <w:pStyle w:val="4"/>
        <w:spacing w:before="0" w:after="0" w:line="600" w:lineRule="exact"/>
        <w:ind w:firstLine="643"/>
        <w:rPr>
          <w:rFonts w:ascii="仿宋" w:hAnsi="仿宋" w:eastAsia="仿宋"/>
        </w:rPr>
      </w:pPr>
      <w:r>
        <w:rPr>
          <w:rFonts w:hint="eastAsia" w:ascii="仿宋" w:hAnsi="仿宋" w:eastAsia="仿宋"/>
        </w:rPr>
        <w:t>一、实施区域</w:t>
      </w:r>
    </w:p>
    <w:p w14:paraId="799725EB">
      <w:pPr>
        <w:numPr>
          <w:ilvl w:val="255"/>
          <w:numId w:val="0"/>
        </w:numPr>
        <w:spacing w:line="600" w:lineRule="exact"/>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主要针对阳江市域范围内重要生态敏感区、生态脆弱区及生态功能区，包括生态保护红线、自然保护地及其重要的物种栖息地等。</w:t>
      </w:r>
    </w:p>
    <w:p w14:paraId="5FFD634B">
      <w:pPr>
        <w:pStyle w:val="4"/>
        <w:spacing w:before="0" w:after="0" w:line="600" w:lineRule="exact"/>
        <w:ind w:firstLine="643"/>
        <w:rPr>
          <w:rFonts w:ascii="仿宋" w:hAnsi="仿宋" w:eastAsia="仿宋"/>
        </w:rPr>
      </w:pPr>
      <w:r>
        <w:rPr>
          <w:rFonts w:hint="eastAsia" w:ascii="仿宋" w:hAnsi="仿宋" w:eastAsia="仿宋"/>
        </w:rPr>
        <w:t>二、修复目标</w:t>
      </w:r>
    </w:p>
    <w:p w14:paraId="1609A483">
      <w:pPr>
        <w:numPr>
          <w:ilvl w:val="255"/>
          <w:numId w:val="0"/>
        </w:numPr>
        <w:spacing w:line="600" w:lineRule="exact"/>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加强生态保护和修复标准体系建设、新技术推广和科研成果转化等，将理论研究广泛应用到工程实践中，通过系统性、长效性的关键技术和措施应用，提升生态保护和修复实施情况的调查、监测、评价、预警等能力。</w:t>
      </w:r>
    </w:p>
    <w:p w14:paraId="28AB8AB3">
      <w:pPr>
        <w:pStyle w:val="4"/>
        <w:spacing w:before="0" w:after="0" w:line="600" w:lineRule="exact"/>
        <w:ind w:firstLine="643"/>
        <w:rPr>
          <w:rFonts w:ascii="仿宋" w:hAnsi="仿宋" w:eastAsia="仿宋"/>
        </w:rPr>
      </w:pPr>
      <w:r>
        <w:rPr>
          <w:rFonts w:hint="eastAsia" w:ascii="仿宋" w:hAnsi="仿宋" w:eastAsia="仿宋"/>
        </w:rPr>
        <w:t>三、重点任务</w:t>
      </w:r>
    </w:p>
    <w:p w14:paraId="3671EAD8">
      <w:pPr>
        <w:numPr>
          <w:ilvl w:val="255"/>
          <w:numId w:val="0"/>
        </w:numPr>
        <w:spacing w:line="600" w:lineRule="exact"/>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加强生态保护和修复基础研究、关键技术攻关以及集成示范推广与应用，以信息化手段强化生态保护修复实施监管，实施资源调查和生态监测工程，开展全市湿地综合调查与野生动植物本底调查。</w:t>
      </w:r>
    </w:p>
    <w:p w14:paraId="3FDBD4E7">
      <w:pPr>
        <w:numPr>
          <w:ilvl w:val="255"/>
          <w:numId w:val="0"/>
        </w:numPr>
        <w:spacing w:line="600" w:lineRule="exact"/>
        <w:ind w:firstLine="640" w:firstLineChars="200"/>
        <w:rPr>
          <w:rFonts w:ascii="Calibri" w:hAnsi="Calibri" w:eastAsia="仿宋_GB2312" w:cs="Times New Roman"/>
          <w:sz w:val="32"/>
          <w:szCs w:val="32"/>
        </w:rPr>
      </w:pPr>
    </w:p>
    <w:tbl>
      <w:tblPr>
        <w:tblStyle w:val="17"/>
        <w:tblW w:w="8222" w:type="dxa"/>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22"/>
      </w:tblGrid>
      <w:tr w14:paraId="4A5CE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2" w:type="dxa"/>
            <w:shd w:val="clear" w:color="auto" w:fill="D8D8D8" w:themeFill="background1" w:themeFillShade="D9"/>
            <w:vAlign w:val="center"/>
          </w:tcPr>
          <w:p w14:paraId="2412162D">
            <w:pPr>
              <w:jc w:val="center"/>
              <w:rPr>
                <w:rFonts w:asciiTheme="minorEastAsia" w:hAnsiTheme="minorEastAsia"/>
                <w:b/>
                <w:bCs/>
              </w:rPr>
            </w:pPr>
            <w:r>
              <w:rPr>
                <w:rFonts w:hint="eastAsia" w:eastAsia="仿宋_GB2312"/>
                <w:b/>
                <w:bCs/>
                <w:sz w:val="28"/>
                <w:szCs w:val="28"/>
              </w:rPr>
              <w:t>专栏7</w:t>
            </w:r>
            <w:r>
              <w:rPr>
                <w:rFonts w:eastAsia="仿宋_GB2312"/>
                <w:b/>
                <w:bCs/>
                <w:sz w:val="28"/>
                <w:szCs w:val="28"/>
              </w:rPr>
              <w:t>-8</w:t>
            </w:r>
            <w:r>
              <w:rPr>
                <w:rFonts w:hint="eastAsia" w:eastAsia="仿宋_GB2312"/>
                <w:b/>
                <w:bCs/>
                <w:sz w:val="28"/>
                <w:szCs w:val="28"/>
              </w:rPr>
              <w:t>：生态保护和修复支撑体系重点工程</w:t>
            </w:r>
          </w:p>
        </w:tc>
      </w:tr>
      <w:tr w14:paraId="4E8E7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8222" w:type="dxa"/>
            <w:vAlign w:val="center"/>
          </w:tcPr>
          <w:p w14:paraId="142A8537">
            <w:pPr>
              <w:ind w:firstLine="482"/>
              <w:jc w:val="left"/>
              <w:rPr>
                <w:rFonts w:ascii="仿宋_GB2312" w:eastAsia="仿宋_GB2312"/>
                <w:b/>
                <w:bCs/>
                <w:sz w:val="22"/>
                <w:szCs w:val="22"/>
              </w:rPr>
            </w:pPr>
            <w:r>
              <w:rPr>
                <w:rFonts w:ascii="仿宋_GB2312" w:eastAsia="仿宋_GB2312"/>
                <w:b/>
                <w:bCs/>
                <w:sz w:val="22"/>
                <w:szCs w:val="22"/>
              </w:rPr>
              <w:t>1</w:t>
            </w:r>
            <w:r>
              <w:rPr>
                <w:rFonts w:ascii="仿宋_GB2312" w:hAnsi="仿宋" w:eastAsia="仿宋_GB2312"/>
                <w:b/>
                <w:bCs/>
                <w:sz w:val="22"/>
                <w:szCs w:val="22"/>
              </w:rPr>
              <w:t>.</w:t>
            </w:r>
            <w:r>
              <w:rPr>
                <w:rFonts w:hint="eastAsia" w:ascii="仿宋_GB2312" w:eastAsia="仿宋_GB2312"/>
                <w:b/>
                <w:bCs/>
                <w:sz w:val="22"/>
                <w:szCs w:val="22"/>
              </w:rPr>
              <w:t>资源调查和生态监测工程</w:t>
            </w:r>
          </w:p>
          <w:p w14:paraId="5EFDB460">
            <w:pPr>
              <w:ind w:firstLine="482"/>
              <w:jc w:val="left"/>
              <w:rPr>
                <w:rFonts w:ascii="仿宋_GB2312" w:eastAsia="仿宋_GB2312"/>
                <w:sz w:val="22"/>
                <w:szCs w:val="22"/>
              </w:rPr>
            </w:pPr>
            <w:r>
              <w:rPr>
                <w:rFonts w:hint="eastAsia" w:ascii="仿宋_GB2312" w:eastAsia="仿宋_GB2312"/>
                <w:sz w:val="22"/>
                <w:szCs w:val="22"/>
              </w:rPr>
              <w:t>（1）自然资源专项监测。开展全市湿地综合调查。</w:t>
            </w:r>
          </w:p>
          <w:p w14:paraId="4B7347E0">
            <w:pPr>
              <w:ind w:firstLine="482"/>
              <w:jc w:val="left"/>
              <w:rPr>
                <w:rFonts w:ascii="仿宋_GB2312" w:hAnsi="仿宋" w:eastAsia="仿宋_GB2312"/>
                <w:sz w:val="24"/>
                <w:szCs w:val="21"/>
              </w:rPr>
            </w:pPr>
            <w:r>
              <w:rPr>
                <w:rFonts w:hint="eastAsia" w:ascii="仿宋_GB2312" w:eastAsia="仿宋_GB2312"/>
                <w:sz w:val="22"/>
                <w:szCs w:val="22"/>
              </w:rPr>
              <w:t>（</w:t>
            </w:r>
            <w:r>
              <w:rPr>
                <w:rFonts w:ascii="仿宋_GB2312" w:eastAsia="仿宋_GB2312"/>
                <w:sz w:val="22"/>
                <w:szCs w:val="22"/>
              </w:rPr>
              <w:t>2</w:t>
            </w:r>
            <w:r>
              <w:rPr>
                <w:rFonts w:hint="eastAsia" w:ascii="仿宋_GB2312" w:eastAsia="仿宋_GB2312"/>
                <w:sz w:val="22"/>
                <w:szCs w:val="22"/>
              </w:rPr>
              <w:t>）生物多样性监测体系建设项目。开展全市野生动植物本底调查。</w:t>
            </w:r>
          </w:p>
        </w:tc>
      </w:tr>
    </w:tbl>
    <w:p w14:paraId="29793F92">
      <w:pPr>
        <w:spacing w:line="600" w:lineRule="exact"/>
        <w:ind w:firstLine="420" w:firstLineChars="200"/>
      </w:pPr>
    </w:p>
    <w:p w14:paraId="38721730">
      <w:pPr>
        <w:widowControl/>
        <w:jc w:val="left"/>
      </w:pPr>
      <w:r>
        <w:br w:type="page"/>
      </w:r>
    </w:p>
    <w:p w14:paraId="6D1C6132">
      <w:pPr>
        <w:pStyle w:val="2"/>
        <w:pageBreakBefore w:val="0"/>
        <w:numPr>
          <w:ilvl w:val="0"/>
          <w:numId w:val="1"/>
        </w:numPr>
        <w:spacing w:line="240" w:lineRule="auto"/>
        <w:rPr>
          <w:rFonts w:ascii="宋体" w:hAnsi="宋体" w:eastAsia="宋体" w:cs="方正小标宋简体"/>
          <w:b/>
          <w:bCs/>
          <w:sz w:val="40"/>
          <w:szCs w:val="40"/>
        </w:rPr>
      </w:pPr>
      <w:bookmarkStart w:id="52" w:name="_Toc181820192"/>
      <w:r>
        <w:rPr>
          <w:rFonts w:hint="eastAsia" w:ascii="宋体" w:hAnsi="宋体" w:eastAsia="宋体" w:cs="方正小标宋简体"/>
          <w:b/>
          <w:bCs/>
          <w:sz w:val="40"/>
          <w:szCs w:val="40"/>
        </w:rPr>
        <w:t>成本效益</w:t>
      </w:r>
      <w:bookmarkEnd w:id="52"/>
    </w:p>
    <w:p w14:paraId="194441FB">
      <w:pPr>
        <w:pStyle w:val="3"/>
        <w:spacing w:beforeLines="100" w:afterLines="50"/>
        <w:ind w:firstLine="0" w:firstLineChars="0"/>
        <w:jc w:val="center"/>
        <w:rPr>
          <w:rFonts w:ascii="楷体" w:hAnsi="楷体" w:eastAsia="楷体"/>
          <w:b/>
          <w:bCs w:val="0"/>
        </w:rPr>
      </w:pPr>
      <w:bookmarkStart w:id="53" w:name="_Toc181820193"/>
      <w:r>
        <w:rPr>
          <w:rFonts w:hint="eastAsia" w:ascii="楷体" w:hAnsi="楷体" w:eastAsia="楷体"/>
          <w:b/>
          <w:bCs w:val="0"/>
        </w:rPr>
        <w:t>第一节 资金需求及估算依据</w:t>
      </w:r>
      <w:bookmarkEnd w:id="53"/>
    </w:p>
    <w:p w14:paraId="18FB7CFB">
      <w:pPr>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阳江市国土空间生态修复专项规划共</w:t>
      </w:r>
      <w:r>
        <w:rPr>
          <w:rFonts w:hint="eastAsia" w:ascii="Times New Roman" w:hAnsi="Times New Roman" w:eastAsia="仿宋_GB2312" w:cs="Times New Roman"/>
          <w:sz w:val="32"/>
          <w:szCs w:val="32"/>
        </w:rPr>
        <w:t>部署</w:t>
      </w:r>
      <w:r>
        <w:rPr>
          <w:rFonts w:ascii="Times New Roman" w:hAnsi="Times New Roman" w:eastAsia="仿宋_GB2312" w:cs="Times New Roman"/>
          <w:sz w:val="32"/>
          <w:szCs w:val="32"/>
        </w:rPr>
        <w:t>8</w:t>
      </w:r>
      <w:r>
        <w:rPr>
          <w:rFonts w:hint="eastAsia" w:ascii="Times New Roman" w:hAnsi="Times New Roman" w:eastAsia="仿宋_GB2312" w:cs="Times New Roman"/>
          <w:sz w:val="32"/>
          <w:szCs w:val="32"/>
        </w:rPr>
        <w:t>大工程，</w:t>
      </w:r>
      <w:r>
        <w:rPr>
          <w:rFonts w:ascii="Times New Roman" w:hAnsi="Times New Roman" w:eastAsia="仿宋_GB2312" w:cs="Times New Roman"/>
          <w:sz w:val="32"/>
          <w:szCs w:val="32"/>
        </w:rPr>
        <w:t>50</w:t>
      </w:r>
      <w:r>
        <w:rPr>
          <w:rFonts w:hint="eastAsia" w:ascii="Times New Roman" w:hAnsi="Times New Roman" w:eastAsia="仿宋_GB2312" w:cs="Times New Roman"/>
          <w:sz w:val="32"/>
          <w:szCs w:val="32"/>
        </w:rPr>
        <w:t>项重点项目。投资估算主要依据两方面内容：一是对于近期</w:t>
      </w:r>
      <w:r>
        <w:rPr>
          <w:rFonts w:hint="eastAsia" w:ascii="Calibri" w:hAnsi="Calibri" w:eastAsia="仿宋_GB2312" w:cs="Times New Roman"/>
          <w:sz w:val="32"/>
          <w:szCs w:val="32"/>
        </w:rPr>
        <w:t>在建类项目，根据调研座谈中各部门反馈的近期在建生态修复工程情况，按工程立项、可行性研究等确定的实际投资金额进行确定；二是对中远期规划类项目，综合考虑国家相关工程建设费用标准，并根据当地已完成的类似的典型项目的综合单价，结合工程配套设施工程量、工程难易程度与同类项目综合比对，选取综合系数进行投资估算。</w:t>
      </w:r>
    </w:p>
    <w:p w14:paraId="79F579F2">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初步测算，规划期间拟投资</w:t>
      </w:r>
      <w:r>
        <w:rPr>
          <w:rFonts w:ascii="Times New Roman" w:hAnsi="Times New Roman" w:eastAsia="仿宋_GB2312" w:cs="Times New Roman"/>
          <w:sz w:val="32"/>
          <w:szCs w:val="32"/>
        </w:rPr>
        <w:t>188</w:t>
      </w:r>
      <w:r>
        <w:rPr>
          <w:rFonts w:hint="eastAsia" w:ascii="Times New Roman" w:hAnsi="Times New Roman" w:eastAsia="仿宋_GB2312" w:cs="Times New Roman"/>
          <w:sz w:val="32"/>
          <w:szCs w:val="32"/>
        </w:rPr>
        <w:t>亿元。按重大工程类型划分，海洋生态保护修复工程投资约</w:t>
      </w:r>
      <w:r>
        <w:rPr>
          <w:rFonts w:ascii="Times New Roman" w:hAnsi="Times New Roman" w:eastAsia="仿宋_GB2312" w:cs="Times New Roman"/>
          <w:sz w:val="32"/>
          <w:szCs w:val="32"/>
        </w:rPr>
        <w:t>8.6</w:t>
      </w:r>
      <w:r>
        <w:rPr>
          <w:rFonts w:hint="eastAsia" w:ascii="Times New Roman" w:hAnsi="Times New Roman" w:eastAsia="仿宋_GB2312" w:cs="Times New Roman"/>
          <w:sz w:val="32"/>
          <w:szCs w:val="32"/>
        </w:rPr>
        <w:t>亿元，江河流域生态保护修复工程投资约</w:t>
      </w:r>
      <w:r>
        <w:rPr>
          <w:rFonts w:ascii="Times New Roman" w:hAnsi="Times New Roman" w:eastAsia="仿宋_GB2312" w:cs="Times New Roman"/>
          <w:sz w:val="32"/>
          <w:szCs w:val="32"/>
        </w:rPr>
        <w:t>128.7</w:t>
      </w:r>
      <w:r>
        <w:rPr>
          <w:rFonts w:hint="eastAsia" w:ascii="Times New Roman" w:hAnsi="Times New Roman" w:eastAsia="仿宋_GB2312" w:cs="Times New Roman"/>
          <w:sz w:val="32"/>
          <w:szCs w:val="32"/>
        </w:rPr>
        <w:t>亿元，废旧矿山及地质灾害修复治理工程投资约</w:t>
      </w:r>
      <w:r>
        <w:rPr>
          <w:rFonts w:ascii="Times New Roman" w:hAnsi="Times New Roman" w:eastAsia="仿宋_GB2312" w:cs="Times New Roman"/>
          <w:sz w:val="32"/>
          <w:szCs w:val="32"/>
        </w:rPr>
        <w:t>0.5</w:t>
      </w:r>
      <w:r>
        <w:rPr>
          <w:rFonts w:hint="eastAsia" w:ascii="Times New Roman" w:hAnsi="Times New Roman" w:eastAsia="仿宋_GB2312" w:cs="Times New Roman"/>
          <w:sz w:val="32"/>
          <w:szCs w:val="32"/>
        </w:rPr>
        <w:t>亿元，绿美阳江城市绿化工程投资约</w:t>
      </w:r>
      <w:r>
        <w:rPr>
          <w:rFonts w:ascii="Times New Roman" w:hAnsi="Times New Roman" w:eastAsia="仿宋_GB2312" w:cs="Times New Roman"/>
          <w:sz w:val="32"/>
          <w:szCs w:val="32"/>
        </w:rPr>
        <w:t>2.7</w:t>
      </w:r>
      <w:r>
        <w:rPr>
          <w:rFonts w:hint="eastAsia" w:ascii="Times New Roman" w:hAnsi="Times New Roman" w:eastAsia="仿宋_GB2312" w:cs="Times New Roman"/>
          <w:sz w:val="32"/>
          <w:szCs w:val="32"/>
        </w:rPr>
        <w:t>亿元，农业空间保护和修复重点工程投资约</w:t>
      </w:r>
      <w:r>
        <w:rPr>
          <w:rFonts w:ascii="Times New Roman" w:hAnsi="Times New Roman" w:eastAsia="仿宋_GB2312" w:cs="Times New Roman"/>
          <w:sz w:val="32"/>
          <w:szCs w:val="32"/>
        </w:rPr>
        <w:t>17</w:t>
      </w:r>
      <w:r>
        <w:rPr>
          <w:rFonts w:hint="eastAsia" w:ascii="Times New Roman" w:hAnsi="Times New Roman" w:eastAsia="仿宋_GB2312" w:cs="Times New Roman"/>
          <w:sz w:val="32"/>
          <w:szCs w:val="32"/>
        </w:rPr>
        <w:t>亿元，城镇空间保护和修复重点工程投资约</w:t>
      </w:r>
      <w:r>
        <w:rPr>
          <w:rFonts w:ascii="Times New Roman" w:hAnsi="Times New Roman" w:eastAsia="仿宋_GB2312" w:cs="Times New Roman"/>
          <w:sz w:val="32"/>
          <w:szCs w:val="32"/>
        </w:rPr>
        <w:t>30.4</w:t>
      </w:r>
      <w:r>
        <w:rPr>
          <w:rFonts w:hint="eastAsia" w:ascii="Times New Roman" w:hAnsi="Times New Roman" w:eastAsia="仿宋_GB2312" w:cs="Times New Roman"/>
          <w:sz w:val="32"/>
          <w:szCs w:val="32"/>
        </w:rPr>
        <w:t>亿元，自然保护地建设及生物多样性保护重点工程投资约</w:t>
      </w:r>
      <w:r>
        <w:rPr>
          <w:rFonts w:ascii="Times New Roman" w:hAnsi="Times New Roman" w:eastAsia="仿宋_GB2312" w:cs="Times New Roman"/>
          <w:sz w:val="32"/>
          <w:szCs w:val="32"/>
        </w:rPr>
        <w:t>0.1</w:t>
      </w:r>
      <w:r>
        <w:rPr>
          <w:rFonts w:hint="eastAsia" w:ascii="Times New Roman" w:hAnsi="Times New Roman" w:eastAsia="仿宋_GB2312" w:cs="Times New Roman"/>
          <w:sz w:val="32"/>
          <w:szCs w:val="32"/>
        </w:rPr>
        <w:t>亿元，生态保护和修复支撑体系重点工程投资约</w:t>
      </w:r>
      <w:r>
        <w:rPr>
          <w:rFonts w:ascii="Times New Roman" w:hAnsi="Times New Roman" w:eastAsia="仿宋_GB2312" w:cs="Times New Roman"/>
          <w:sz w:val="32"/>
          <w:szCs w:val="32"/>
        </w:rPr>
        <w:t>90</w:t>
      </w:r>
      <w:r>
        <w:rPr>
          <w:rFonts w:hint="eastAsia" w:ascii="Times New Roman" w:hAnsi="Times New Roman" w:eastAsia="仿宋_GB2312" w:cs="Times New Roman"/>
          <w:sz w:val="32"/>
          <w:szCs w:val="32"/>
        </w:rPr>
        <w:t>万元，详细情况见表</w:t>
      </w:r>
      <w:bookmarkStart w:id="54" w:name="_Hlk172737439"/>
      <w:r>
        <w:rPr>
          <w:rFonts w:ascii="Times New Roman" w:hAnsi="Times New Roman" w:eastAsia="仿宋_GB2312" w:cs="Times New Roman"/>
          <w:sz w:val="32"/>
          <w:szCs w:val="32"/>
        </w:rPr>
        <w:t>8-1</w:t>
      </w:r>
      <w:r>
        <w:rPr>
          <w:rFonts w:hint="eastAsia" w:ascii="Times New Roman" w:hAnsi="Times New Roman" w:eastAsia="仿宋_GB2312" w:cs="Times New Roman"/>
          <w:sz w:val="32"/>
          <w:szCs w:val="32"/>
        </w:rPr>
        <w:t>。</w:t>
      </w:r>
      <w:bookmarkEnd w:id="54"/>
    </w:p>
    <w:p w14:paraId="7D9BC570">
      <w:pPr>
        <w:rPr>
          <w:rFonts w:ascii="Calibri" w:hAnsi="Calibri" w:eastAsia="仿宋_GB2312" w:cs="Times New Roman"/>
          <w:sz w:val="32"/>
          <w:szCs w:val="32"/>
        </w:rPr>
      </w:pPr>
      <w:r>
        <w:rPr>
          <w:rFonts w:hint="eastAsia" w:ascii="Calibri" w:hAnsi="Calibri" w:eastAsia="仿宋_GB2312" w:cs="Times New Roman"/>
          <w:sz w:val="32"/>
          <w:szCs w:val="32"/>
        </w:rPr>
        <w:br w:type="page"/>
      </w:r>
    </w:p>
    <w:p w14:paraId="1843FFB0">
      <w:pPr>
        <w:spacing w:line="600" w:lineRule="exact"/>
        <w:jc w:val="center"/>
        <w:rPr>
          <w:rFonts w:ascii="Calibri" w:hAnsi="Calibri" w:eastAsia="仿宋_GB2312" w:cs="Times New Roman"/>
          <w:sz w:val="32"/>
          <w:szCs w:val="32"/>
        </w:rPr>
      </w:pPr>
      <w:r>
        <w:rPr>
          <w:rFonts w:ascii="Times New Roman" w:hAnsi="Times New Roman" w:eastAsia="仿宋_GB2312" w:cs="Times New Roman"/>
          <w:sz w:val="32"/>
          <w:szCs w:val="32"/>
        </w:rPr>
        <w:t>表8-1 阳江市生态</w:t>
      </w:r>
      <w:r>
        <w:rPr>
          <w:rFonts w:hint="eastAsia" w:ascii="Calibri" w:hAnsi="Calibri" w:eastAsia="仿宋_GB2312" w:cs="Times New Roman"/>
          <w:sz w:val="32"/>
          <w:szCs w:val="32"/>
        </w:rPr>
        <w:t>修复重点项目资金表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1"/>
        <w:gridCol w:w="3188"/>
        <w:gridCol w:w="3035"/>
        <w:gridCol w:w="1718"/>
      </w:tblGrid>
      <w:tr w14:paraId="17C9B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0" w:type="auto"/>
            <w:vAlign w:val="center"/>
          </w:tcPr>
          <w:p w14:paraId="5ABF614F">
            <w:pPr>
              <w:jc w:val="center"/>
              <w:rPr>
                <w:rFonts w:ascii="Times New Roman" w:hAnsi="Times New Roman" w:eastAsia="仿宋_GB2312" w:cs="Times New Roman"/>
                <w:szCs w:val="21"/>
              </w:rPr>
            </w:pPr>
            <w:r>
              <w:rPr>
                <w:rFonts w:ascii="Times New Roman" w:hAnsi="Times New Roman" w:eastAsia="仿宋_GB2312" w:cs="Times New Roman"/>
                <w:b/>
                <w:bCs/>
                <w:szCs w:val="21"/>
              </w:rPr>
              <w:t>序号</w:t>
            </w:r>
          </w:p>
        </w:tc>
        <w:tc>
          <w:tcPr>
            <w:tcW w:w="0" w:type="auto"/>
            <w:vAlign w:val="center"/>
          </w:tcPr>
          <w:p w14:paraId="2EFE194A">
            <w:pPr>
              <w:jc w:val="center"/>
              <w:rPr>
                <w:rFonts w:ascii="Times New Roman" w:hAnsi="Times New Roman" w:eastAsia="仿宋_GB2312" w:cs="Times New Roman"/>
                <w:szCs w:val="21"/>
              </w:rPr>
            </w:pPr>
            <w:r>
              <w:rPr>
                <w:rFonts w:ascii="Times New Roman" w:hAnsi="Times New Roman" w:eastAsia="仿宋_GB2312" w:cs="Times New Roman"/>
                <w:b/>
                <w:bCs/>
                <w:szCs w:val="21"/>
              </w:rPr>
              <w:t>重大工程</w:t>
            </w:r>
          </w:p>
        </w:tc>
        <w:tc>
          <w:tcPr>
            <w:tcW w:w="0" w:type="auto"/>
            <w:vAlign w:val="center"/>
          </w:tcPr>
          <w:p w14:paraId="74A9FBDC">
            <w:pPr>
              <w:jc w:val="center"/>
              <w:rPr>
                <w:rFonts w:ascii="Times New Roman" w:hAnsi="Times New Roman" w:eastAsia="仿宋_GB2312" w:cs="Times New Roman"/>
                <w:szCs w:val="21"/>
              </w:rPr>
            </w:pPr>
            <w:r>
              <w:rPr>
                <w:rFonts w:ascii="Times New Roman" w:hAnsi="Times New Roman" w:eastAsia="仿宋_GB2312" w:cs="Times New Roman"/>
                <w:b/>
                <w:bCs/>
                <w:szCs w:val="21"/>
              </w:rPr>
              <w:t>重点项目</w:t>
            </w:r>
          </w:p>
        </w:tc>
        <w:tc>
          <w:tcPr>
            <w:tcW w:w="0" w:type="auto"/>
            <w:vAlign w:val="center"/>
          </w:tcPr>
          <w:p w14:paraId="7004F544">
            <w:pPr>
              <w:jc w:val="center"/>
              <w:rPr>
                <w:rFonts w:ascii="Times New Roman" w:hAnsi="Times New Roman" w:eastAsia="仿宋_GB2312" w:cs="Times New Roman"/>
                <w:szCs w:val="21"/>
              </w:rPr>
            </w:pPr>
            <w:r>
              <w:rPr>
                <w:rFonts w:ascii="Times New Roman" w:hAnsi="Times New Roman" w:eastAsia="仿宋_GB2312" w:cs="Times New Roman"/>
                <w:b/>
                <w:bCs/>
                <w:szCs w:val="21"/>
              </w:rPr>
              <w:t>资金投入（万元）</w:t>
            </w:r>
          </w:p>
        </w:tc>
      </w:tr>
      <w:tr w14:paraId="32FAB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0" w:type="auto"/>
            <w:vAlign w:val="center"/>
          </w:tcPr>
          <w:p w14:paraId="252A817F">
            <w:pPr>
              <w:jc w:val="center"/>
              <w:rPr>
                <w:rFonts w:ascii="Times New Roman" w:hAnsi="Times New Roman" w:eastAsia="仿宋_GB2312" w:cs="Times New Roman"/>
                <w:szCs w:val="21"/>
              </w:rPr>
            </w:pPr>
            <w:r>
              <w:rPr>
                <w:rFonts w:ascii="Times New Roman" w:hAnsi="Times New Roman" w:eastAsia="仿宋_GB2312" w:cs="Times New Roman"/>
                <w:szCs w:val="21"/>
              </w:rPr>
              <w:t>1</w:t>
            </w:r>
          </w:p>
        </w:tc>
        <w:tc>
          <w:tcPr>
            <w:tcW w:w="0" w:type="auto"/>
            <w:vMerge w:val="restart"/>
            <w:vAlign w:val="center"/>
          </w:tcPr>
          <w:p w14:paraId="0A87EF8F">
            <w:pPr>
              <w:jc w:val="center"/>
              <w:rPr>
                <w:rFonts w:ascii="Times New Roman" w:hAnsi="Times New Roman" w:eastAsia="仿宋_GB2312" w:cs="Times New Roman"/>
                <w:szCs w:val="21"/>
              </w:rPr>
            </w:pPr>
            <w:r>
              <w:rPr>
                <w:rFonts w:ascii="Times New Roman" w:hAnsi="Times New Roman" w:eastAsia="仿宋_GB2312" w:cs="Times New Roman"/>
                <w:szCs w:val="21"/>
              </w:rPr>
              <w:t>海洋生态保护修复工程</w:t>
            </w:r>
          </w:p>
        </w:tc>
        <w:tc>
          <w:tcPr>
            <w:tcW w:w="0" w:type="auto"/>
            <w:vAlign w:val="center"/>
          </w:tcPr>
          <w:p w14:paraId="2841A08F">
            <w:pPr>
              <w:jc w:val="center"/>
              <w:rPr>
                <w:rFonts w:ascii="Times New Roman" w:hAnsi="Times New Roman" w:eastAsia="仿宋_GB2312" w:cs="Times New Roman"/>
                <w:szCs w:val="21"/>
              </w:rPr>
            </w:pPr>
            <w:r>
              <w:rPr>
                <w:rFonts w:ascii="Times New Roman" w:hAnsi="Times New Roman" w:eastAsia="仿宋_GB2312" w:cs="Times New Roman"/>
                <w:szCs w:val="21"/>
              </w:rPr>
              <w:t>围填海生态保护修复工程</w:t>
            </w:r>
          </w:p>
        </w:tc>
        <w:tc>
          <w:tcPr>
            <w:tcW w:w="0" w:type="auto"/>
            <w:vAlign w:val="center"/>
          </w:tcPr>
          <w:p w14:paraId="38894302">
            <w:pPr>
              <w:jc w:val="center"/>
              <w:rPr>
                <w:rFonts w:ascii="Times New Roman" w:hAnsi="Times New Roman" w:eastAsia="仿宋_GB2312" w:cs="Times New Roman"/>
                <w:szCs w:val="21"/>
              </w:rPr>
            </w:pPr>
            <w:r>
              <w:rPr>
                <w:rFonts w:ascii="Times New Roman" w:hAnsi="Times New Roman" w:eastAsia="仿宋_GB2312" w:cs="Times New Roman"/>
                <w:szCs w:val="21"/>
              </w:rPr>
              <w:t>3931</w:t>
            </w:r>
          </w:p>
        </w:tc>
      </w:tr>
      <w:tr w14:paraId="0EEF1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0" w:type="auto"/>
            <w:vAlign w:val="center"/>
          </w:tcPr>
          <w:p w14:paraId="266DBB57">
            <w:pPr>
              <w:jc w:val="center"/>
              <w:rPr>
                <w:rFonts w:ascii="Times New Roman" w:hAnsi="Times New Roman" w:eastAsia="仿宋_GB2312" w:cs="Times New Roman"/>
                <w:szCs w:val="21"/>
              </w:rPr>
            </w:pPr>
            <w:r>
              <w:rPr>
                <w:rFonts w:ascii="Times New Roman" w:hAnsi="Times New Roman" w:eastAsia="仿宋_GB2312" w:cs="Times New Roman"/>
                <w:szCs w:val="21"/>
              </w:rPr>
              <w:t>2</w:t>
            </w:r>
          </w:p>
        </w:tc>
        <w:tc>
          <w:tcPr>
            <w:tcW w:w="0" w:type="auto"/>
            <w:vMerge w:val="continue"/>
            <w:vAlign w:val="center"/>
          </w:tcPr>
          <w:p w14:paraId="076090BC">
            <w:pPr>
              <w:jc w:val="center"/>
              <w:rPr>
                <w:rFonts w:ascii="Times New Roman" w:hAnsi="Times New Roman" w:eastAsia="仿宋_GB2312" w:cs="Times New Roman"/>
                <w:szCs w:val="21"/>
              </w:rPr>
            </w:pPr>
          </w:p>
        </w:tc>
        <w:tc>
          <w:tcPr>
            <w:tcW w:w="0" w:type="auto"/>
            <w:vAlign w:val="center"/>
          </w:tcPr>
          <w:p w14:paraId="142E3B90">
            <w:pPr>
              <w:jc w:val="center"/>
              <w:rPr>
                <w:rFonts w:ascii="Times New Roman" w:hAnsi="Times New Roman" w:eastAsia="仿宋_GB2312" w:cs="Times New Roman"/>
                <w:szCs w:val="21"/>
              </w:rPr>
            </w:pPr>
            <w:r>
              <w:rPr>
                <w:rFonts w:ascii="Times New Roman" w:hAnsi="Times New Roman" w:eastAsia="仿宋_GB2312" w:cs="Times New Roman"/>
                <w:szCs w:val="21"/>
              </w:rPr>
              <w:t>红树林生态修复工程</w:t>
            </w:r>
          </w:p>
        </w:tc>
        <w:tc>
          <w:tcPr>
            <w:tcW w:w="0" w:type="auto"/>
            <w:vAlign w:val="center"/>
          </w:tcPr>
          <w:p w14:paraId="65FDAFF4">
            <w:pPr>
              <w:jc w:val="center"/>
              <w:rPr>
                <w:rFonts w:ascii="Times New Roman" w:hAnsi="Times New Roman" w:eastAsia="仿宋_GB2312" w:cs="Times New Roman"/>
                <w:szCs w:val="21"/>
              </w:rPr>
            </w:pPr>
            <w:r>
              <w:rPr>
                <w:rFonts w:ascii="Times New Roman" w:hAnsi="Times New Roman" w:eastAsia="仿宋_GB2312" w:cs="Times New Roman"/>
                <w:szCs w:val="21"/>
              </w:rPr>
              <w:t>82207.22</w:t>
            </w:r>
          </w:p>
        </w:tc>
      </w:tr>
      <w:tr w14:paraId="3A879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0" w:type="auto"/>
            <w:vAlign w:val="center"/>
          </w:tcPr>
          <w:p w14:paraId="25BE9CCF">
            <w:pPr>
              <w:jc w:val="center"/>
              <w:rPr>
                <w:rFonts w:ascii="Times New Roman" w:hAnsi="Times New Roman" w:eastAsia="仿宋_GB2312" w:cs="Times New Roman"/>
                <w:szCs w:val="21"/>
              </w:rPr>
            </w:pPr>
            <w:r>
              <w:rPr>
                <w:rFonts w:ascii="Times New Roman" w:hAnsi="Times New Roman" w:eastAsia="仿宋_GB2312" w:cs="Times New Roman"/>
                <w:szCs w:val="21"/>
              </w:rPr>
              <w:t> </w:t>
            </w:r>
          </w:p>
        </w:tc>
        <w:tc>
          <w:tcPr>
            <w:tcW w:w="0" w:type="auto"/>
            <w:gridSpan w:val="2"/>
            <w:vAlign w:val="center"/>
          </w:tcPr>
          <w:p w14:paraId="751709ED">
            <w:pPr>
              <w:jc w:val="center"/>
              <w:rPr>
                <w:rFonts w:ascii="Times New Roman" w:hAnsi="Times New Roman" w:eastAsia="仿宋_GB2312" w:cs="Times New Roman"/>
                <w:szCs w:val="21"/>
              </w:rPr>
            </w:pPr>
            <w:r>
              <w:rPr>
                <w:rFonts w:ascii="Times New Roman" w:hAnsi="Times New Roman" w:eastAsia="仿宋_GB2312" w:cs="Times New Roman"/>
                <w:szCs w:val="21"/>
              </w:rPr>
              <w:t>小计</w:t>
            </w:r>
          </w:p>
        </w:tc>
        <w:tc>
          <w:tcPr>
            <w:tcW w:w="0" w:type="auto"/>
            <w:vAlign w:val="center"/>
          </w:tcPr>
          <w:p w14:paraId="7B3970A1">
            <w:pPr>
              <w:jc w:val="center"/>
              <w:rPr>
                <w:rFonts w:ascii="Times New Roman" w:hAnsi="Times New Roman" w:eastAsia="仿宋_GB2312" w:cs="Times New Roman"/>
                <w:szCs w:val="21"/>
              </w:rPr>
            </w:pPr>
            <w:r>
              <w:rPr>
                <w:rFonts w:ascii="Times New Roman" w:hAnsi="Times New Roman" w:eastAsia="仿宋_GB2312" w:cs="Times New Roman"/>
                <w:szCs w:val="21"/>
              </w:rPr>
              <w:t>86138.22</w:t>
            </w:r>
          </w:p>
        </w:tc>
      </w:tr>
      <w:tr w14:paraId="1C096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0" w:type="auto"/>
            <w:vAlign w:val="center"/>
          </w:tcPr>
          <w:p w14:paraId="3A3E7F55">
            <w:pPr>
              <w:jc w:val="center"/>
              <w:rPr>
                <w:rFonts w:ascii="Times New Roman" w:hAnsi="Times New Roman" w:eastAsia="仿宋_GB2312" w:cs="Times New Roman"/>
                <w:szCs w:val="21"/>
              </w:rPr>
            </w:pPr>
            <w:r>
              <w:rPr>
                <w:rFonts w:ascii="Times New Roman" w:hAnsi="Times New Roman" w:eastAsia="仿宋_GB2312" w:cs="Times New Roman"/>
                <w:szCs w:val="21"/>
              </w:rPr>
              <w:t>3</w:t>
            </w:r>
          </w:p>
        </w:tc>
        <w:tc>
          <w:tcPr>
            <w:tcW w:w="0" w:type="auto"/>
            <w:vMerge w:val="restart"/>
            <w:vAlign w:val="center"/>
          </w:tcPr>
          <w:p w14:paraId="603D2D47">
            <w:pPr>
              <w:jc w:val="center"/>
              <w:rPr>
                <w:rFonts w:ascii="Times New Roman" w:hAnsi="Times New Roman" w:eastAsia="仿宋_GB2312" w:cs="Times New Roman"/>
                <w:szCs w:val="21"/>
              </w:rPr>
            </w:pPr>
            <w:r>
              <w:rPr>
                <w:rFonts w:ascii="Times New Roman" w:hAnsi="Times New Roman" w:eastAsia="仿宋_GB2312" w:cs="Times New Roman"/>
                <w:szCs w:val="21"/>
              </w:rPr>
              <w:t>江河流域生态保护修复工程</w:t>
            </w:r>
          </w:p>
        </w:tc>
        <w:tc>
          <w:tcPr>
            <w:tcW w:w="0" w:type="auto"/>
            <w:vAlign w:val="center"/>
          </w:tcPr>
          <w:p w14:paraId="0B25A4B9">
            <w:pPr>
              <w:jc w:val="center"/>
              <w:rPr>
                <w:rFonts w:ascii="Times New Roman" w:hAnsi="Times New Roman" w:eastAsia="仿宋_GB2312" w:cs="Times New Roman"/>
                <w:szCs w:val="21"/>
              </w:rPr>
            </w:pPr>
            <w:r>
              <w:rPr>
                <w:rFonts w:ascii="Times New Roman" w:hAnsi="Times New Roman" w:eastAsia="仿宋_GB2312" w:cs="Times New Roman"/>
                <w:szCs w:val="21"/>
              </w:rPr>
              <w:t>漠阳江出海口综合整治工程</w:t>
            </w:r>
          </w:p>
        </w:tc>
        <w:tc>
          <w:tcPr>
            <w:tcW w:w="0" w:type="auto"/>
            <w:vAlign w:val="center"/>
          </w:tcPr>
          <w:p w14:paraId="653175B6">
            <w:pPr>
              <w:jc w:val="center"/>
              <w:rPr>
                <w:rFonts w:ascii="Times New Roman" w:hAnsi="Times New Roman" w:eastAsia="仿宋_GB2312" w:cs="Times New Roman"/>
                <w:szCs w:val="21"/>
              </w:rPr>
            </w:pPr>
            <w:r>
              <w:rPr>
                <w:rFonts w:ascii="Times New Roman" w:hAnsi="Times New Roman" w:eastAsia="仿宋_GB2312" w:cs="Times New Roman"/>
                <w:szCs w:val="21"/>
              </w:rPr>
              <w:t>433978</w:t>
            </w:r>
          </w:p>
        </w:tc>
      </w:tr>
      <w:tr w14:paraId="31725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0" w:type="auto"/>
            <w:vAlign w:val="center"/>
          </w:tcPr>
          <w:p w14:paraId="453876D7">
            <w:pPr>
              <w:jc w:val="center"/>
              <w:rPr>
                <w:rFonts w:ascii="Times New Roman" w:hAnsi="Times New Roman" w:eastAsia="仿宋_GB2312" w:cs="Times New Roman"/>
                <w:szCs w:val="21"/>
              </w:rPr>
            </w:pPr>
            <w:r>
              <w:rPr>
                <w:rFonts w:ascii="Times New Roman" w:hAnsi="Times New Roman" w:eastAsia="仿宋_GB2312" w:cs="Times New Roman"/>
                <w:szCs w:val="21"/>
              </w:rPr>
              <w:t>4</w:t>
            </w:r>
          </w:p>
        </w:tc>
        <w:tc>
          <w:tcPr>
            <w:tcW w:w="0" w:type="auto"/>
            <w:vMerge w:val="continue"/>
            <w:vAlign w:val="center"/>
          </w:tcPr>
          <w:p w14:paraId="3DA8CBC6">
            <w:pPr>
              <w:jc w:val="center"/>
              <w:rPr>
                <w:rFonts w:ascii="Times New Roman" w:hAnsi="Times New Roman" w:eastAsia="仿宋_GB2312" w:cs="Times New Roman"/>
                <w:szCs w:val="21"/>
              </w:rPr>
            </w:pPr>
          </w:p>
        </w:tc>
        <w:tc>
          <w:tcPr>
            <w:tcW w:w="0" w:type="auto"/>
            <w:vAlign w:val="center"/>
          </w:tcPr>
          <w:p w14:paraId="4D486524">
            <w:pPr>
              <w:jc w:val="center"/>
              <w:rPr>
                <w:rFonts w:ascii="Times New Roman" w:hAnsi="Times New Roman" w:eastAsia="仿宋_GB2312" w:cs="Times New Roman"/>
                <w:szCs w:val="21"/>
              </w:rPr>
            </w:pPr>
            <w:r>
              <w:rPr>
                <w:rFonts w:ascii="Times New Roman" w:hAnsi="Times New Roman" w:eastAsia="仿宋_GB2312" w:cs="Times New Roman"/>
                <w:szCs w:val="21"/>
              </w:rPr>
              <w:t>漠阳江中下游综合治理工程</w:t>
            </w:r>
          </w:p>
        </w:tc>
        <w:tc>
          <w:tcPr>
            <w:tcW w:w="0" w:type="auto"/>
            <w:vAlign w:val="center"/>
          </w:tcPr>
          <w:p w14:paraId="708332AE">
            <w:pPr>
              <w:jc w:val="center"/>
              <w:rPr>
                <w:rFonts w:ascii="Times New Roman" w:hAnsi="Times New Roman" w:eastAsia="仿宋_GB2312" w:cs="Times New Roman"/>
                <w:szCs w:val="21"/>
              </w:rPr>
            </w:pPr>
            <w:r>
              <w:rPr>
                <w:rFonts w:ascii="Times New Roman" w:hAnsi="Times New Roman" w:eastAsia="仿宋_GB2312" w:cs="Times New Roman"/>
                <w:szCs w:val="21"/>
              </w:rPr>
              <w:t>35396</w:t>
            </w:r>
          </w:p>
        </w:tc>
      </w:tr>
      <w:tr w14:paraId="345EB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0" w:type="auto"/>
            <w:vAlign w:val="center"/>
          </w:tcPr>
          <w:p w14:paraId="10E7D0E5">
            <w:pPr>
              <w:jc w:val="center"/>
              <w:rPr>
                <w:rFonts w:ascii="Times New Roman" w:hAnsi="Times New Roman" w:eastAsia="仿宋_GB2312" w:cs="Times New Roman"/>
                <w:szCs w:val="21"/>
              </w:rPr>
            </w:pPr>
            <w:r>
              <w:rPr>
                <w:rFonts w:ascii="Times New Roman" w:hAnsi="Times New Roman" w:eastAsia="仿宋_GB2312" w:cs="Times New Roman"/>
                <w:szCs w:val="21"/>
              </w:rPr>
              <w:t>5</w:t>
            </w:r>
          </w:p>
        </w:tc>
        <w:tc>
          <w:tcPr>
            <w:tcW w:w="0" w:type="auto"/>
            <w:vMerge w:val="continue"/>
            <w:vAlign w:val="center"/>
          </w:tcPr>
          <w:p w14:paraId="5CBDD16D">
            <w:pPr>
              <w:jc w:val="center"/>
              <w:rPr>
                <w:rFonts w:ascii="Times New Roman" w:hAnsi="Times New Roman" w:eastAsia="仿宋_GB2312" w:cs="Times New Roman"/>
                <w:szCs w:val="21"/>
              </w:rPr>
            </w:pPr>
          </w:p>
        </w:tc>
        <w:tc>
          <w:tcPr>
            <w:tcW w:w="0" w:type="auto"/>
            <w:vAlign w:val="center"/>
          </w:tcPr>
          <w:p w14:paraId="31643DB0">
            <w:pPr>
              <w:jc w:val="center"/>
              <w:rPr>
                <w:rFonts w:ascii="Times New Roman" w:hAnsi="Times New Roman" w:eastAsia="仿宋_GB2312" w:cs="Times New Roman"/>
                <w:szCs w:val="21"/>
              </w:rPr>
            </w:pPr>
            <w:r>
              <w:rPr>
                <w:rFonts w:ascii="Times New Roman" w:hAnsi="Times New Roman" w:eastAsia="仿宋_GB2312" w:cs="Times New Roman"/>
                <w:szCs w:val="21"/>
              </w:rPr>
              <w:t>水库提升建设工程</w:t>
            </w:r>
          </w:p>
        </w:tc>
        <w:tc>
          <w:tcPr>
            <w:tcW w:w="0" w:type="auto"/>
            <w:vAlign w:val="center"/>
          </w:tcPr>
          <w:p w14:paraId="57808E62">
            <w:pPr>
              <w:jc w:val="center"/>
              <w:rPr>
                <w:rFonts w:ascii="Times New Roman" w:hAnsi="Times New Roman" w:eastAsia="仿宋_GB2312" w:cs="Times New Roman"/>
                <w:szCs w:val="21"/>
              </w:rPr>
            </w:pPr>
            <w:r>
              <w:rPr>
                <w:rFonts w:ascii="Times New Roman" w:hAnsi="Times New Roman" w:eastAsia="仿宋_GB2312" w:cs="Times New Roman"/>
                <w:szCs w:val="21"/>
              </w:rPr>
              <w:t>28000</w:t>
            </w:r>
          </w:p>
        </w:tc>
      </w:tr>
      <w:tr w14:paraId="41F8D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0" w:type="auto"/>
            <w:vAlign w:val="center"/>
          </w:tcPr>
          <w:p w14:paraId="5530C32A">
            <w:pPr>
              <w:jc w:val="center"/>
              <w:rPr>
                <w:rFonts w:ascii="Times New Roman" w:hAnsi="Times New Roman" w:eastAsia="仿宋_GB2312" w:cs="Times New Roman"/>
                <w:szCs w:val="21"/>
              </w:rPr>
            </w:pPr>
            <w:r>
              <w:rPr>
                <w:rFonts w:ascii="Times New Roman" w:hAnsi="Times New Roman" w:eastAsia="仿宋_GB2312" w:cs="Times New Roman"/>
                <w:szCs w:val="21"/>
              </w:rPr>
              <w:t>6</w:t>
            </w:r>
          </w:p>
        </w:tc>
        <w:tc>
          <w:tcPr>
            <w:tcW w:w="0" w:type="auto"/>
            <w:vMerge w:val="continue"/>
            <w:vAlign w:val="center"/>
          </w:tcPr>
          <w:p w14:paraId="470D5888">
            <w:pPr>
              <w:jc w:val="center"/>
              <w:rPr>
                <w:rFonts w:ascii="Times New Roman" w:hAnsi="Times New Roman" w:eastAsia="仿宋_GB2312" w:cs="Times New Roman"/>
                <w:szCs w:val="21"/>
              </w:rPr>
            </w:pPr>
          </w:p>
        </w:tc>
        <w:tc>
          <w:tcPr>
            <w:tcW w:w="0" w:type="auto"/>
            <w:vAlign w:val="center"/>
          </w:tcPr>
          <w:p w14:paraId="61CF96B3">
            <w:pPr>
              <w:jc w:val="center"/>
              <w:rPr>
                <w:rFonts w:ascii="Times New Roman" w:hAnsi="Times New Roman" w:eastAsia="仿宋_GB2312" w:cs="Times New Roman"/>
                <w:szCs w:val="21"/>
              </w:rPr>
            </w:pPr>
            <w:r>
              <w:rPr>
                <w:rFonts w:ascii="Times New Roman" w:hAnsi="Times New Roman" w:eastAsia="仿宋_GB2312" w:cs="Times New Roman"/>
                <w:szCs w:val="21"/>
              </w:rPr>
              <w:t>碧道建设工程</w:t>
            </w:r>
          </w:p>
        </w:tc>
        <w:tc>
          <w:tcPr>
            <w:tcW w:w="0" w:type="auto"/>
            <w:vAlign w:val="center"/>
          </w:tcPr>
          <w:p w14:paraId="5400B523">
            <w:pPr>
              <w:jc w:val="center"/>
              <w:rPr>
                <w:rFonts w:ascii="Times New Roman" w:hAnsi="Times New Roman" w:eastAsia="仿宋_GB2312" w:cs="Times New Roman"/>
                <w:szCs w:val="21"/>
              </w:rPr>
            </w:pPr>
            <w:r>
              <w:rPr>
                <w:rFonts w:ascii="Times New Roman" w:hAnsi="Times New Roman" w:eastAsia="仿宋_GB2312" w:cs="Times New Roman"/>
                <w:szCs w:val="21"/>
              </w:rPr>
              <w:t>545218</w:t>
            </w:r>
          </w:p>
        </w:tc>
      </w:tr>
      <w:tr w14:paraId="35EBE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0" w:type="auto"/>
            <w:vAlign w:val="center"/>
          </w:tcPr>
          <w:p w14:paraId="6EB0591D">
            <w:pPr>
              <w:jc w:val="center"/>
              <w:rPr>
                <w:rFonts w:ascii="Times New Roman" w:hAnsi="Times New Roman" w:eastAsia="仿宋_GB2312" w:cs="Times New Roman"/>
                <w:szCs w:val="21"/>
              </w:rPr>
            </w:pPr>
            <w:r>
              <w:rPr>
                <w:rFonts w:ascii="Times New Roman" w:hAnsi="Times New Roman" w:eastAsia="仿宋_GB2312" w:cs="Times New Roman"/>
                <w:szCs w:val="21"/>
              </w:rPr>
              <w:t>7</w:t>
            </w:r>
          </w:p>
        </w:tc>
        <w:tc>
          <w:tcPr>
            <w:tcW w:w="0" w:type="auto"/>
            <w:vMerge w:val="continue"/>
            <w:vAlign w:val="center"/>
          </w:tcPr>
          <w:p w14:paraId="6FBC4D98">
            <w:pPr>
              <w:jc w:val="center"/>
              <w:rPr>
                <w:rFonts w:ascii="Times New Roman" w:hAnsi="Times New Roman" w:eastAsia="仿宋_GB2312" w:cs="Times New Roman"/>
                <w:szCs w:val="21"/>
              </w:rPr>
            </w:pPr>
          </w:p>
        </w:tc>
        <w:tc>
          <w:tcPr>
            <w:tcW w:w="0" w:type="auto"/>
            <w:vAlign w:val="center"/>
          </w:tcPr>
          <w:p w14:paraId="647BF3F9">
            <w:pPr>
              <w:jc w:val="center"/>
              <w:rPr>
                <w:rFonts w:ascii="Times New Roman" w:hAnsi="Times New Roman" w:eastAsia="仿宋_GB2312" w:cs="Times New Roman"/>
                <w:szCs w:val="21"/>
              </w:rPr>
            </w:pPr>
            <w:r>
              <w:rPr>
                <w:rFonts w:ascii="Times New Roman" w:hAnsi="Times New Roman" w:eastAsia="仿宋_GB2312" w:cs="Times New Roman"/>
                <w:szCs w:val="21"/>
              </w:rPr>
              <w:t>中小河流治理工程</w:t>
            </w:r>
          </w:p>
        </w:tc>
        <w:tc>
          <w:tcPr>
            <w:tcW w:w="0" w:type="auto"/>
            <w:vAlign w:val="center"/>
          </w:tcPr>
          <w:p w14:paraId="4810A6F3">
            <w:pPr>
              <w:jc w:val="center"/>
              <w:rPr>
                <w:rFonts w:ascii="Times New Roman" w:hAnsi="Times New Roman" w:eastAsia="仿宋_GB2312" w:cs="Times New Roman"/>
                <w:szCs w:val="21"/>
              </w:rPr>
            </w:pPr>
            <w:r>
              <w:rPr>
                <w:rFonts w:ascii="Times New Roman" w:hAnsi="Times New Roman" w:eastAsia="仿宋_GB2312" w:cs="Times New Roman"/>
                <w:szCs w:val="21"/>
              </w:rPr>
              <w:t>244344.68</w:t>
            </w:r>
          </w:p>
        </w:tc>
      </w:tr>
      <w:tr w14:paraId="23084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0" w:type="auto"/>
            <w:vAlign w:val="center"/>
          </w:tcPr>
          <w:p w14:paraId="64926203">
            <w:pPr>
              <w:jc w:val="center"/>
              <w:rPr>
                <w:rFonts w:ascii="Times New Roman" w:hAnsi="Times New Roman" w:eastAsia="仿宋_GB2312" w:cs="Times New Roman"/>
                <w:szCs w:val="21"/>
              </w:rPr>
            </w:pPr>
            <w:r>
              <w:rPr>
                <w:rFonts w:ascii="Times New Roman" w:hAnsi="Times New Roman" w:eastAsia="仿宋_GB2312" w:cs="Times New Roman"/>
                <w:szCs w:val="21"/>
              </w:rPr>
              <w:t> </w:t>
            </w:r>
          </w:p>
        </w:tc>
        <w:tc>
          <w:tcPr>
            <w:tcW w:w="0" w:type="auto"/>
            <w:gridSpan w:val="2"/>
            <w:vAlign w:val="center"/>
          </w:tcPr>
          <w:p w14:paraId="582FDD3F">
            <w:pPr>
              <w:jc w:val="center"/>
              <w:rPr>
                <w:rFonts w:ascii="Times New Roman" w:hAnsi="Times New Roman" w:eastAsia="仿宋_GB2312" w:cs="Times New Roman"/>
                <w:szCs w:val="21"/>
              </w:rPr>
            </w:pPr>
            <w:r>
              <w:rPr>
                <w:rFonts w:ascii="Times New Roman" w:hAnsi="Times New Roman" w:eastAsia="仿宋_GB2312" w:cs="Times New Roman"/>
                <w:szCs w:val="21"/>
              </w:rPr>
              <w:t>小计</w:t>
            </w:r>
          </w:p>
        </w:tc>
        <w:tc>
          <w:tcPr>
            <w:tcW w:w="0" w:type="auto"/>
            <w:vAlign w:val="center"/>
          </w:tcPr>
          <w:p w14:paraId="350C7483">
            <w:pPr>
              <w:jc w:val="center"/>
              <w:rPr>
                <w:rFonts w:ascii="Times New Roman" w:hAnsi="Times New Roman" w:eastAsia="仿宋_GB2312" w:cs="Times New Roman"/>
                <w:szCs w:val="21"/>
              </w:rPr>
            </w:pPr>
            <w:r>
              <w:rPr>
                <w:rFonts w:ascii="Times New Roman" w:hAnsi="Times New Roman" w:eastAsia="仿宋_GB2312" w:cs="Times New Roman"/>
                <w:szCs w:val="21"/>
              </w:rPr>
              <w:t>1286936.68</w:t>
            </w:r>
          </w:p>
        </w:tc>
      </w:tr>
      <w:tr w14:paraId="4CD5B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0" w:type="auto"/>
            <w:vAlign w:val="center"/>
          </w:tcPr>
          <w:p w14:paraId="700D615C">
            <w:pPr>
              <w:jc w:val="center"/>
              <w:rPr>
                <w:rFonts w:ascii="Times New Roman" w:hAnsi="Times New Roman" w:eastAsia="仿宋_GB2312" w:cs="Times New Roman"/>
                <w:szCs w:val="21"/>
              </w:rPr>
            </w:pPr>
            <w:r>
              <w:rPr>
                <w:rFonts w:ascii="Times New Roman" w:hAnsi="Times New Roman" w:eastAsia="仿宋_GB2312" w:cs="Times New Roman"/>
                <w:szCs w:val="21"/>
              </w:rPr>
              <w:t>8</w:t>
            </w:r>
          </w:p>
        </w:tc>
        <w:tc>
          <w:tcPr>
            <w:tcW w:w="0" w:type="auto"/>
            <w:vMerge w:val="restart"/>
            <w:vAlign w:val="center"/>
          </w:tcPr>
          <w:p w14:paraId="70D2FF9E">
            <w:pPr>
              <w:jc w:val="center"/>
              <w:rPr>
                <w:rFonts w:ascii="Times New Roman" w:hAnsi="Times New Roman" w:eastAsia="仿宋_GB2312" w:cs="Times New Roman"/>
                <w:szCs w:val="21"/>
              </w:rPr>
            </w:pPr>
            <w:r>
              <w:rPr>
                <w:rFonts w:ascii="Times New Roman" w:hAnsi="Times New Roman" w:eastAsia="仿宋_GB2312" w:cs="Times New Roman"/>
                <w:szCs w:val="21"/>
              </w:rPr>
              <w:t>废旧矿山及地质灾害修复治理工程</w:t>
            </w:r>
          </w:p>
        </w:tc>
        <w:tc>
          <w:tcPr>
            <w:tcW w:w="0" w:type="auto"/>
            <w:vAlign w:val="center"/>
          </w:tcPr>
          <w:p w14:paraId="630FBC26">
            <w:pPr>
              <w:jc w:val="center"/>
              <w:rPr>
                <w:rFonts w:ascii="Times New Roman" w:hAnsi="Times New Roman" w:eastAsia="仿宋_GB2312" w:cs="Times New Roman"/>
                <w:szCs w:val="21"/>
              </w:rPr>
            </w:pPr>
            <w:r>
              <w:rPr>
                <w:rFonts w:ascii="Times New Roman" w:hAnsi="Times New Roman" w:eastAsia="仿宋_GB2312" w:cs="Times New Roman"/>
                <w:szCs w:val="21"/>
              </w:rPr>
              <w:t>废旧矿山修复工程</w:t>
            </w:r>
          </w:p>
        </w:tc>
        <w:tc>
          <w:tcPr>
            <w:tcW w:w="0" w:type="auto"/>
            <w:vAlign w:val="center"/>
          </w:tcPr>
          <w:p w14:paraId="4A96742B">
            <w:pPr>
              <w:jc w:val="center"/>
              <w:rPr>
                <w:rFonts w:ascii="Times New Roman" w:hAnsi="Times New Roman" w:eastAsia="仿宋_GB2312" w:cs="Times New Roman"/>
                <w:szCs w:val="21"/>
              </w:rPr>
            </w:pPr>
            <w:r>
              <w:rPr>
                <w:rFonts w:ascii="Times New Roman" w:hAnsi="Times New Roman" w:eastAsia="仿宋_GB2312" w:cs="Times New Roman"/>
                <w:szCs w:val="21"/>
              </w:rPr>
              <w:t>253</w:t>
            </w:r>
          </w:p>
        </w:tc>
      </w:tr>
      <w:tr w14:paraId="0D157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0" w:type="auto"/>
            <w:vAlign w:val="center"/>
          </w:tcPr>
          <w:p w14:paraId="561599A7">
            <w:pPr>
              <w:jc w:val="center"/>
              <w:rPr>
                <w:rFonts w:ascii="Times New Roman" w:hAnsi="Times New Roman" w:eastAsia="仿宋_GB2312" w:cs="Times New Roman"/>
                <w:szCs w:val="21"/>
              </w:rPr>
            </w:pPr>
            <w:r>
              <w:rPr>
                <w:rFonts w:ascii="Times New Roman" w:hAnsi="Times New Roman" w:eastAsia="仿宋_GB2312" w:cs="Times New Roman"/>
                <w:szCs w:val="21"/>
              </w:rPr>
              <w:t>9</w:t>
            </w:r>
          </w:p>
        </w:tc>
        <w:tc>
          <w:tcPr>
            <w:tcW w:w="0" w:type="auto"/>
            <w:vMerge w:val="continue"/>
            <w:vAlign w:val="center"/>
          </w:tcPr>
          <w:p w14:paraId="43005386">
            <w:pPr>
              <w:jc w:val="center"/>
              <w:rPr>
                <w:rFonts w:ascii="Times New Roman" w:hAnsi="Times New Roman" w:eastAsia="仿宋_GB2312" w:cs="Times New Roman"/>
                <w:szCs w:val="21"/>
              </w:rPr>
            </w:pPr>
          </w:p>
        </w:tc>
        <w:tc>
          <w:tcPr>
            <w:tcW w:w="0" w:type="auto"/>
            <w:vAlign w:val="center"/>
          </w:tcPr>
          <w:p w14:paraId="4FD174C8">
            <w:pPr>
              <w:jc w:val="center"/>
              <w:rPr>
                <w:rFonts w:ascii="Times New Roman" w:hAnsi="Times New Roman" w:eastAsia="仿宋_GB2312" w:cs="Times New Roman"/>
                <w:szCs w:val="21"/>
              </w:rPr>
            </w:pPr>
            <w:r>
              <w:rPr>
                <w:rFonts w:ascii="Times New Roman" w:hAnsi="Times New Roman" w:eastAsia="仿宋_GB2312" w:cs="Times New Roman"/>
                <w:szCs w:val="21"/>
              </w:rPr>
              <w:t>地质灾害治理工程</w:t>
            </w:r>
          </w:p>
        </w:tc>
        <w:tc>
          <w:tcPr>
            <w:tcW w:w="0" w:type="auto"/>
            <w:vAlign w:val="center"/>
          </w:tcPr>
          <w:p w14:paraId="30EEE0DF">
            <w:pPr>
              <w:jc w:val="center"/>
              <w:rPr>
                <w:rFonts w:ascii="Times New Roman" w:hAnsi="Times New Roman" w:eastAsia="仿宋_GB2312" w:cs="Times New Roman"/>
                <w:szCs w:val="21"/>
              </w:rPr>
            </w:pPr>
            <w:r>
              <w:rPr>
                <w:rFonts w:ascii="Times New Roman" w:hAnsi="Times New Roman" w:eastAsia="仿宋_GB2312" w:cs="Times New Roman"/>
                <w:szCs w:val="21"/>
              </w:rPr>
              <w:t>4604</w:t>
            </w:r>
          </w:p>
        </w:tc>
      </w:tr>
      <w:tr w14:paraId="19413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0" w:type="auto"/>
            <w:vAlign w:val="center"/>
          </w:tcPr>
          <w:p w14:paraId="20A959FF">
            <w:pPr>
              <w:jc w:val="center"/>
              <w:rPr>
                <w:rFonts w:ascii="Times New Roman" w:hAnsi="Times New Roman" w:eastAsia="仿宋_GB2312" w:cs="Times New Roman"/>
                <w:szCs w:val="21"/>
              </w:rPr>
            </w:pPr>
          </w:p>
        </w:tc>
        <w:tc>
          <w:tcPr>
            <w:tcW w:w="0" w:type="auto"/>
            <w:gridSpan w:val="2"/>
            <w:vAlign w:val="center"/>
          </w:tcPr>
          <w:p w14:paraId="5D7EE576">
            <w:pPr>
              <w:jc w:val="center"/>
              <w:rPr>
                <w:rFonts w:ascii="Times New Roman" w:hAnsi="Times New Roman" w:eastAsia="仿宋_GB2312" w:cs="Times New Roman"/>
                <w:szCs w:val="21"/>
              </w:rPr>
            </w:pPr>
            <w:r>
              <w:rPr>
                <w:rFonts w:ascii="Times New Roman" w:hAnsi="Times New Roman" w:eastAsia="仿宋_GB2312" w:cs="Times New Roman"/>
                <w:szCs w:val="21"/>
              </w:rPr>
              <w:t>小计</w:t>
            </w:r>
          </w:p>
        </w:tc>
        <w:tc>
          <w:tcPr>
            <w:tcW w:w="0" w:type="auto"/>
            <w:vAlign w:val="center"/>
          </w:tcPr>
          <w:p w14:paraId="0C66079D">
            <w:pPr>
              <w:jc w:val="center"/>
              <w:rPr>
                <w:rFonts w:ascii="Times New Roman" w:hAnsi="Times New Roman" w:eastAsia="仿宋_GB2312" w:cs="Times New Roman"/>
                <w:szCs w:val="21"/>
              </w:rPr>
            </w:pPr>
            <w:r>
              <w:rPr>
                <w:rFonts w:ascii="Times New Roman" w:hAnsi="Times New Roman" w:eastAsia="仿宋_GB2312" w:cs="Times New Roman"/>
                <w:szCs w:val="21"/>
              </w:rPr>
              <w:t>4857</w:t>
            </w:r>
          </w:p>
        </w:tc>
      </w:tr>
      <w:tr w14:paraId="7BD57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0" w:type="auto"/>
            <w:vAlign w:val="center"/>
          </w:tcPr>
          <w:p w14:paraId="4F25FA65">
            <w:pPr>
              <w:jc w:val="center"/>
              <w:rPr>
                <w:rFonts w:ascii="Times New Roman" w:hAnsi="Times New Roman" w:eastAsia="仿宋_GB2312" w:cs="Times New Roman"/>
                <w:szCs w:val="21"/>
              </w:rPr>
            </w:pPr>
            <w:r>
              <w:rPr>
                <w:rFonts w:ascii="Times New Roman" w:hAnsi="Times New Roman" w:eastAsia="仿宋_GB2312" w:cs="Times New Roman"/>
                <w:szCs w:val="21"/>
              </w:rPr>
              <w:t>10</w:t>
            </w:r>
          </w:p>
        </w:tc>
        <w:tc>
          <w:tcPr>
            <w:tcW w:w="0" w:type="auto"/>
            <w:vMerge w:val="restart"/>
            <w:vAlign w:val="center"/>
          </w:tcPr>
          <w:p w14:paraId="478B26D7">
            <w:pPr>
              <w:jc w:val="center"/>
              <w:rPr>
                <w:rFonts w:ascii="Times New Roman" w:hAnsi="Times New Roman" w:eastAsia="仿宋_GB2312" w:cs="Times New Roman"/>
                <w:szCs w:val="21"/>
              </w:rPr>
            </w:pPr>
            <w:r>
              <w:rPr>
                <w:rFonts w:ascii="Times New Roman" w:hAnsi="Times New Roman" w:eastAsia="仿宋_GB2312" w:cs="Times New Roman"/>
                <w:szCs w:val="21"/>
              </w:rPr>
              <w:t>绿美阳江城市绿化工程</w:t>
            </w:r>
          </w:p>
        </w:tc>
        <w:tc>
          <w:tcPr>
            <w:tcW w:w="0" w:type="auto"/>
            <w:vAlign w:val="center"/>
          </w:tcPr>
          <w:p w14:paraId="6531AE14">
            <w:pPr>
              <w:jc w:val="center"/>
              <w:rPr>
                <w:rFonts w:ascii="Times New Roman" w:hAnsi="Times New Roman" w:eastAsia="仿宋_GB2312" w:cs="Times New Roman"/>
                <w:szCs w:val="21"/>
              </w:rPr>
            </w:pPr>
            <w:r>
              <w:rPr>
                <w:rFonts w:ascii="Times New Roman" w:hAnsi="Times New Roman" w:eastAsia="仿宋_GB2312" w:cs="Times New Roman"/>
                <w:szCs w:val="21"/>
              </w:rPr>
              <w:t>城乡一体绿美提升行动</w:t>
            </w:r>
          </w:p>
        </w:tc>
        <w:tc>
          <w:tcPr>
            <w:tcW w:w="0" w:type="auto"/>
            <w:vAlign w:val="center"/>
          </w:tcPr>
          <w:p w14:paraId="1C4CD154">
            <w:pPr>
              <w:jc w:val="center"/>
              <w:rPr>
                <w:rFonts w:ascii="Times New Roman" w:hAnsi="Times New Roman" w:eastAsia="仿宋_GB2312" w:cs="Times New Roman"/>
                <w:szCs w:val="21"/>
              </w:rPr>
            </w:pPr>
            <w:r>
              <w:rPr>
                <w:rFonts w:ascii="Times New Roman" w:hAnsi="Times New Roman" w:eastAsia="仿宋_GB2312" w:cs="Times New Roman"/>
                <w:szCs w:val="21"/>
              </w:rPr>
              <w:t>4545</w:t>
            </w:r>
          </w:p>
        </w:tc>
      </w:tr>
      <w:tr w14:paraId="3ED7C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0" w:type="auto"/>
            <w:vAlign w:val="center"/>
          </w:tcPr>
          <w:p w14:paraId="278AB03D">
            <w:pPr>
              <w:jc w:val="center"/>
              <w:rPr>
                <w:rFonts w:ascii="Times New Roman" w:hAnsi="Times New Roman" w:eastAsia="仿宋_GB2312" w:cs="Times New Roman"/>
                <w:szCs w:val="21"/>
              </w:rPr>
            </w:pPr>
            <w:r>
              <w:rPr>
                <w:rFonts w:ascii="Times New Roman" w:hAnsi="Times New Roman" w:eastAsia="仿宋_GB2312" w:cs="Times New Roman"/>
                <w:szCs w:val="21"/>
              </w:rPr>
              <w:t>11</w:t>
            </w:r>
          </w:p>
        </w:tc>
        <w:tc>
          <w:tcPr>
            <w:tcW w:w="0" w:type="auto"/>
            <w:vMerge w:val="continue"/>
            <w:vAlign w:val="center"/>
          </w:tcPr>
          <w:p w14:paraId="702251CF">
            <w:pPr>
              <w:jc w:val="center"/>
              <w:rPr>
                <w:rFonts w:ascii="Times New Roman" w:hAnsi="Times New Roman" w:eastAsia="仿宋_GB2312" w:cs="Times New Roman"/>
                <w:szCs w:val="21"/>
              </w:rPr>
            </w:pPr>
          </w:p>
        </w:tc>
        <w:tc>
          <w:tcPr>
            <w:tcW w:w="0" w:type="auto"/>
            <w:vAlign w:val="center"/>
          </w:tcPr>
          <w:p w14:paraId="5A3A34F9">
            <w:pPr>
              <w:jc w:val="center"/>
              <w:rPr>
                <w:rFonts w:ascii="Times New Roman" w:hAnsi="Times New Roman" w:eastAsia="仿宋_GB2312" w:cs="Times New Roman"/>
                <w:szCs w:val="21"/>
              </w:rPr>
            </w:pPr>
            <w:r>
              <w:rPr>
                <w:rFonts w:ascii="Times New Roman" w:hAnsi="Times New Roman" w:eastAsia="仿宋_GB2312" w:cs="Times New Roman"/>
                <w:szCs w:val="21"/>
              </w:rPr>
              <w:t>森林质量精准提升</w:t>
            </w:r>
          </w:p>
        </w:tc>
        <w:tc>
          <w:tcPr>
            <w:tcW w:w="0" w:type="auto"/>
            <w:vAlign w:val="center"/>
          </w:tcPr>
          <w:p w14:paraId="7ABF2A19">
            <w:pPr>
              <w:jc w:val="center"/>
              <w:rPr>
                <w:rFonts w:ascii="Times New Roman" w:hAnsi="Times New Roman" w:eastAsia="仿宋_GB2312" w:cs="Times New Roman"/>
                <w:szCs w:val="21"/>
              </w:rPr>
            </w:pPr>
            <w:r>
              <w:rPr>
                <w:rFonts w:ascii="Times New Roman" w:hAnsi="Times New Roman" w:eastAsia="仿宋_GB2312" w:cs="Times New Roman"/>
                <w:szCs w:val="21"/>
              </w:rPr>
              <w:t>22854</w:t>
            </w:r>
          </w:p>
        </w:tc>
      </w:tr>
      <w:tr w14:paraId="65339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0" w:type="auto"/>
            <w:vAlign w:val="center"/>
          </w:tcPr>
          <w:p w14:paraId="7807DE38">
            <w:pPr>
              <w:jc w:val="center"/>
              <w:rPr>
                <w:rFonts w:ascii="Times New Roman" w:hAnsi="Times New Roman" w:eastAsia="仿宋_GB2312" w:cs="Times New Roman"/>
                <w:szCs w:val="21"/>
              </w:rPr>
            </w:pPr>
          </w:p>
        </w:tc>
        <w:tc>
          <w:tcPr>
            <w:tcW w:w="0" w:type="auto"/>
            <w:gridSpan w:val="2"/>
            <w:vAlign w:val="center"/>
          </w:tcPr>
          <w:p w14:paraId="33C65BC5">
            <w:pPr>
              <w:jc w:val="center"/>
              <w:rPr>
                <w:rFonts w:ascii="Times New Roman" w:hAnsi="Times New Roman" w:eastAsia="仿宋_GB2312" w:cs="Times New Roman"/>
                <w:szCs w:val="21"/>
              </w:rPr>
            </w:pPr>
            <w:r>
              <w:rPr>
                <w:rFonts w:ascii="Times New Roman" w:hAnsi="Times New Roman" w:eastAsia="仿宋_GB2312" w:cs="Times New Roman"/>
                <w:szCs w:val="21"/>
              </w:rPr>
              <w:t>小计</w:t>
            </w:r>
          </w:p>
        </w:tc>
        <w:tc>
          <w:tcPr>
            <w:tcW w:w="0" w:type="auto"/>
            <w:vAlign w:val="center"/>
          </w:tcPr>
          <w:p w14:paraId="05F62D5A">
            <w:pPr>
              <w:jc w:val="center"/>
              <w:rPr>
                <w:rFonts w:ascii="Times New Roman" w:hAnsi="Times New Roman" w:eastAsia="仿宋_GB2312" w:cs="Times New Roman"/>
                <w:szCs w:val="21"/>
              </w:rPr>
            </w:pPr>
            <w:r>
              <w:rPr>
                <w:rFonts w:ascii="Times New Roman" w:hAnsi="Times New Roman" w:eastAsia="仿宋_GB2312" w:cs="Times New Roman"/>
                <w:szCs w:val="21"/>
              </w:rPr>
              <w:t>27399</w:t>
            </w:r>
          </w:p>
        </w:tc>
      </w:tr>
      <w:tr w14:paraId="16237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0" w:type="auto"/>
            <w:vAlign w:val="center"/>
          </w:tcPr>
          <w:p w14:paraId="4EA148DC">
            <w:pPr>
              <w:jc w:val="center"/>
              <w:rPr>
                <w:rFonts w:ascii="Times New Roman" w:hAnsi="Times New Roman" w:eastAsia="仿宋_GB2312" w:cs="Times New Roman"/>
                <w:szCs w:val="21"/>
              </w:rPr>
            </w:pPr>
            <w:r>
              <w:rPr>
                <w:rFonts w:ascii="Times New Roman" w:hAnsi="Times New Roman" w:eastAsia="仿宋_GB2312" w:cs="Times New Roman"/>
                <w:szCs w:val="21"/>
              </w:rPr>
              <w:t>12</w:t>
            </w:r>
          </w:p>
        </w:tc>
        <w:tc>
          <w:tcPr>
            <w:tcW w:w="0" w:type="auto"/>
            <w:vMerge w:val="restart"/>
            <w:vAlign w:val="center"/>
          </w:tcPr>
          <w:p w14:paraId="2C5D4BBD">
            <w:pPr>
              <w:jc w:val="center"/>
              <w:rPr>
                <w:rFonts w:ascii="Times New Roman" w:hAnsi="Times New Roman" w:eastAsia="仿宋_GB2312" w:cs="Times New Roman"/>
                <w:szCs w:val="21"/>
              </w:rPr>
            </w:pPr>
            <w:r>
              <w:rPr>
                <w:rFonts w:ascii="Times New Roman" w:hAnsi="Times New Roman" w:eastAsia="仿宋_GB2312" w:cs="Times New Roman"/>
                <w:szCs w:val="21"/>
              </w:rPr>
              <w:t>农业空间保护和修复重点工程</w:t>
            </w:r>
          </w:p>
        </w:tc>
        <w:tc>
          <w:tcPr>
            <w:tcW w:w="0" w:type="auto"/>
            <w:vAlign w:val="center"/>
          </w:tcPr>
          <w:p w14:paraId="10687398">
            <w:pPr>
              <w:jc w:val="center"/>
              <w:rPr>
                <w:rFonts w:ascii="Times New Roman" w:hAnsi="Times New Roman" w:eastAsia="仿宋_GB2312" w:cs="Times New Roman"/>
                <w:szCs w:val="21"/>
              </w:rPr>
            </w:pPr>
            <w:r>
              <w:rPr>
                <w:rFonts w:ascii="Times New Roman" w:hAnsi="Times New Roman" w:eastAsia="仿宋_GB2312" w:cs="Times New Roman"/>
                <w:szCs w:val="21"/>
              </w:rPr>
              <w:t>高标准农田建设工程</w:t>
            </w:r>
          </w:p>
        </w:tc>
        <w:tc>
          <w:tcPr>
            <w:tcW w:w="0" w:type="auto"/>
            <w:vAlign w:val="center"/>
          </w:tcPr>
          <w:p w14:paraId="79321FE2">
            <w:pPr>
              <w:jc w:val="center"/>
              <w:rPr>
                <w:rFonts w:ascii="Times New Roman" w:hAnsi="Times New Roman" w:eastAsia="仿宋_GB2312" w:cs="Times New Roman"/>
                <w:szCs w:val="21"/>
              </w:rPr>
            </w:pPr>
            <w:r>
              <w:rPr>
                <w:rFonts w:ascii="Times New Roman" w:hAnsi="Times New Roman" w:eastAsia="仿宋_GB2312" w:cs="Times New Roman"/>
                <w:szCs w:val="21"/>
              </w:rPr>
              <w:t>86790</w:t>
            </w:r>
          </w:p>
        </w:tc>
      </w:tr>
      <w:tr w14:paraId="727F5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0" w:type="auto"/>
            <w:vAlign w:val="center"/>
          </w:tcPr>
          <w:p w14:paraId="2BE13AB8">
            <w:pPr>
              <w:jc w:val="center"/>
              <w:rPr>
                <w:rFonts w:ascii="Times New Roman" w:hAnsi="Times New Roman" w:eastAsia="仿宋_GB2312" w:cs="Times New Roman"/>
                <w:szCs w:val="21"/>
              </w:rPr>
            </w:pPr>
            <w:r>
              <w:rPr>
                <w:rFonts w:ascii="Times New Roman" w:hAnsi="Times New Roman" w:eastAsia="仿宋_GB2312" w:cs="Times New Roman"/>
                <w:szCs w:val="21"/>
              </w:rPr>
              <w:t>13</w:t>
            </w:r>
          </w:p>
        </w:tc>
        <w:tc>
          <w:tcPr>
            <w:tcW w:w="0" w:type="auto"/>
            <w:vMerge w:val="continue"/>
            <w:vAlign w:val="center"/>
          </w:tcPr>
          <w:p w14:paraId="01B61BA9">
            <w:pPr>
              <w:jc w:val="center"/>
              <w:rPr>
                <w:rFonts w:ascii="Times New Roman" w:hAnsi="Times New Roman" w:eastAsia="仿宋_GB2312" w:cs="Times New Roman"/>
                <w:szCs w:val="21"/>
              </w:rPr>
            </w:pPr>
          </w:p>
        </w:tc>
        <w:tc>
          <w:tcPr>
            <w:tcW w:w="0" w:type="auto"/>
            <w:vAlign w:val="center"/>
          </w:tcPr>
          <w:p w14:paraId="7F490579">
            <w:pPr>
              <w:jc w:val="center"/>
              <w:rPr>
                <w:rFonts w:ascii="Times New Roman" w:hAnsi="Times New Roman" w:eastAsia="仿宋_GB2312" w:cs="Times New Roman"/>
                <w:szCs w:val="21"/>
              </w:rPr>
            </w:pPr>
            <w:r>
              <w:rPr>
                <w:rFonts w:ascii="Times New Roman" w:hAnsi="Times New Roman" w:eastAsia="仿宋_GB2312" w:cs="Times New Roman"/>
                <w:szCs w:val="21"/>
              </w:rPr>
              <w:t>节水灌溉建设工程</w:t>
            </w:r>
          </w:p>
        </w:tc>
        <w:tc>
          <w:tcPr>
            <w:tcW w:w="0" w:type="auto"/>
            <w:vAlign w:val="center"/>
          </w:tcPr>
          <w:p w14:paraId="4464626D">
            <w:pPr>
              <w:jc w:val="center"/>
              <w:rPr>
                <w:rFonts w:ascii="Times New Roman" w:hAnsi="Times New Roman" w:eastAsia="仿宋_GB2312" w:cs="Times New Roman"/>
                <w:szCs w:val="21"/>
              </w:rPr>
            </w:pPr>
            <w:r>
              <w:rPr>
                <w:rFonts w:ascii="Times New Roman" w:hAnsi="Times New Roman" w:eastAsia="仿宋_GB2312" w:cs="Times New Roman"/>
                <w:szCs w:val="21"/>
              </w:rPr>
              <w:t>1650</w:t>
            </w:r>
          </w:p>
        </w:tc>
      </w:tr>
      <w:tr w14:paraId="3C24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0" w:type="auto"/>
            <w:vAlign w:val="center"/>
          </w:tcPr>
          <w:p w14:paraId="0CF4AB6B">
            <w:pPr>
              <w:jc w:val="center"/>
              <w:rPr>
                <w:rFonts w:ascii="Times New Roman" w:hAnsi="Times New Roman" w:eastAsia="仿宋_GB2312" w:cs="Times New Roman"/>
                <w:szCs w:val="21"/>
              </w:rPr>
            </w:pPr>
            <w:r>
              <w:rPr>
                <w:rFonts w:ascii="Times New Roman" w:hAnsi="Times New Roman" w:eastAsia="仿宋_GB2312" w:cs="Times New Roman"/>
                <w:szCs w:val="21"/>
              </w:rPr>
              <w:t>14</w:t>
            </w:r>
          </w:p>
        </w:tc>
        <w:tc>
          <w:tcPr>
            <w:tcW w:w="0" w:type="auto"/>
            <w:vMerge w:val="continue"/>
            <w:vAlign w:val="center"/>
          </w:tcPr>
          <w:p w14:paraId="1792C98C">
            <w:pPr>
              <w:jc w:val="center"/>
              <w:rPr>
                <w:rFonts w:ascii="Times New Roman" w:hAnsi="Times New Roman" w:eastAsia="仿宋_GB2312" w:cs="Times New Roman"/>
                <w:szCs w:val="21"/>
              </w:rPr>
            </w:pPr>
          </w:p>
        </w:tc>
        <w:tc>
          <w:tcPr>
            <w:tcW w:w="0" w:type="auto"/>
            <w:vAlign w:val="center"/>
          </w:tcPr>
          <w:p w14:paraId="7E70FAD5">
            <w:pPr>
              <w:jc w:val="center"/>
              <w:rPr>
                <w:rFonts w:ascii="Times New Roman" w:hAnsi="Times New Roman" w:eastAsia="仿宋_GB2312" w:cs="Times New Roman"/>
                <w:szCs w:val="21"/>
              </w:rPr>
            </w:pPr>
            <w:r>
              <w:rPr>
                <w:rFonts w:ascii="Times New Roman" w:hAnsi="Times New Roman" w:eastAsia="仿宋_GB2312" w:cs="Times New Roman"/>
                <w:szCs w:val="21"/>
              </w:rPr>
              <w:t>乡村人居环境整治工程</w:t>
            </w:r>
          </w:p>
        </w:tc>
        <w:tc>
          <w:tcPr>
            <w:tcW w:w="0" w:type="auto"/>
            <w:vAlign w:val="center"/>
          </w:tcPr>
          <w:p w14:paraId="1EE8A4FC">
            <w:pPr>
              <w:jc w:val="center"/>
              <w:rPr>
                <w:rFonts w:ascii="Times New Roman" w:hAnsi="Times New Roman" w:eastAsia="仿宋_GB2312" w:cs="Times New Roman"/>
                <w:szCs w:val="21"/>
              </w:rPr>
            </w:pPr>
            <w:r>
              <w:rPr>
                <w:rFonts w:ascii="Times New Roman" w:hAnsi="Times New Roman" w:eastAsia="仿宋_GB2312" w:cs="Times New Roman"/>
                <w:szCs w:val="21"/>
              </w:rPr>
              <w:t>82000</w:t>
            </w:r>
          </w:p>
        </w:tc>
      </w:tr>
      <w:tr w14:paraId="25E8F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0" w:type="auto"/>
            <w:vAlign w:val="center"/>
          </w:tcPr>
          <w:p w14:paraId="01C29849">
            <w:pPr>
              <w:jc w:val="center"/>
              <w:rPr>
                <w:rFonts w:ascii="Times New Roman" w:hAnsi="Times New Roman" w:eastAsia="仿宋_GB2312" w:cs="Times New Roman"/>
                <w:szCs w:val="21"/>
              </w:rPr>
            </w:pPr>
          </w:p>
        </w:tc>
        <w:tc>
          <w:tcPr>
            <w:tcW w:w="0" w:type="auto"/>
            <w:gridSpan w:val="2"/>
            <w:vAlign w:val="center"/>
          </w:tcPr>
          <w:p w14:paraId="3FFE6194">
            <w:pPr>
              <w:jc w:val="center"/>
              <w:rPr>
                <w:rFonts w:ascii="Times New Roman" w:hAnsi="Times New Roman" w:eastAsia="仿宋_GB2312" w:cs="Times New Roman"/>
                <w:szCs w:val="21"/>
              </w:rPr>
            </w:pPr>
            <w:r>
              <w:rPr>
                <w:rFonts w:ascii="Times New Roman" w:hAnsi="Times New Roman" w:eastAsia="仿宋_GB2312" w:cs="Times New Roman"/>
                <w:szCs w:val="21"/>
              </w:rPr>
              <w:t>小计</w:t>
            </w:r>
          </w:p>
        </w:tc>
        <w:tc>
          <w:tcPr>
            <w:tcW w:w="0" w:type="auto"/>
            <w:vAlign w:val="center"/>
          </w:tcPr>
          <w:p w14:paraId="50569267">
            <w:pPr>
              <w:jc w:val="center"/>
              <w:rPr>
                <w:rFonts w:ascii="Times New Roman" w:hAnsi="Times New Roman" w:eastAsia="仿宋_GB2312" w:cs="Times New Roman"/>
                <w:szCs w:val="21"/>
              </w:rPr>
            </w:pPr>
            <w:r>
              <w:rPr>
                <w:rFonts w:ascii="Times New Roman" w:hAnsi="Times New Roman" w:eastAsia="仿宋_GB2312" w:cs="Times New Roman"/>
                <w:szCs w:val="21"/>
              </w:rPr>
              <w:t>170440</w:t>
            </w:r>
          </w:p>
        </w:tc>
      </w:tr>
      <w:tr w14:paraId="5AAE5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0" w:type="auto"/>
            <w:vAlign w:val="center"/>
          </w:tcPr>
          <w:p w14:paraId="4549C0C8">
            <w:pPr>
              <w:jc w:val="center"/>
              <w:rPr>
                <w:rFonts w:ascii="Times New Roman" w:hAnsi="Times New Roman" w:eastAsia="仿宋_GB2312" w:cs="Times New Roman"/>
                <w:szCs w:val="21"/>
              </w:rPr>
            </w:pPr>
            <w:r>
              <w:rPr>
                <w:rFonts w:ascii="Times New Roman" w:hAnsi="Times New Roman" w:eastAsia="仿宋_GB2312" w:cs="Times New Roman"/>
                <w:szCs w:val="21"/>
              </w:rPr>
              <w:t>15</w:t>
            </w:r>
          </w:p>
        </w:tc>
        <w:tc>
          <w:tcPr>
            <w:tcW w:w="0" w:type="auto"/>
            <w:vMerge w:val="restart"/>
            <w:vAlign w:val="center"/>
          </w:tcPr>
          <w:p w14:paraId="4BE4EE62">
            <w:pPr>
              <w:jc w:val="center"/>
              <w:rPr>
                <w:rFonts w:ascii="Times New Roman" w:hAnsi="Times New Roman" w:eastAsia="仿宋_GB2312" w:cs="Times New Roman"/>
                <w:szCs w:val="21"/>
              </w:rPr>
            </w:pPr>
            <w:r>
              <w:rPr>
                <w:rFonts w:ascii="Times New Roman" w:hAnsi="Times New Roman" w:eastAsia="仿宋_GB2312" w:cs="Times New Roman"/>
                <w:szCs w:val="21"/>
              </w:rPr>
              <w:t>城镇空间保护和修复重点工程</w:t>
            </w:r>
          </w:p>
        </w:tc>
        <w:tc>
          <w:tcPr>
            <w:tcW w:w="0" w:type="auto"/>
            <w:vAlign w:val="center"/>
          </w:tcPr>
          <w:p w14:paraId="621EB835">
            <w:pPr>
              <w:jc w:val="center"/>
              <w:rPr>
                <w:rFonts w:ascii="Times New Roman" w:hAnsi="Times New Roman" w:eastAsia="仿宋_GB2312" w:cs="Times New Roman"/>
                <w:szCs w:val="21"/>
              </w:rPr>
            </w:pPr>
            <w:r>
              <w:rPr>
                <w:rFonts w:ascii="Times New Roman" w:hAnsi="Times New Roman" w:eastAsia="仿宋_GB2312" w:cs="Times New Roman"/>
                <w:szCs w:val="21"/>
              </w:rPr>
              <w:t>南亚热带滨海绿色开敞空间体系建设工程</w:t>
            </w:r>
          </w:p>
        </w:tc>
        <w:tc>
          <w:tcPr>
            <w:tcW w:w="0" w:type="auto"/>
            <w:vAlign w:val="center"/>
          </w:tcPr>
          <w:p w14:paraId="0492F624">
            <w:pPr>
              <w:jc w:val="center"/>
              <w:rPr>
                <w:rFonts w:ascii="Times New Roman" w:hAnsi="Times New Roman" w:eastAsia="仿宋_GB2312" w:cs="Times New Roman"/>
                <w:szCs w:val="21"/>
              </w:rPr>
            </w:pPr>
            <w:r>
              <w:rPr>
                <w:rFonts w:ascii="Times New Roman" w:hAnsi="Times New Roman" w:eastAsia="仿宋_GB2312" w:cs="Times New Roman"/>
                <w:szCs w:val="21"/>
              </w:rPr>
              <w:t>15000</w:t>
            </w:r>
          </w:p>
        </w:tc>
      </w:tr>
      <w:tr w14:paraId="29C03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0" w:type="auto"/>
            <w:vAlign w:val="center"/>
          </w:tcPr>
          <w:p w14:paraId="6A90F882">
            <w:pPr>
              <w:jc w:val="center"/>
              <w:rPr>
                <w:rFonts w:ascii="Times New Roman" w:hAnsi="Times New Roman" w:eastAsia="仿宋_GB2312" w:cs="Times New Roman"/>
                <w:szCs w:val="21"/>
              </w:rPr>
            </w:pPr>
            <w:r>
              <w:rPr>
                <w:rFonts w:ascii="Times New Roman" w:hAnsi="Times New Roman" w:eastAsia="仿宋_GB2312" w:cs="Times New Roman"/>
                <w:szCs w:val="21"/>
              </w:rPr>
              <w:t>16</w:t>
            </w:r>
          </w:p>
        </w:tc>
        <w:tc>
          <w:tcPr>
            <w:tcW w:w="0" w:type="auto"/>
            <w:vMerge w:val="continue"/>
            <w:vAlign w:val="center"/>
          </w:tcPr>
          <w:p w14:paraId="46D6934A">
            <w:pPr>
              <w:jc w:val="center"/>
              <w:rPr>
                <w:rFonts w:ascii="Times New Roman" w:hAnsi="Times New Roman" w:eastAsia="仿宋_GB2312" w:cs="Times New Roman"/>
                <w:szCs w:val="21"/>
              </w:rPr>
            </w:pPr>
          </w:p>
        </w:tc>
        <w:tc>
          <w:tcPr>
            <w:tcW w:w="0" w:type="auto"/>
            <w:vAlign w:val="center"/>
          </w:tcPr>
          <w:p w14:paraId="0011DF70">
            <w:pPr>
              <w:jc w:val="center"/>
              <w:rPr>
                <w:rFonts w:ascii="Times New Roman" w:hAnsi="Times New Roman" w:eastAsia="仿宋_GB2312" w:cs="Times New Roman"/>
                <w:szCs w:val="21"/>
              </w:rPr>
            </w:pPr>
            <w:r>
              <w:rPr>
                <w:rFonts w:ascii="Times New Roman" w:hAnsi="Times New Roman" w:eastAsia="仿宋_GB2312" w:cs="Times New Roman"/>
                <w:szCs w:val="21"/>
              </w:rPr>
              <w:t>城市公共服务活动提升改造工程</w:t>
            </w:r>
          </w:p>
        </w:tc>
        <w:tc>
          <w:tcPr>
            <w:tcW w:w="0" w:type="auto"/>
            <w:vAlign w:val="center"/>
          </w:tcPr>
          <w:p w14:paraId="14A32C50">
            <w:pPr>
              <w:jc w:val="center"/>
              <w:rPr>
                <w:rFonts w:ascii="Times New Roman" w:hAnsi="Times New Roman" w:eastAsia="仿宋_GB2312" w:cs="Times New Roman"/>
                <w:szCs w:val="21"/>
              </w:rPr>
            </w:pPr>
            <w:r>
              <w:rPr>
                <w:rFonts w:ascii="Times New Roman" w:hAnsi="Times New Roman" w:eastAsia="仿宋_GB2312" w:cs="Times New Roman"/>
                <w:szCs w:val="21"/>
              </w:rPr>
              <w:t>23500</w:t>
            </w:r>
          </w:p>
        </w:tc>
      </w:tr>
      <w:tr w14:paraId="61A50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0" w:type="auto"/>
            <w:vAlign w:val="center"/>
          </w:tcPr>
          <w:p w14:paraId="03610B20">
            <w:pPr>
              <w:jc w:val="center"/>
              <w:rPr>
                <w:rFonts w:ascii="Times New Roman" w:hAnsi="Times New Roman" w:eastAsia="仿宋_GB2312" w:cs="Times New Roman"/>
                <w:szCs w:val="21"/>
              </w:rPr>
            </w:pPr>
            <w:r>
              <w:rPr>
                <w:rFonts w:ascii="Times New Roman" w:hAnsi="Times New Roman" w:eastAsia="仿宋_GB2312" w:cs="Times New Roman"/>
                <w:szCs w:val="21"/>
              </w:rPr>
              <w:t>17</w:t>
            </w:r>
          </w:p>
        </w:tc>
        <w:tc>
          <w:tcPr>
            <w:tcW w:w="0" w:type="auto"/>
            <w:vMerge w:val="continue"/>
            <w:vAlign w:val="center"/>
          </w:tcPr>
          <w:p w14:paraId="41EAD6F2">
            <w:pPr>
              <w:jc w:val="center"/>
              <w:rPr>
                <w:rFonts w:ascii="Times New Roman" w:hAnsi="Times New Roman" w:eastAsia="仿宋_GB2312" w:cs="Times New Roman"/>
                <w:szCs w:val="21"/>
              </w:rPr>
            </w:pPr>
          </w:p>
        </w:tc>
        <w:tc>
          <w:tcPr>
            <w:tcW w:w="0" w:type="auto"/>
            <w:vAlign w:val="center"/>
          </w:tcPr>
          <w:p w14:paraId="27AA9BD5">
            <w:pPr>
              <w:jc w:val="center"/>
              <w:rPr>
                <w:rFonts w:ascii="Times New Roman" w:hAnsi="Times New Roman" w:eastAsia="仿宋_GB2312" w:cs="Times New Roman"/>
                <w:szCs w:val="21"/>
              </w:rPr>
            </w:pPr>
            <w:r>
              <w:rPr>
                <w:rFonts w:ascii="Times New Roman" w:hAnsi="Times New Roman" w:eastAsia="仿宋_GB2312" w:cs="Times New Roman"/>
                <w:szCs w:val="21"/>
              </w:rPr>
              <w:t>城市生态韧性建设提升工程</w:t>
            </w:r>
          </w:p>
        </w:tc>
        <w:tc>
          <w:tcPr>
            <w:tcW w:w="0" w:type="auto"/>
            <w:vAlign w:val="center"/>
          </w:tcPr>
          <w:p w14:paraId="7E12880D">
            <w:pPr>
              <w:jc w:val="center"/>
              <w:rPr>
                <w:rFonts w:ascii="Times New Roman" w:hAnsi="Times New Roman" w:eastAsia="仿宋_GB2312" w:cs="Times New Roman"/>
                <w:szCs w:val="21"/>
              </w:rPr>
            </w:pPr>
            <w:r>
              <w:rPr>
                <w:rFonts w:ascii="Times New Roman" w:hAnsi="Times New Roman" w:eastAsia="仿宋_GB2312" w:cs="Times New Roman"/>
                <w:szCs w:val="21"/>
              </w:rPr>
              <w:t>265608</w:t>
            </w:r>
          </w:p>
        </w:tc>
      </w:tr>
      <w:tr w14:paraId="5AD34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0" w:type="auto"/>
            <w:vAlign w:val="center"/>
          </w:tcPr>
          <w:p w14:paraId="28588A8C">
            <w:pPr>
              <w:jc w:val="center"/>
              <w:rPr>
                <w:rFonts w:ascii="Times New Roman" w:hAnsi="Times New Roman" w:eastAsia="仿宋_GB2312" w:cs="Times New Roman"/>
                <w:szCs w:val="21"/>
              </w:rPr>
            </w:pPr>
          </w:p>
        </w:tc>
        <w:tc>
          <w:tcPr>
            <w:tcW w:w="0" w:type="auto"/>
            <w:gridSpan w:val="2"/>
            <w:vAlign w:val="center"/>
          </w:tcPr>
          <w:p w14:paraId="448AFD94">
            <w:pPr>
              <w:jc w:val="center"/>
              <w:rPr>
                <w:rFonts w:ascii="Times New Roman" w:hAnsi="Times New Roman" w:eastAsia="仿宋_GB2312" w:cs="Times New Roman"/>
                <w:szCs w:val="21"/>
              </w:rPr>
            </w:pPr>
            <w:r>
              <w:rPr>
                <w:rFonts w:ascii="Times New Roman" w:hAnsi="Times New Roman" w:eastAsia="仿宋_GB2312" w:cs="Times New Roman"/>
                <w:szCs w:val="21"/>
              </w:rPr>
              <w:t>小计</w:t>
            </w:r>
          </w:p>
        </w:tc>
        <w:tc>
          <w:tcPr>
            <w:tcW w:w="0" w:type="auto"/>
            <w:vAlign w:val="center"/>
          </w:tcPr>
          <w:p w14:paraId="607006C3">
            <w:pPr>
              <w:jc w:val="center"/>
              <w:rPr>
                <w:rFonts w:ascii="Times New Roman" w:hAnsi="Times New Roman" w:eastAsia="仿宋_GB2312" w:cs="Times New Roman"/>
                <w:szCs w:val="21"/>
              </w:rPr>
            </w:pPr>
            <w:r>
              <w:rPr>
                <w:rFonts w:ascii="Times New Roman" w:hAnsi="Times New Roman" w:eastAsia="仿宋_GB2312" w:cs="Times New Roman"/>
                <w:szCs w:val="21"/>
              </w:rPr>
              <w:t>304108</w:t>
            </w:r>
          </w:p>
        </w:tc>
      </w:tr>
      <w:tr w14:paraId="1DFA9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0" w:type="auto"/>
            <w:vAlign w:val="center"/>
          </w:tcPr>
          <w:p w14:paraId="2F7C6243">
            <w:pPr>
              <w:jc w:val="center"/>
              <w:rPr>
                <w:rFonts w:ascii="Times New Roman" w:hAnsi="Times New Roman" w:eastAsia="仿宋_GB2312" w:cs="Times New Roman"/>
                <w:szCs w:val="21"/>
              </w:rPr>
            </w:pPr>
            <w:r>
              <w:rPr>
                <w:rFonts w:ascii="Times New Roman" w:hAnsi="Times New Roman" w:eastAsia="仿宋_GB2312" w:cs="Times New Roman"/>
                <w:szCs w:val="21"/>
              </w:rPr>
              <w:t>18</w:t>
            </w:r>
          </w:p>
        </w:tc>
        <w:tc>
          <w:tcPr>
            <w:tcW w:w="0" w:type="auto"/>
            <w:vMerge w:val="restart"/>
            <w:vAlign w:val="center"/>
          </w:tcPr>
          <w:p w14:paraId="57B229E3">
            <w:pPr>
              <w:jc w:val="center"/>
              <w:rPr>
                <w:rFonts w:ascii="Times New Roman" w:hAnsi="Times New Roman" w:eastAsia="仿宋_GB2312" w:cs="Times New Roman"/>
                <w:szCs w:val="21"/>
              </w:rPr>
            </w:pPr>
            <w:r>
              <w:rPr>
                <w:rFonts w:ascii="Times New Roman" w:hAnsi="Times New Roman" w:eastAsia="仿宋_GB2312" w:cs="Times New Roman"/>
                <w:szCs w:val="21"/>
              </w:rPr>
              <w:t>自然保护地建设及生物多样性保护重点工程</w:t>
            </w:r>
          </w:p>
        </w:tc>
        <w:tc>
          <w:tcPr>
            <w:tcW w:w="0" w:type="auto"/>
            <w:vAlign w:val="center"/>
          </w:tcPr>
          <w:p w14:paraId="5256C23A">
            <w:pPr>
              <w:jc w:val="center"/>
              <w:rPr>
                <w:rFonts w:ascii="Times New Roman" w:hAnsi="Times New Roman" w:eastAsia="仿宋_GB2312" w:cs="Times New Roman"/>
                <w:szCs w:val="21"/>
              </w:rPr>
            </w:pPr>
            <w:r>
              <w:rPr>
                <w:rFonts w:ascii="Times New Roman" w:hAnsi="Times New Roman" w:eastAsia="仿宋_GB2312" w:cs="Times New Roman"/>
                <w:szCs w:val="21"/>
              </w:rPr>
              <w:t>自然保护区保护管理建设</w:t>
            </w:r>
          </w:p>
        </w:tc>
        <w:tc>
          <w:tcPr>
            <w:tcW w:w="0" w:type="auto"/>
            <w:vAlign w:val="center"/>
          </w:tcPr>
          <w:p w14:paraId="37348378">
            <w:pPr>
              <w:jc w:val="center"/>
              <w:rPr>
                <w:rFonts w:ascii="Times New Roman" w:hAnsi="Times New Roman" w:eastAsia="仿宋_GB2312" w:cs="Times New Roman"/>
                <w:szCs w:val="21"/>
              </w:rPr>
            </w:pPr>
            <w:r>
              <w:rPr>
                <w:rFonts w:ascii="Times New Roman" w:hAnsi="Times New Roman" w:eastAsia="仿宋_GB2312" w:cs="Times New Roman"/>
                <w:szCs w:val="21"/>
              </w:rPr>
              <w:t>120</w:t>
            </w:r>
          </w:p>
        </w:tc>
      </w:tr>
      <w:tr w14:paraId="4AEBC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0" w:type="auto"/>
            <w:vAlign w:val="center"/>
          </w:tcPr>
          <w:p w14:paraId="05FF5455">
            <w:pPr>
              <w:jc w:val="center"/>
              <w:rPr>
                <w:rFonts w:ascii="Times New Roman" w:hAnsi="Times New Roman" w:eastAsia="仿宋_GB2312" w:cs="Times New Roman"/>
                <w:szCs w:val="21"/>
              </w:rPr>
            </w:pPr>
            <w:r>
              <w:rPr>
                <w:rFonts w:ascii="Times New Roman" w:hAnsi="Times New Roman" w:eastAsia="仿宋_GB2312" w:cs="Times New Roman"/>
                <w:szCs w:val="21"/>
              </w:rPr>
              <w:t>19</w:t>
            </w:r>
          </w:p>
        </w:tc>
        <w:tc>
          <w:tcPr>
            <w:tcW w:w="0" w:type="auto"/>
            <w:vMerge w:val="continue"/>
            <w:vAlign w:val="center"/>
          </w:tcPr>
          <w:p w14:paraId="0D272706">
            <w:pPr>
              <w:jc w:val="center"/>
              <w:rPr>
                <w:rFonts w:ascii="Times New Roman" w:hAnsi="Times New Roman" w:eastAsia="仿宋_GB2312" w:cs="Times New Roman"/>
                <w:szCs w:val="21"/>
              </w:rPr>
            </w:pPr>
          </w:p>
        </w:tc>
        <w:tc>
          <w:tcPr>
            <w:tcW w:w="0" w:type="auto"/>
            <w:vAlign w:val="center"/>
          </w:tcPr>
          <w:p w14:paraId="66C2CDC7">
            <w:pPr>
              <w:jc w:val="center"/>
              <w:rPr>
                <w:rFonts w:ascii="Times New Roman" w:hAnsi="Times New Roman" w:eastAsia="仿宋_GB2312" w:cs="Times New Roman"/>
                <w:szCs w:val="21"/>
              </w:rPr>
            </w:pPr>
            <w:r>
              <w:rPr>
                <w:rFonts w:ascii="Times New Roman" w:hAnsi="Times New Roman" w:eastAsia="仿宋_GB2312" w:cs="Times New Roman"/>
                <w:szCs w:val="21"/>
              </w:rPr>
              <w:t>生物多样性保护工程</w:t>
            </w:r>
          </w:p>
        </w:tc>
        <w:tc>
          <w:tcPr>
            <w:tcW w:w="0" w:type="auto"/>
            <w:vAlign w:val="center"/>
          </w:tcPr>
          <w:p w14:paraId="0E5E5D0A">
            <w:pPr>
              <w:jc w:val="center"/>
              <w:rPr>
                <w:rFonts w:ascii="Times New Roman" w:hAnsi="Times New Roman" w:eastAsia="仿宋_GB2312" w:cs="Times New Roman"/>
                <w:szCs w:val="21"/>
              </w:rPr>
            </w:pPr>
            <w:r>
              <w:rPr>
                <w:rFonts w:ascii="Times New Roman" w:hAnsi="Times New Roman" w:eastAsia="仿宋_GB2312" w:cs="Times New Roman"/>
                <w:szCs w:val="21"/>
              </w:rPr>
              <w:t>473</w:t>
            </w:r>
          </w:p>
        </w:tc>
      </w:tr>
      <w:tr w14:paraId="47511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0" w:type="auto"/>
            <w:vAlign w:val="center"/>
          </w:tcPr>
          <w:p w14:paraId="1CA04C08">
            <w:pPr>
              <w:jc w:val="center"/>
              <w:rPr>
                <w:rFonts w:ascii="Times New Roman" w:hAnsi="Times New Roman" w:eastAsia="仿宋_GB2312" w:cs="Times New Roman"/>
                <w:szCs w:val="21"/>
              </w:rPr>
            </w:pPr>
          </w:p>
        </w:tc>
        <w:tc>
          <w:tcPr>
            <w:tcW w:w="0" w:type="auto"/>
            <w:gridSpan w:val="2"/>
            <w:vAlign w:val="center"/>
          </w:tcPr>
          <w:p w14:paraId="469AC652">
            <w:pPr>
              <w:jc w:val="center"/>
              <w:rPr>
                <w:rFonts w:ascii="Times New Roman" w:hAnsi="Times New Roman" w:eastAsia="仿宋_GB2312" w:cs="Times New Roman"/>
                <w:szCs w:val="21"/>
              </w:rPr>
            </w:pPr>
            <w:r>
              <w:rPr>
                <w:rFonts w:ascii="Times New Roman" w:hAnsi="Times New Roman" w:eastAsia="仿宋_GB2312" w:cs="Times New Roman"/>
                <w:szCs w:val="21"/>
              </w:rPr>
              <w:t>小计</w:t>
            </w:r>
          </w:p>
        </w:tc>
        <w:tc>
          <w:tcPr>
            <w:tcW w:w="0" w:type="auto"/>
            <w:vAlign w:val="center"/>
          </w:tcPr>
          <w:p w14:paraId="1F8EC3CB">
            <w:pPr>
              <w:jc w:val="center"/>
              <w:rPr>
                <w:rFonts w:ascii="Times New Roman" w:hAnsi="Times New Roman" w:eastAsia="仿宋_GB2312" w:cs="Times New Roman"/>
                <w:szCs w:val="21"/>
              </w:rPr>
            </w:pPr>
            <w:r>
              <w:rPr>
                <w:rFonts w:ascii="Times New Roman" w:hAnsi="Times New Roman" w:eastAsia="仿宋_GB2312" w:cs="Times New Roman"/>
                <w:szCs w:val="21"/>
              </w:rPr>
              <w:t>593</w:t>
            </w:r>
          </w:p>
        </w:tc>
      </w:tr>
      <w:tr w14:paraId="1DF0D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0" w:type="auto"/>
            <w:vAlign w:val="center"/>
          </w:tcPr>
          <w:p w14:paraId="68D7F4BE">
            <w:pPr>
              <w:jc w:val="center"/>
              <w:rPr>
                <w:rFonts w:ascii="Times New Roman" w:hAnsi="Times New Roman" w:eastAsia="仿宋_GB2312" w:cs="Times New Roman"/>
                <w:szCs w:val="21"/>
              </w:rPr>
            </w:pPr>
            <w:r>
              <w:rPr>
                <w:rFonts w:ascii="Times New Roman" w:hAnsi="Times New Roman" w:eastAsia="仿宋_GB2312" w:cs="Times New Roman"/>
                <w:szCs w:val="21"/>
              </w:rPr>
              <w:t>20</w:t>
            </w:r>
          </w:p>
        </w:tc>
        <w:tc>
          <w:tcPr>
            <w:tcW w:w="0" w:type="auto"/>
            <w:vAlign w:val="center"/>
          </w:tcPr>
          <w:p w14:paraId="7BA5C4F5">
            <w:pPr>
              <w:jc w:val="center"/>
              <w:rPr>
                <w:rFonts w:ascii="Times New Roman" w:hAnsi="Times New Roman" w:eastAsia="仿宋_GB2312" w:cs="Times New Roman"/>
                <w:szCs w:val="21"/>
              </w:rPr>
            </w:pPr>
            <w:r>
              <w:rPr>
                <w:rFonts w:ascii="Times New Roman" w:hAnsi="Times New Roman" w:eastAsia="仿宋_GB2312" w:cs="Times New Roman"/>
                <w:szCs w:val="21"/>
              </w:rPr>
              <w:t>生态保护和修复支撑体系重点工程</w:t>
            </w:r>
          </w:p>
        </w:tc>
        <w:tc>
          <w:tcPr>
            <w:tcW w:w="0" w:type="auto"/>
            <w:vAlign w:val="center"/>
          </w:tcPr>
          <w:p w14:paraId="6C22663E">
            <w:pPr>
              <w:jc w:val="center"/>
              <w:rPr>
                <w:rFonts w:ascii="Times New Roman" w:hAnsi="Times New Roman" w:eastAsia="仿宋_GB2312" w:cs="Times New Roman"/>
                <w:szCs w:val="21"/>
              </w:rPr>
            </w:pPr>
            <w:r>
              <w:rPr>
                <w:rFonts w:ascii="Times New Roman" w:hAnsi="Times New Roman" w:eastAsia="仿宋_GB2312" w:cs="Times New Roman"/>
                <w:szCs w:val="21"/>
              </w:rPr>
              <w:t>资源调查和生态监测工程</w:t>
            </w:r>
          </w:p>
        </w:tc>
        <w:tc>
          <w:tcPr>
            <w:tcW w:w="0" w:type="auto"/>
            <w:vAlign w:val="center"/>
          </w:tcPr>
          <w:p w14:paraId="24861270">
            <w:pPr>
              <w:jc w:val="center"/>
              <w:rPr>
                <w:rFonts w:ascii="Times New Roman" w:hAnsi="Times New Roman" w:eastAsia="仿宋_GB2312" w:cs="Times New Roman"/>
                <w:szCs w:val="21"/>
              </w:rPr>
            </w:pPr>
            <w:r>
              <w:rPr>
                <w:rFonts w:ascii="Times New Roman" w:hAnsi="Times New Roman" w:eastAsia="仿宋_GB2312" w:cs="Times New Roman"/>
                <w:szCs w:val="21"/>
              </w:rPr>
              <w:t>90</w:t>
            </w:r>
          </w:p>
        </w:tc>
      </w:tr>
      <w:tr w14:paraId="42229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0" w:type="auto"/>
            <w:vAlign w:val="center"/>
          </w:tcPr>
          <w:p w14:paraId="194F2F5E">
            <w:pPr>
              <w:jc w:val="center"/>
              <w:rPr>
                <w:rFonts w:ascii="Times New Roman" w:hAnsi="Times New Roman" w:eastAsia="仿宋_GB2312" w:cs="Times New Roman"/>
                <w:szCs w:val="21"/>
              </w:rPr>
            </w:pPr>
            <w:r>
              <w:rPr>
                <w:rFonts w:ascii="Times New Roman" w:hAnsi="Times New Roman" w:eastAsia="仿宋_GB2312" w:cs="Times New Roman"/>
                <w:szCs w:val="21"/>
              </w:rPr>
              <w:t> </w:t>
            </w:r>
          </w:p>
        </w:tc>
        <w:tc>
          <w:tcPr>
            <w:tcW w:w="0" w:type="auto"/>
            <w:gridSpan w:val="2"/>
            <w:vAlign w:val="center"/>
          </w:tcPr>
          <w:p w14:paraId="46805CCD">
            <w:pPr>
              <w:jc w:val="center"/>
              <w:rPr>
                <w:rFonts w:ascii="Times New Roman" w:hAnsi="Times New Roman" w:eastAsia="仿宋_GB2312" w:cs="Times New Roman"/>
                <w:szCs w:val="21"/>
              </w:rPr>
            </w:pPr>
            <w:r>
              <w:rPr>
                <w:rFonts w:ascii="Times New Roman" w:hAnsi="Times New Roman" w:eastAsia="仿宋_GB2312" w:cs="Times New Roman"/>
                <w:szCs w:val="21"/>
              </w:rPr>
              <w:t>小计</w:t>
            </w:r>
          </w:p>
        </w:tc>
        <w:tc>
          <w:tcPr>
            <w:tcW w:w="0" w:type="auto"/>
            <w:vAlign w:val="center"/>
          </w:tcPr>
          <w:p w14:paraId="2F33FA9B">
            <w:pPr>
              <w:jc w:val="center"/>
              <w:rPr>
                <w:rFonts w:ascii="Times New Roman" w:hAnsi="Times New Roman" w:eastAsia="仿宋_GB2312" w:cs="Times New Roman"/>
                <w:szCs w:val="21"/>
              </w:rPr>
            </w:pPr>
            <w:r>
              <w:rPr>
                <w:rFonts w:ascii="Times New Roman" w:hAnsi="Times New Roman" w:eastAsia="仿宋_GB2312" w:cs="Times New Roman"/>
                <w:szCs w:val="21"/>
              </w:rPr>
              <w:t>90</w:t>
            </w:r>
          </w:p>
        </w:tc>
      </w:tr>
      <w:tr w14:paraId="22B76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0" w:type="auto"/>
            <w:gridSpan w:val="3"/>
            <w:vAlign w:val="center"/>
          </w:tcPr>
          <w:p w14:paraId="179F4FEC">
            <w:pPr>
              <w:jc w:val="center"/>
              <w:rPr>
                <w:rFonts w:ascii="Times New Roman" w:hAnsi="Times New Roman" w:eastAsia="仿宋_GB2312" w:cs="Times New Roman"/>
                <w:szCs w:val="21"/>
              </w:rPr>
            </w:pPr>
            <w:r>
              <w:rPr>
                <w:rFonts w:ascii="Times New Roman" w:hAnsi="Times New Roman" w:eastAsia="仿宋_GB2312" w:cs="Times New Roman"/>
                <w:b/>
                <w:bCs/>
                <w:szCs w:val="21"/>
              </w:rPr>
              <w:t>合计</w:t>
            </w:r>
          </w:p>
        </w:tc>
        <w:tc>
          <w:tcPr>
            <w:tcW w:w="0" w:type="auto"/>
            <w:vAlign w:val="center"/>
          </w:tcPr>
          <w:p w14:paraId="4B6064F0">
            <w:pPr>
              <w:jc w:val="center"/>
              <w:rPr>
                <w:rFonts w:ascii="Times New Roman" w:hAnsi="Times New Roman" w:eastAsia="仿宋_GB2312" w:cs="Times New Roman"/>
                <w:szCs w:val="21"/>
              </w:rPr>
            </w:pPr>
            <w:r>
              <w:rPr>
                <w:rFonts w:ascii="Times New Roman" w:hAnsi="Times New Roman" w:eastAsia="仿宋_GB2312" w:cs="Times New Roman"/>
                <w:b/>
                <w:bCs/>
                <w:szCs w:val="21"/>
              </w:rPr>
              <w:t>1880561.9</w:t>
            </w:r>
          </w:p>
        </w:tc>
      </w:tr>
    </w:tbl>
    <w:p w14:paraId="0A2A4C32">
      <w:pPr>
        <w:pStyle w:val="3"/>
        <w:spacing w:beforeLines="50" w:afterLines="50"/>
        <w:ind w:firstLine="0" w:firstLineChars="0"/>
        <w:jc w:val="center"/>
        <w:rPr>
          <w:rFonts w:ascii="楷体" w:hAnsi="楷体" w:eastAsia="楷体"/>
          <w:b/>
          <w:bCs w:val="0"/>
        </w:rPr>
      </w:pPr>
      <w:bookmarkStart w:id="55" w:name="_Toc181820194"/>
      <w:r>
        <w:rPr>
          <w:rFonts w:hint="eastAsia" w:ascii="楷体" w:hAnsi="楷体" w:eastAsia="楷体"/>
          <w:b/>
          <w:bCs w:val="0"/>
        </w:rPr>
        <w:t>第二节 资金筹措</w:t>
      </w:r>
      <w:bookmarkEnd w:id="55"/>
    </w:p>
    <w:p w14:paraId="39F2F1D5">
      <w:pPr>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积极争取中央奖补资金。</w:t>
      </w:r>
      <w:r>
        <w:rPr>
          <w:rFonts w:hint="eastAsia" w:ascii="Calibri" w:hAnsi="Calibri" w:eastAsia="仿宋_GB2312" w:cs="Times New Roman"/>
          <w:sz w:val="32"/>
          <w:szCs w:val="32"/>
        </w:rPr>
        <w:t>按照《重点生态保护修复治理资金管理办法》《国家发展改革委关于印发生态保护修复中央预算内投资专项管理办法的通知》有关规定，坚持保护优先、自然恢复为主，坚持综合治理、系统治理、源头治理，积极申报中央财政支持山水林田湖草沙一体化保护和修复工程项目，争取中央财政基础奖补资金和差异奖补资金。</w:t>
      </w:r>
    </w:p>
    <w:p w14:paraId="5151ED86">
      <w:pPr>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优先整合各类专项资金。</w:t>
      </w:r>
      <w:r>
        <w:rPr>
          <w:rFonts w:hint="eastAsia" w:ascii="Calibri" w:hAnsi="Calibri" w:eastAsia="仿宋_GB2312" w:cs="Times New Roman"/>
          <w:sz w:val="32"/>
          <w:szCs w:val="32"/>
        </w:rPr>
        <w:t>整合中央、省、市专项配套资金其他财政资金。将区域内财政用于废弃矿山生态修复、水系连通及生态提升、中小流域治理、造林绿化等相关专项资金，优先支持或向“山水林田湖草”生态修复项目倾斜。</w:t>
      </w:r>
    </w:p>
    <w:p w14:paraId="15B89170">
      <w:pPr>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鼓励支持社会资金投入。</w:t>
      </w:r>
      <w:r>
        <w:rPr>
          <w:rFonts w:hint="eastAsia" w:ascii="Calibri" w:hAnsi="Calibri" w:eastAsia="仿宋_GB2312" w:cs="Times New Roman"/>
          <w:sz w:val="32"/>
          <w:szCs w:val="32"/>
        </w:rPr>
        <w:t>积极引入债券金融资金以及社会资本，鼓励和支持社会资本参与生态保护修复项目投资、设计、修复、管护等全过程，在具有收益与产品的生态修复领域，积极引入各方社会资本参与，在产权激励、指标使用、碳汇交易、林木采伐、资源利用等方便提供政策支持以及财税支持，保障社会投资主体收益。</w:t>
      </w:r>
    </w:p>
    <w:p w14:paraId="62B63901">
      <w:pPr>
        <w:pStyle w:val="3"/>
        <w:spacing w:beforeLines="50" w:afterLines="50"/>
        <w:ind w:firstLine="0" w:firstLineChars="0"/>
        <w:jc w:val="center"/>
        <w:rPr>
          <w:rFonts w:ascii="楷体" w:hAnsi="楷体" w:eastAsia="楷体"/>
          <w:b/>
          <w:bCs w:val="0"/>
        </w:rPr>
      </w:pPr>
      <w:bookmarkStart w:id="56" w:name="_Toc181820195"/>
      <w:r>
        <w:rPr>
          <w:rFonts w:hint="eastAsia" w:ascii="楷体" w:hAnsi="楷体" w:eastAsia="楷体"/>
          <w:b/>
          <w:bCs w:val="0"/>
        </w:rPr>
        <w:t>第三节 规划实施效益</w:t>
      </w:r>
      <w:bookmarkEnd w:id="56"/>
    </w:p>
    <w:p w14:paraId="77FAB5E6">
      <w:pPr>
        <w:pStyle w:val="4"/>
        <w:spacing w:before="0" w:after="0" w:line="600" w:lineRule="exact"/>
        <w:ind w:firstLine="643"/>
        <w:rPr>
          <w:rFonts w:ascii="Calibri" w:hAnsi="Calibri" w:eastAsia="仿宋_GB2312" w:cs="Times New Roman"/>
        </w:rPr>
      </w:pPr>
      <w:r>
        <w:rPr>
          <w:rFonts w:hint="eastAsia" w:ascii="仿宋" w:hAnsi="仿宋" w:eastAsia="仿宋"/>
        </w:rPr>
        <w:t>一、生态效益</w:t>
      </w:r>
    </w:p>
    <w:p w14:paraId="42298BBB">
      <w:pPr>
        <w:spacing w:line="600" w:lineRule="exact"/>
        <w:ind w:firstLine="640" w:firstLineChars="200"/>
        <w:rPr>
          <w:rFonts w:ascii="Times New Roman" w:hAnsi="Times New Roman" w:eastAsia="仿宋_GB2312" w:cs="Times New Roman"/>
          <w:sz w:val="32"/>
          <w:szCs w:val="32"/>
        </w:rPr>
      </w:pPr>
      <w:r>
        <w:rPr>
          <w:rFonts w:hint="eastAsia" w:ascii="Calibri" w:hAnsi="Calibri" w:eastAsia="仿宋_GB2312" w:cs="Times New Roman"/>
          <w:sz w:val="32"/>
          <w:szCs w:val="32"/>
        </w:rPr>
        <w:t>通过分区实施阳江市国土空间生态修复专项规划，构建生态系统保护修复整体格局，提升阳江市域生态安全水平。</w:t>
      </w:r>
      <w:r>
        <w:rPr>
          <w:rFonts w:ascii="Times New Roman" w:hAnsi="Times New Roman" w:eastAsia="仿宋_GB2312" w:cs="Times New Roman"/>
          <w:sz w:val="32"/>
          <w:szCs w:val="32"/>
        </w:rPr>
        <w:t>构建阳江市“两屏一脉，多廊多点”的生态修复空间格局。通过废弃矿山生态修复、水环境治理、水生态修复、林业生态系统保护与修复、海岸防护与整治、海洋污染治理、生物安全保障等工程项目，到2025年末，湿地保护率达到35%，，森林覆盖率达57.9%，林地保有量达4652.18平方公里，建设高质量碧道长度达255.8公里，新增生态修复面积258.76平方公里，防治地质灾害面积3996.19平方公里。有效改善山体生态环境，增强河湖水系连通，优化流域水系格局，改善水生态功能，提高全市森林生态系统面积和质量，形成良好的绿色基础设施网络格局，提升生物多样性维护、水源涵养、水土保持和水质净化等生态系统服务功能，生态系统稳定性持续提升，生态系统服务功能进一步增强，生态保护和修复协调机制基本建立，夯实绿美阳江的生态根基。</w:t>
      </w:r>
    </w:p>
    <w:p w14:paraId="25F288E8">
      <w:pPr>
        <w:pStyle w:val="4"/>
        <w:spacing w:before="0" w:after="0" w:line="600" w:lineRule="exact"/>
        <w:ind w:firstLine="643"/>
        <w:rPr>
          <w:rFonts w:ascii="仿宋" w:hAnsi="仿宋" w:eastAsia="仿宋"/>
        </w:rPr>
      </w:pPr>
      <w:r>
        <w:rPr>
          <w:rFonts w:hint="eastAsia" w:ascii="仿宋" w:hAnsi="仿宋" w:eastAsia="仿宋"/>
        </w:rPr>
        <w:t>二、社会效益</w:t>
      </w:r>
    </w:p>
    <w:p w14:paraId="203B9FB1">
      <w:pPr>
        <w:spacing w:line="600" w:lineRule="exact"/>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在国土空间生态修复专项规划实施过程中，政府、企业和人民群众对生态保护修复的重要性和价值将有更充分的认识，有利于树立尊重自然、保护自然、善待自然的科学理念，营造全社会关心生态、支持生态的良好氛围，引导、鼓励居民在生产和生活中形成保护生态、减少污染的良好习惯，自觉践行绿色生产生活方式，形成全社会共治、共管、共享的生态文明新格局，实现人与自然和谐发展。同时国土空间生态修复专项规划重点项目的实施，将极大改善人居环境，显著改善城镇地区和农村区域的生态环境质量，同时推动当地美丽乡村建设，改善生产生活条件、提升民生福祉。全面形成绿色生产生活方式，提供更多的、质量更高的生态产品，巩固拓展脱贫攻坚成果，助力乡村振兴。</w:t>
      </w:r>
    </w:p>
    <w:p w14:paraId="6277097F">
      <w:pPr>
        <w:pStyle w:val="4"/>
        <w:spacing w:before="0" w:after="0" w:line="600" w:lineRule="exact"/>
        <w:ind w:firstLine="643"/>
        <w:rPr>
          <w:rFonts w:ascii="仿宋" w:hAnsi="仿宋" w:eastAsia="仿宋"/>
        </w:rPr>
      </w:pPr>
      <w:r>
        <w:rPr>
          <w:rFonts w:hint="eastAsia" w:ascii="仿宋" w:hAnsi="仿宋" w:eastAsia="仿宋"/>
        </w:rPr>
        <w:t>三、经济效益</w:t>
      </w:r>
    </w:p>
    <w:p w14:paraId="31B0F53C">
      <w:pPr>
        <w:ind w:firstLine="640" w:firstLineChars="200"/>
        <w:rPr>
          <w:rFonts w:ascii="Calibri" w:hAnsi="Calibri" w:eastAsia="仿宋_GB2312" w:cs="Times New Roman"/>
          <w:sz w:val="32"/>
          <w:szCs w:val="32"/>
        </w:rPr>
      </w:pPr>
      <w:r>
        <w:rPr>
          <w:rFonts w:ascii="Times New Roman" w:hAnsi="Times New Roman" w:eastAsia="仿宋_GB2312" w:cs="Times New Roman"/>
          <w:sz w:val="32"/>
          <w:szCs w:val="32"/>
        </w:rPr>
        <w:t>实施生态化高标准农田建设有效的增加农产品和产量，改善农田生态环境，提高耕地质量，提升粮食产能，为阳江市提供更为优质的生态农产品，亩均粮食增产10%-20%，亩均每年增收节支约500元；公园廊道建设、滨海景观资源生态修复等工程的实施，提升城市绿色空间，在漠阳江沿线、海陵岛等区域内的土地得以升值；通过实施水景观提升、水生态修复、林业生态系统保护与修复、自然保护地建设及湿地保护与修复等工程，使得区域自然生态环境得到改</w:t>
      </w:r>
      <w:r>
        <w:rPr>
          <w:rFonts w:hint="eastAsia" w:ascii="Calibri" w:hAnsi="Calibri" w:eastAsia="仿宋_GB2312" w:cs="Times New Roman"/>
          <w:sz w:val="32"/>
          <w:szCs w:val="32"/>
        </w:rPr>
        <w:t>善，大幅提升生态系统服务功能，恢复生物多样性，改善当地水土资源条件，为生态旅游、林竹康养、林下经济等生态产业发展奠定良好基础，有助于促进形成特色突出、布局合理、具有较强竞争优势的生态产业带，推动绿色生态、本地资源与富民产业相结合，将生态优势转化为经济优势。</w:t>
      </w:r>
    </w:p>
    <w:p w14:paraId="465AB192">
      <w:pPr>
        <w:widowControl/>
        <w:jc w:val="left"/>
      </w:pPr>
      <w:r>
        <w:br w:type="page"/>
      </w:r>
    </w:p>
    <w:p w14:paraId="0A853E1A">
      <w:pPr>
        <w:pStyle w:val="2"/>
        <w:pageBreakBefore w:val="0"/>
        <w:numPr>
          <w:ilvl w:val="0"/>
          <w:numId w:val="1"/>
        </w:numPr>
        <w:spacing w:line="240" w:lineRule="auto"/>
        <w:rPr>
          <w:rFonts w:ascii="宋体" w:hAnsi="宋体" w:eastAsia="宋体" w:cs="方正小标宋简体"/>
          <w:b/>
          <w:bCs/>
          <w:sz w:val="40"/>
          <w:szCs w:val="40"/>
        </w:rPr>
      </w:pPr>
      <w:bookmarkStart w:id="57" w:name="_Toc181820196"/>
      <w:r>
        <w:rPr>
          <w:rFonts w:hint="eastAsia" w:ascii="宋体" w:hAnsi="宋体" w:eastAsia="宋体" w:cs="方正小标宋简体"/>
          <w:b/>
          <w:bCs/>
          <w:sz w:val="40"/>
          <w:szCs w:val="40"/>
        </w:rPr>
        <w:t>保障机制</w:t>
      </w:r>
      <w:bookmarkEnd w:id="57"/>
    </w:p>
    <w:p w14:paraId="60D59E02">
      <w:pPr>
        <w:pStyle w:val="3"/>
        <w:spacing w:beforeLines="100" w:afterLines="50"/>
        <w:ind w:firstLine="0" w:firstLineChars="0"/>
        <w:jc w:val="center"/>
        <w:rPr>
          <w:rFonts w:ascii="楷体" w:hAnsi="楷体" w:eastAsia="楷体"/>
          <w:b/>
          <w:bCs w:val="0"/>
        </w:rPr>
      </w:pPr>
      <w:bookmarkStart w:id="58" w:name="_Toc181820197"/>
      <w:r>
        <w:rPr>
          <w:rFonts w:hint="eastAsia" w:ascii="楷体" w:hAnsi="楷体" w:eastAsia="楷体"/>
          <w:b/>
          <w:bCs w:val="0"/>
        </w:rPr>
        <w:t>第一节 加强组织领导</w:t>
      </w:r>
      <w:bookmarkEnd w:id="58"/>
    </w:p>
    <w:p w14:paraId="7830263E">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加强规划实施政府主导，建立跨部门的工作协调机制。</w:t>
      </w:r>
      <w:r>
        <w:rPr>
          <w:rFonts w:hint="eastAsia" w:ascii="Calibri" w:hAnsi="Calibri" w:eastAsia="仿宋_GB2312" w:cs="Times New Roman"/>
          <w:sz w:val="32"/>
          <w:szCs w:val="32"/>
        </w:rPr>
        <w:t>建立由阳江市人民政府统一领导，阳江市自然资源局组织协调，发改、财政、生态环境等有关部门参加的国土空间生态修复项目联合执行管理机构，明确各部门职责分工，为落实国土空间生态修复项目管理职能提供有效的组织保障。强化跨区域、跨部门、跨行业的协调配合，建立“山水林田湖草海”生态保护和修复工作协调机制，实行定期研究和会商制度，协调部门和跨区行动，及时解决重大问题，形成党委领导，各有关部门、各级政府共治、共建、共管，社会资本主体积极参与，社会组织和公众有效监督的工作机制。</w:t>
      </w:r>
    </w:p>
    <w:p w14:paraId="2C607E4F">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建立国土空间生态修复绩效考核机制。</w:t>
      </w:r>
      <w:r>
        <w:rPr>
          <w:rFonts w:hint="eastAsia" w:ascii="Calibri" w:hAnsi="Calibri" w:eastAsia="仿宋_GB2312" w:cs="Times New Roman"/>
          <w:sz w:val="32"/>
          <w:szCs w:val="32"/>
        </w:rPr>
        <w:t>建立统一的监管机制，包括统一的监管平台、统一的评价指标体系和考核体系，对各部门责任主体实行统一评价与考核。落实市、县（区）人民政府国土空间生态修复主体责任，将保护修复目标、任务以及重大工程分解落实到各级党委、政府及各部门，开展规划实施情况监督检查、中期评估和总结评估，强化重大工程绩效考核制度，适时发布考核结果，作为有关资金项目安排的重要依据，相关考核情况纳入各级政府综合考核体系。</w:t>
      </w:r>
    </w:p>
    <w:p w14:paraId="590C9B77">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落实规划传导机制。</w:t>
      </w:r>
      <w:r>
        <w:rPr>
          <w:rFonts w:hint="eastAsia" w:ascii="Calibri" w:hAnsi="Calibri" w:eastAsia="仿宋_GB2312" w:cs="Times New Roman"/>
          <w:sz w:val="32"/>
          <w:szCs w:val="32"/>
        </w:rPr>
        <w:t>各市、县（区）要将市级生态修复专项规划作为实施国土空间生态保护修复工作的重要依据，在编制辖区内国土空间生态修复规划时认真落实，细化市级规划确定的国土空间生态保护和修复目标、修复分区，明确重点项目位置。加强本地国土空间生态修复规划与国土空间总体规划衔接，并将核心内容纳入国土空间总体规划中。</w:t>
      </w:r>
    </w:p>
    <w:p w14:paraId="72B342CA">
      <w:pPr>
        <w:pStyle w:val="3"/>
        <w:spacing w:beforeLines="50" w:afterLines="50"/>
        <w:ind w:firstLine="0" w:firstLineChars="0"/>
        <w:jc w:val="center"/>
        <w:rPr>
          <w:rFonts w:ascii="楷体" w:hAnsi="楷体" w:eastAsia="楷体"/>
          <w:b/>
          <w:bCs w:val="0"/>
        </w:rPr>
      </w:pPr>
      <w:bookmarkStart w:id="59" w:name="_Toc181820198"/>
      <w:r>
        <w:rPr>
          <w:rFonts w:hint="eastAsia" w:ascii="楷体" w:hAnsi="楷体" w:eastAsia="楷体"/>
          <w:b/>
          <w:bCs w:val="0"/>
        </w:rPr>
        <w:t>第二节 创新政策体系</w:t>
      </w:r>
      <w:bookmarkEnd w:id="59"/>
    </w:p>
    <w:p w14:paraId="39FEE758">
      <w:pPr>
        <w:spacing w:line="600" w:lineRule="exact"/>
        <w:ind w:firstLine="643" w:firstLineChars="200"/>
        <w:rPr>
          <w:rFonts w:ascii="Times New Roman" w:hAnsi="Times New Roman" w:eastAsia="仿宋_GB2312" w:cs="Times New Roman"/>
          <w:sz w:val="32"/>
          <w:szCs w:val="32"/>
        </w:rPr>
      </w:pPr>
      <w:r>
        <w:rPr>
          <w:rFonts w:hint="eastAsia" w:ascii="Calibri" w:hAnsi="Calibri" w:eastAsia="仿宋_GB2312" w:cs="Times New Roman"/>
          <w:b/>
          <w:bCs/>
          <w:sz w:val="32"/>
          <w:szCs w:val="32"/>
        </w:rPr>
        <w:t>完善生态产品价值实现机制。</w:t>
      </w:r>
      <w:r>
        <w:rPr>
          <w:rFonts w:hint="eastAsia" w:ascii="Calibri" w:hAnsi="Calibri" w:eastAsia="仿宋_GB2312" w:cs="Times New Roman"/>
          <w:sz w:val="32"/>
          <w:szCs w:val="32"/>
        </w:rPr>
        <w:t>积极探索政府主导、企业和社会各界参与、市场化运作、可持续的生态产品价值实现路径，提升国土空间生态保护修复项目的市场化程度。通过生态保护修复，扩大优质生态产品的供给能力，实现生态产品价值转化。建立生态产品的生产、流通、消费与保护的全过程价值实现机制，建立健全归属清晰、权责明确，监管有效的自然资源资产产权制度；打造阳江特色生态产品，将生态价值附着于农产品、工业品、服务产品中，转化为可以直接市场交易的商品，让“好山好水”有价值实现的机制，推动绿色生态、本地资源与富民产业有机结合。探索将分散的自然资源使用权或经营权进行集中流转和专业化运营，开展生态资源指标及产权交易，推进排污权、用能权、用水权、碳排放权市场化交易，遵循受益</w:t>
      </w:r>
      <w:r>
        <w:rPr>
          <w:rFonts w:ascii="Times New Roman" w:hAnsi="Times New Roman" w:eastAsia="仿宋_GB2312" w:cs="Times New Roman"/>
          <w:sz w:val="32"/>
          <w:szCs w:val="32"/>
        </w:rPr>
        <w:t>者付费原则。加强对生态修复项目实施后的生态系统服务价值（GEP）的检测与核算，做好生态修复前后的对比与成效跟踪。</w:t>
      </w:r>
    </w:p>
    <w:p w14:paraId="007C2E74">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探索多元化生态补偿机制，落实资金保障。</w:t>
      </w:r>
      <w:r>
        <w:rPr>
          <w:rFonts w:hint="eastAsia" w:ascii="Calibri" w:hAnsi="Calibri" w:eastAsia="仿宋_GB2312" w:cs="Times New Roman"/>
          <w:sz w:val="32"/>
          <w:szCs w:val="32"/>
        </w:rPr>
        <w:t>在完善基本生态补偿制度的基础上，优化“纵向生态补偿”，创新“横向生态补偿”。对各级自然保护地、禁止开发区域或其他特别限制的生态空间，执行以各级财政资金为主的生态保护补偿制度，积极向上争取建立稳定的财政投入机制，优化财政资金支持的“权益型”补偿机制。建立和完善政府为主导、市场推进、社会组织和公众参与的资金筹措机制。鼓励和支持社会资本参与生态保护，调动社会资本参与生态保护修复的积极性。</w:t>
      </w:r>
    </w:p>
    <w:p w14:paraId="496833B3">
      <w:pPr>
        <w:pStyle w:val="3"/>
        <w:spacing w:beforeLines="50" w:afterLines="50"/>
        <w:ind w:firstLine="0" w:firstLineChars="0"/>
        <w:jc w:val="center"/>
        <w:rPr>
          <w:rFonts w:ascii="楷体" w:hAnsi="楷体" w:eastAsia="楷体"/>
          <w:b/>
          <w:bCs w:val="0"/>
        </w:rPr>
      </w:pPr>
      <w:bookmarkStart w:id="60" w:name="_Toc181820199"/>
      <w:r>
        <w:rPr>
          <w:rFonts w:hint="eastAsia" w:ascii="楷体" w:hAnsi="楷体" w:eastAsia="楷体"/>
          <w:b/>
          <w:bCs w:val="0"/>
        </w:rPr>
        <w:t>第三节 加强科技支撑</w:t>
      </w:r>
      <w:bookmarkEnd w:id="60"/>
    </w:p>
    <w:p w14:paraId="74C4BAEC">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完善技术标准体系。</w:t>
      </w:r>
      <w:r>
        <w:rPr>
          <w:rFonts w:hint="eastAsia" w:ascii="Calibri" w:hAnsi="Calibri" w:eastAsia="仿宋_GB2312" w:cs="Times New Roman"/>
          <w:sz w:val="32"/>
          <w:szCs w:val="32"/>
        </w:rPr>
        <w:t>加强技术标准规范配套、相关专题研究，加强生态修复科研攻关和技术支撑，推广示范适用技术，构建调查、监测、修复、评估生态修复技术标准体系。</w:t>
      </w:r>
    </w:p>
    <w:p w14:paraId="79DCE235">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加强信息化应用。</w:t>
      </w:r>
      <w:r>
        <w:rPr>
          <w:rFonts w:hint="eastAsia" w:ascii="Calibri" w:hAnsi="Calibri" w:eastAsia="仿宋_GB2312" w:cs="Times New Roman"/>
          <w:sz w:val="32"/>
          <w:szCs w:val="32"/>
        </w:rPr>
        <w:t>依托国土空间基础信息平台和国土空间规划“一张图”实施监督信息系统，搭建市级国土空间生态修复管理信息系统，开展项目申报、规划设计、工程施工、竣工验收、综合评估等全生命周期跟踪监管，实现全市生态修复工作的精细化管理。</w:t>
      </w:r>
    </w:p>
    <w:p w14:paraId="5721FB5B">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加强动态监测监管。</w:t>
      </w:r>
      <w:r>
        <w:rPr>
          <w:rFonts w:hint="eastAsia" w:ascii="Calibri" w:hAnsi="Calibri" w:eastAsia="仿宋_GB2312" w:cs="Times New Roman"/>
          <w:sz w:val="32"/>
          <w:szCs w:val="32"/>
        </w:rPr>
        <w:t>充分利用陆海观测卫星和各类地面监测站点开展“空天地”一体化全覆盖监测，及时掌握生态空间变化情况，建立信息共享机制并定期向社会公布。</w:t>
      </w:r>
    </w:p>
    <w:p w14:paraId="2363C1E4">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增强科技创新能力。</w:t>
      </w:r>
      <w:r>
        <w:rPr>
          <w:rFonts w:hint="eastAsia" w:ascii="Calibri" w:hAnsi="Calibri" w:eastAsia="仿宋_GB2312" w:cs="Times New Roman"/>
          <w:sz w:val="32"/>
          <w:szCs w:val="32"/>
        </w:rPr>
        <w:t>加强生态保护修复先进技术的引进、推广，与国家级科研院所、高校和广东省科研机构密切合作，建立健全人才引进、培养和使用激励机制。建立专项基金，给予主导产业的高端人才优惠政策，吸引生态修复领域所需的各类高科技人才落户。培养一支懂业务、善协调、会管理的生态保护修复专业队伍。</w:t>
      </w:r>
    </w:p>
    <w:p w14:paraId="7C1C987C">
      <w:pPr>
        <w:pStyle w:val="3"/>
        <w:spacing w:beforeLines="50" w:afterLines="50"/>
        <w:ind w:firstLine="0" w:firstLineChars="0"/>
        <w:jc w:val="center"/>
        <w:rPr>
          <w:rFonts w:ascii="楷体" w:hAnsi="楷体" w:eastAsia="楷体"/>
          <w:b/>
          <w:bCs w:val="0"/>
        </w:rPr>
      </w:pPr>
      <w:bookmarkStart w:id="61" w:name="_Toc181820200"/>
      <w:r>
        <w:rPr>
          <w:rFonts w:hint="eastAsia" w:ascii="楷体" w:hAnsi="楷体" w:eastAsia="楷体"/>
          <w:b/>
          <w:bCs w:val="0"/>
        </w:rPr>
        <w:t>第四节 强化评估监管</w:t>
      </w:r>
      <w:bookmarkEnd w:id="61"/>
    </w:p>
    <w:p w14:paraId="2461A2F9">
      <w:pPr>
        <w:spacing w:line="600" w:lineRule="exact"/>
        <w:ind w:firstLine="643" w:firstLineChars="200"/>
        <w:rPr>
          <w:rFonts w:ascii="Calibri" w:hAnsi="Calibri" w:eastAsia="仿宋_GB2312" w:cs="Times New Roman"/>
          <w:b/>
          <w:bCs/>
          <w:sz w:val="32"/>
          <w:szCs w:val="32"/>
        </w:rPr>
      </w:pPr>
      <w:r>
        <w:rPr>
          <w:rFonts w:hint="eastAsia" w:ascii="Calibri" w:hAnsi="Calibri" w:eastAsia="仿宋_GB2312" w:cs="Times New Roman"/>
          <w:b/>
          <w:bCs/>
          <w:sz w:val="32"/>
          <w:szCs w:val="32"/>
        </w:rPr>
        <w:t>完善生态保护修复评估体系。</w:t>
      </w:r>
      <w:r>
        <w:rPr>
          <w:rFonts w:hint="eastAsia" w:ascii="Calibri" w:hAnsi="Calibri" w:eastAsia="仿宋_GB2312" w:cs="Times New Roman"/>
          <w:sz w:val="32"/>
          <w:szCs w:val="32"/>
        </w:rPr>
        <w:t>构建生态修复标准体系，加快制定覆盖重点项目、重大工程和重点区域以及贯穿问题识别、方案制定、过程管控、成效评估等重要监管环节的生态修复标准。</w:t>
      </w:r>
    </w:p>
    <w:p w14:paraId="58AD1007">
      <w:pPr>
        <w:spacing w:line="600" w:lineRule="exact"/>
        <w:ind w:firstLine="643" w:firstLineChars="200"/>
        <w:rPr>
          <w:rFonts w:ascii="Calibri" w:hAnsi="Calibri" w:eastAsia="仿宋_GB2312" w:cs="Times New Roman"/>
          <w:sz w:val="32"/>
          <w:szCs w:val="32"/>
        </w:rPr>
      </w:pPr>
      <w:r>
        <w:rPr>
          <w:rFonts w:hint="eastAsia" w:ascii="Calibri" w:hAnsi="Calibri" w:eastAsia="仿宋_GB2312" w:cs="Times New Roman"/>
          <w:b/>
          <w:bCs/>
          <w:sz w:val="32"/>
          <w:szCs w:val="32"/>
        </w:rPr>
        <w:t>探索建立规划实施评估调整机制。</w:t>
      </w:r>
      <w:r>
        <w:rPr>
          <w:rFonts w:hint="eastAsia" w:ascii="Calibri" w:hAnsi="Calibri" w:eastAsia="仿宋_GB2312" w:cs="Times New Roman"/>
          <w:sz w:val="32"/>
          <w:szCs w:val="32"/>
        </w:rPr>
        <w:t>强化对规划实施情况跟踪分析，动态分析本规划的实施进展情况，特别是约束性指标完成情况。做好规划实施中期评估和总结评估，全面分析检查规划实施效果及各项政策措施落实情况，及时提出评估改进意见，适时启动对规划进行调整，确保规划目标的有效落实。</w:t>
      </w:r>
    </w:p>
    <w:p w14:paraId="5EA87087">
      <w:pPr>
        <w:pStyle w:val="3"/>
        <w:spacing w:beforeLines="50" w:afterLines="50"/>
        <w:ind w:firstLine="0" w:firstLineChars="0"/>
        <w:jc w:val="center"/>
        <w:rPr>
          <w:rFonts w:ascii="楷体" w:hAnsi="楷体" w:eastAsia="楷体"/>
          <w:b/>
          <w:bCs w:val="0"/>
        </w:rPr>
      </w:pPr>
      <w:bookmarkStart w:id="62" w:name="_Toc181820201"/>
      <w:r>
        <w:rPr>
          <w:rFonts w:hint="eastAsia" w:ascii="楷体" w:hAnsi="楷体" w:eastAsia="楷体"/>
          <w:b/>
          <w:bCs w:val="0"/>
        </w:rPr>
        <w:t>第五节 鼓励公众参与</w:t>
      </w:r>
      <w:bookmarkEnd w:id="62"/>
    </w:p>
    <w:p w14:paraId="76884F86">
      <w:pPr>
        <w:spacing w:line="600" w:lineRule="exact"/>
        <w:ind w:firstLine="640" w:firstLineChars="200"/>
        <w:rPr>
          <w:rFonts w:ascii="Calibri" w:hAnsi="Calibri" w:eastAsia="仿宋_GB2312" w:cs="Times New Roman"/>
          <w:sz w:val="32"/>
          <w:szCs w:val="32"/>
        </w:rPr>
        <w:sectPr>
          <w:footerReference r:id="rId4" w:type="default"/>
          <w:footnotePr>
            <w:numRestart w:val="eachPage"/>
          </w:footnotePr>
          <w:pgSz w:w="11906" w:h="16838"/>
          <w:pgMar w:top="1440" w:right="1800" w:bottom="1440" w:left="1800" w:header="851" w:footer="992" w:gutter="0"/>
          <w:pgNumType w:start="1"/>
          <w:cols w:space="425" w:num="1"/>
          <w:docGrid w:type="lines" w:linePitch="312" w:charSpace="0"/>
        </w:sectPr>
      </w:pPr>
      <w:r>
        <w:rPr>
          <w:rFonts w:hint="eastAsia" w:ascii="Calibri" w:hAnsi="Calibri" w:eastAsia="仿宋_GB2312" w:cs="Times New Roman"/>
          <w:sz w:val="32"/>
          <w:szCs w:val="32"/>
        </w:rPr>
        <w:t>强化公众参与意识，加强规划与公众之间的互动，注重多层次、多形式的规划宣传，将规划实施变成全社会参与的共同行动。建立健全多方协商机制，充分发挥各类媒体作用，积极开展政策解读和舆论引导，及时回应社会关切，扩大公众和社会各界参与程度，提高全社会对生态保护修复的认识，为国土空间生态修复规划实施营造良好社会氛围。通过新闻媒体广泛征求和听取公众意见，适时宣传规划工作的重要部署、重大进展和重要成果，协调各方利益，营造全民共保共建共享的社会氛围。</w:t>
      </w:r>
    </w:p>
    <w:p w14:paraId="6BD9A759">
      <w:pPr>
        <w:pStyle w:val="2"/>
        <w:pageBreakBefore w:val="0"/>
        <w:spacing w:line="240" w:lineRule="auto"/>
        <w:jc w:val="both"/>
        <w:rPr>
          <w:rFonts w:ascii="仿宋_GB2312" w:eastAsia="仿宋_GB2312"/>
          <w:sz w:val="28"/>
        </w:rPr>
      </w:pPr>
      <w:bookmarkStart w:id="63" w:name="_Toc181820202"/>
      <w:r>
        <w:rPr>
          <w:rFonts w:hint="eastAsia" w:ascii="宋体" w:hAnsi="宋体" w:eastAsia="宋体" w:cs="方正小标宋简体"/>
          <w:b/>
          <w:bCs/>
          <w:sz w:val="40"/>
          <w:szCs w:val="40"/>
        </w:rPr>
        <w:t>附表一 规划指标表</w:t>
      </w:r>
      <w:bookmarkEnd w:id="63"/>
    </w:p>
    <w:p w14:paraId="3FA6B077">
      <w:pPr>
        <w:ind w:firstLine="640"/>
        <w:rPr>
          <w:rFonts w:ascii="仿宋_GB2312" w:eastAsia="仿宋_GB2312"/>
        </w:rPr>
      </w:pP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6"/>
        <w:gridCol w:w="646"/>
        <w:gridCol w:w="3192"/>
        <w:gridCol w:w="748"/>
        <w:gridCol w:w="967"/>
        <w:gridCol w:w="1602"/>
        <w:gridCol w:w="1585"/>
        <w:gridCol w:w="703"/>
        <w:gridCol w:w="4045"/>
      </w:tblGrid>
      <w:tr w14:paraId="06126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242" w:type="pct"/>
            <w:vAlign w:val="center"/>
          </w:tcPr>
          <w:p w14:paraId="2ACD6552">
            <w:pPr>
              <w:widowControl/>
              <w:jc w:val="center"/>
              <w:rPr>
                <w:rFonts w:ascii="仿宋_GB2312" w:eastAsia="仿宋_GB2312"/>
              </w:rPr>
            </w:pPr>
            <w:r>
              <w:rPr>
                <w:rFonts w:hint="eastAsia" w:ascii="仿宋_GB2312" w:eastAsia="仿宋_GB2312"/>
                <w:b/>
                <w:bCs/>
              </w:rPr>
              <w:t>指标分类</w:t>
            </w:r>
          </w:p>
        </w:tc>
        <w:tc>
          <w:tcPr>
            <w:tcW w:w="228" w:type="pct"/>
            <w:vAlign w:val="center"/>
          </w:tcPr>
          <w:p w14:paraId="34AE4BD5">
            <w:pPr>
              <w:widowControl/>
              <w:jc w:val="center"/>
              <w:rPr>
                <w:rFonts w:ascii="仿宋_GB2312" w:eastAsia="仿宋_GB2312"/>
              </w:rPr>
            </w:pPr>
            <w:r>
              <w:rPr>
                <w:rFonts w:hint="eastAsia" w:ascii="仿宋_GB2312" w:eastAsia="仿宋_GB2312"/>
                <w:b/>
                <w:bCs/>
              </w:rPr>
              <w:t>序号</w:t>
            </w:r>
          </w:p>
        </w:tc>
        <w:tc>
          <w:tcPr>
            <w:tcW w:w="1126" w:type="pct"/>
            <w:vAlign w:val="center"/>
          </w:tcPr>
          <w:p w14:paraId="22CD83DF">
            <w:pPr>
              <w:widowControl/>
              <w:jc w:val="center"/>
              <w:rPr>
                <w:rFonts w:ascii="仿宋_GB2312" w:eastAsia="仿宋_GB2312"/>
              </w:rPr>
            </w:pPr>
            <w:r>
              <w:rPr>
                <w:rFonts w:hint="eastAsia" w:ascii="仿宋_GB2312" w:eastAsia="仿宋_GB2312"/>
                <w:b/>
                <w:bCs/>
              </w:rPr>
              <w:t>指标</w:t>
            </w:r>
          </w:p>
        </w:tc>
        <w:tc>
          <w:tcPr>
            <w:tcW w:w="264" w:type="pct"/>
            <w:vAlign w:val="center"/>
          </w:tcPr>
          <w:p w14:paraId="0F98EEE4">
            <w:pPr>
              <w:widowControl/>
              <w:jc w:val="center"/>
              <w:rPr>
                <w:rFonts w:ascii="仿宋_GB2312" w:eastAsia="仿宋_GB2312"/>
              </w:rPr>
            </w:pPr>
            <w:r>
              <w:rPr>
                <w:rFonts w:hint="eastAsia" w:ascii="仿宋_GB2312" w:eastAsia="仿宋_GB2312"/>
                <w:b/>
                <w:bCs/>
              </w:rPr>
              <w:t>单位</w:t>
            </w:r>
          </w:p>
        </w:tc>
        <w:tc>
          <w:tcPr>
            <w:tcW w:w="341" w:type="pct"/>
            <w:vAlign w:val="center"/>
          </w:tcPr>
          <w:p w14:paraId="5233F855">
            <w:pPr>
              <w:widowControl/>
              <w:jc w:val="center"/>
              <w:rPr>
                <w:rFonts w:ascii="仿宋_GB2312" w:eastAsia="仿宋_GB2312"/>
              </w:rPr>
            </w:pPr>
            <w:r>
              <w:rPr>
                <w:rFonts w:hint="eastAsia" w:ascii="仿宋_GB2312" w:eastAsia="仿宋_GB2312"/>
                <w:b/>
                <w:bCs/>
              </w:rPr>
              <w:t>2020年</w:t>
            </w:r>
          </w:p>
        </w:tc>
        <w:tc>
          <w:tcPr>
            <w:tcW w:w="565" w:type="pct"/>
            <w:vAlign w:val="center"/>
          </w:tcPr>
          <w:p w14:paraId="5D33EEE5">
            <w:pPr>
              <w:widowControl/>
              <w:jc w:val="center"/>
              <w:rPr>
                <w:rFonts w:ascii="仿宋_GB2312" w:eastAsia="仿宋_GB2312"/>
              </w:rPr>
            </w:pPr>
            <w:r>
              <w:rPr>
                <w:rFonts w:hint="eastAsia" w:ascii="仿宋_GB2312" w:eastAsia="仿宋_GB2312"/>
                <w:b/>
                <w:bCs/>
              </w:rPr>
              <w:t>2025年</w:t>
            </w:r>
          </w:p>
        </w:tc>
        <w:tc>
          <w:tcPr>
            <w:tcW w:w="559" w:type="pct"/>
            <w:vAlign w:val="center"/>
          </w:tcPr>
          <w:p w14:paraId="62930FB8">
            <w:pPr>
              <w:widowControl/>
              <w:jc w:val="center"/>
              <w:rPr>
                <w:rFonts w:ascii="仿宋_GB2312" w:eastAsia="仿宋_GB2312"/>
              </w:rPr>
            </w:pPr>
            <w:r>
              <w:rPr>
                <w:rFonts w:hint="eastAsia" w:ascii="仿宋_GB2312" w:eastAsia="仿宋_GB2312"/>
                <w:b/>
                <w:bCs/>
              </w:rPr>
              <w:t>2035年</w:t>
            </w:r>
          </w:p>
        </w:tc>
        <w:tc>
          <w:tcPr>
            <w:tcW w:w="248" w:type="pct"/>
            <w:vAlign w:val="center"/>
          </w:tcPr>
          <w:p w14:paraId="3007040E">
            <w:pPr>
              <w:widowControl/>
              <w:jc w:val="center"/>
              <w:rPr>
                <w:rFonts w:ascii="仿宋_GB2312" w:eastAsia="仿宋_GB2312"/>
              </w:rPr>
            </w:pPr>
            <w:r>
              <w:rPr>
                <w:rFonts w:hint="eastAsia" w:ascii="仿宋_GB2312" w:eastAsia="仿宋_GB2312"/>
                <w:b/>
                <w:bCs/>
              </w:rPr>
              <w:t>指标性质</w:t>
            </w:r>
          </w:p>
        </w:tc>
        <w:tc>
          <w:tcPr>
            <w:tcW w:w="1427" w:type="pct"/>
            <w:vAlign w:val="center"/>
          </w:tcPr>
          <w:p w14:paraId="26B21739">
            <w:pPr>
              <w:widowControl/>
              <w:jc w:val="center"/>
              <w:rPr>
                <w:rFonts w:ascii="仿宋_GB2312" w:eastAsia="仿宋_GB2312"/>
              </w:rPr>
            </w:pPr>
            <w:r>
              <w:rPr>
                <w:rFonts w:hint="eastAsia" w:ascii="仿宋_GB2312" w:eastAsia="仿宋_GB2312"/>
                <w:b/>
                <w:bCs/>
              </w:rPr>
              <w:t>指标数据来源</w:t>
            </w:r>
          </w:p>
        </w:tc>
      </w:tr>
      <w:tr w14:paraId="55F28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242" w:type="pct"/>
            <w:vMerge w:val="restart"/>
            <w:vAlign w:val="center"/>
          </w:tcPr>
          <w:p w14:paraId="53C375F6">
            <w:pPr>
              <w:widowControl/>
              <w:jc w:val="center"/>
              <w:rPr>
                <w:rFonts w:ascii="仿宋_GB2312" w:eastAsia="仿宋_GB2312"/>
              </w:rPr>
            </w:pPr>
            <w:r>
              <w:rPr>
                <w:rFonts w:hint="eastAsia" w:ascii="仿宋_GB2312" w:eastAsia="仿宋_GB2312"/>
                <w:b/>
                <w:bCs/>
              </w:rPr>
              <w:t>生态质量类</w:t>
            </w:r>
          </w:p>
        </w:tc>
        <w:tc>
          <w:tcPr>
            <w:tcW w:w="228" w:type="pct"/>
            <w:vAlign w:val="center"/>
          </w:tcPr>
          <w:p w14:paraId="0B0C6762">
            <w:pPr>
              <w:widowControl/>
              <w:jc w:val="center"/>
              <w:rPr>
                <w:rFonts w:ascii="仿宋_GB2312" w:eastAsia="仿宋_GB2312"/>
              </w:rPr>
            </w:pPr>
            <w:r>
              <w:rPr>
                <w:rFonts w:hint="eastAsia" w:ascii="仿宋_GB2312" w:eastAsia="仿宋_GB2312"/>
              </w:rPr>
              <w:t>1</w:t>
            </w:r>
          </w:p>
        </w:tc>
        <w:tc>
          <w:tcPr>
            <w:tcW w:w="1126" w:type="pct"/>
            <w:vAlign w:val="center"/>
          </w:tcPr>
          <w:p w14:paraId="6763BEF2">
            <w:pPr>
              <w:widowControl/>
              <w:jc w:val="left"/>
              <w:rPr>
                <w:rFonts w:ascii="仿宋_GB2312" w:eastAsia="仿宋_GB2312"/>
              </w:rPr>
            </w:pPr>
            <w:r>
              <w:rPr>
                <w:rFonts w:hint="eastAsia" w:ascii="仿宋_GB2312" w:eastAsia="仿宋_GB2312"/>
              </w:rPr>
              <w:t>陆域生态保护红线面积</w:t>
            </w:r>
          </w:p>
        </w:tc>
        <w:tc>
          <w:tcPr>
            <w:tcW w:w="264" w:type="pct"/>
            <w:vAlign w:val="center"/>
          </w:tcPr>
          <w:p w14:paraId="2CB49A0E">
            <w:pPr>
              <w:widowControl/>
              <w:jc w:val="center"/>
              <w:rPr>
                <w:rFonts w:ascii="仿宋_GB2312" w:eastAsia="仿宋_GB2312"/>
              </w:rPr>
            </w:pPr>
            <w:r>
              <w:rPr>
                <w:rFonts w:hint="eastAsia" w:ascii="仿宋_GB2312" w:eastAsia="仿宋_GB2312"/>
              </w:rPr>
              <w:t>平方公里</w:t>
            </w:r>
          </w:p>
        </w:tc>
        <w:tc>
          <w:tcPr>
            <w:tcW w:w="341" w:type="pct"/>
            <w:vAlign w:val="center"/>
          </w:tcPr>
          <w:p w14:paraId="3F0E7546">
            <w:pPr>
              <w:widowControl/>
              <w:jc w:val="center"/>
              <w:rPr>
                <w:rFonts w:ascii="仿宋_GB2312" w:eastAsia="仿宋_GB2312"/>
              </w:rPr>
            </w:pPr>
            <w:r>
              <w:rPr>
                <w:rFonts w:hint="eastAsia" w:ascii="仿宋_GB2312" w:eastAsia="仿宋_GB2312"/>
              </w:rPr>
              <w:t>1479.21</w:t>
            </w:r>
          </w:p>
        </w:tc>
        <w:tc>
          <w:tcPr>
            <w:tcW w:w="565" w:type="pct"/>
            <w:vAlign w:val="center"/>
          </w:tcPr>
          <w:p w14:paraId="629BCF35">
            <w:pPr>
              <w:widowControl/>
              <w:jc w:val="center"/>
              <w:rPr>
                <w:rFonts w:ascii="仿宋_GB2312" w:eastAsia="仿宋_GB2312"/>
              </w:rPr>
            </w:pPr>
            <w:r>
              <w:rPr>
                <w:rFonts w:hint="eastAsia" w:ascii="仿宋_GB2312" w:eastAsia="仿宋_GB2312"/>
              </w:rPr>
              <w:t>1479.21</w:t>
            </w:r>
          </w:p>
        </w:tc>
        <w:tc>
          <w:tcPr>
            <w:tcW w:w="559" w:type="pct"/>
            <w:vAlign w:val="center"/>
          </w:tcPr>
          <w:p w14:paraId="551DA835">
            <w:pPr>
              <w:widowControl/>
              <w:jc w:val="center"/>
              <w:rPr>
                <w:rFonts w:ascii="仿宋_GB2312" w:eastAsia="仿宋_GB2312"/>
              </w:rPr>
            </w:pPr>
            <w:r>
              <w:rPr>
                <w:rFonts w:hint="eastAsia" w:ascii="仿宋_GB2312" w:eastAsia="仿宋_GB2312"/>
              </w:rPr>
              <w:t>1479.21</w:t>
            </w:r>
          </w:p>
        </w:tc>
        <w:tc>
          <w:tcPr>
            <w:tcW w:w="248" w:type="pct"/>
            <w:vAlign w:val="center"/>
          </w:tcPr>
          <w:p w14:paraId="5FF800C4">
            <w:pPr>
              <w:widowControl/>
              <w:jc w:val="center"/>
              <w:rPr>
                <w:rFonts w:ascii="仿宋_GB2312" w:eastAsia="仿宋_GB2312"/>
              </w:rPr>
            </w:pPr>
            <w:r>
              <w:rPr>
                <w:rFonts w:hint="eastAsia" w:ascii="仿宋_GB2312" w:eastAsia="仿宋_GB2312"/>
              </w:rPr>
              <w:t>约束性</w:t>
            </w:r>
          </w:p>
        </w:tc>
        <w:tc>
          <w:tcPr>
            <w:tcW w:w="1427" w:type="pct"/>
            <w:vAlign w:val="center"/>
          </w:tcPr>
          <w:p w14:paraId="01823C99">
            <w:pPr>
              <w:widowControl/>
              <w:jc w:val="left"/>
              <w:rPr>
                <w:rFonts w:ascii="仿宋_GB2312" w:eastAsia="仿宋_GB2312"/>
              </w:rPr>
            </w:pPr>
            <w:r>
              <w:rPr>
                <w:rFonts w:hint="eastAsia" w:ascii="仿宋_GB2312" w:eastAsia="仿宋_GB2312"/>
              </w:rPr>
              <w:t>《阳江市国土空间规划（2021-2035）》</w:t>
            </w:r>
          </w:p>
        </w:tc>
      </w:tr>
      <w:tr w14:paraId="625C8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242" w:type="pct"/>
            <w:vMerge w:val="continue"/>
            <w:vAlign w:val="center"/>
          </w:tcPr>
          <w:p w14:paraId="593BDE25">
            <w:pPr>
              <w:widowControl/>
              <w:jc w:val="center"/>
              <w:rPr>
                <w:rFonts w:ascii="仿宋_GB2312" w:eastAsia="仿宋_GB2312"/>
              </w:rPr>
            </w:pPr>
          </w:p>
        </w:tc>
        <w:tc>
          <w:tcPr>
            <w:tcW w:w="228" w:type="pct"/>
            <w:vAlign w:val="center"/>
          </w:tcPr>
          <w:p w14:paraId="6EB5A2FE">
            <w:pPr>
              <w:widowControl/>
              <w:jc w:val="center"/>
              <w:rPr>
                <w:rFonts w:ascii="仿宋_GB2312" w:eastAsia="仿宋_GB2312"/>
              </w:rPr>
            </w:pPr>
            <w:r>
              <w:rPr>
                <w:rFonts w:hint="eastAsia" w:ascii="仿宋_GB2312" w:eastAsia="仿宋_GB2312"/>
              </w:rPr>
              <w:t>2</w:t>
            </w:r>
          </w:p>
        </w:tc>
        <w:tc>
          <w:tcPr>
            <w:tcW w:w="1126" w:type="pct"/>
            <w:vAlign w:val="center"/>
          </w:tcPr>
          <w:p w14:paraId="541E7655">
            <w:pPr>
              <w:widowControl/>
              <w:jc w:val="left"/>
              <w:rPr>
                <w:rFonts w:ascii="仿宋_GB2312" w:eastAsia="仿宋_GB2312"/>
              </w:rPr>
            </w:pPr>
            <w:r>
              <w:rPr>
                <w:rFonts w:hint="eastAsia" w:ascii="仿宋_GB2312" w:eastAsia="仿宋_GB2312"/>
              </w:rPr>
              <w:t>海域生态保护红线面积</w:t>
            </w:r>
          </w:p>
        </w:tc>
        <w:tc>
          <w:tcPr>
            <w:tcW w:w="264" w:type="pct"/>
            <w:vAlign w:val="center"/>
          </w:tcPr>
          <w:p w14:paraId="06C0D5A4">
            <w:pPr>
              <w:widowControl/>
              <w:jc w:val="center"/>
              <w:rPr>
                <w:rFonts w:ascii="仿宋_GB2312" w:eastAsia="仿宋_GB2312"/>
              </w:rPr>
            </w:pPr>
            <w:r>
              <w:rPr>
                <w:rFonts w:hint="eastAsia" w:ascii="仿宋_GB2312" w:eastAsia="仿宋_GB2312"/>
              </w:rPr>
              <w:t>平方公里</w:t>
            </w:r>
          </w:p>
        </w:tc>
        <w:tc>
          <w:tcPr>
            <w:tcW w:w="341" w:type="pct"/>
            <w:vAlign w:val="center"/>
          </w:tcPr>
          <w:p w14:paraId="58BD6ED1">
            <w:pPr>
              <w:widowControl/>
              <w:jc w:val="center"/>
              <w:rPr>
                <w:rFonts w:ascii="仿宋_GB2312" w:eastAsia="仿宋_GB2312"/>
              </w:rPr>
            </w:pPr>
            <w:r>
              <w:rPr>
                <w:rFonts w:hint="eastAsia" w:ascii="仿宋_GB2312" w:eastAsia="仿宋_GB2312"/>
              </w:rPr>
              <w:t>/</w:t>
            </w:r>
          </w:p>
        </w:tc>
        <w:tc>
          <w:tcPr>
            <w:tcW w:w="565" w:type="pct"/>
            <w:vAlign w:val="center"/>
          </w:tcPr>
          <w:p w14:paraId="2D6748B9">
            <w:pPr>
              <w:widowControl/>
              <w:jc w:val="center"/>
              <w:rPr>
                <w:rFonts w:ascii="仿宋_GB2312" w:eastAsia="仿宋_GB2312"/>
              </w:rPr>
            </w:pPr>
            <w:r>
              <w:rPr>
                <w:rFonts w:hint="eastAsia" w:ascii="仿宋_GB2312" w:eastAsia="仿宋_GB2312"/>
              </w:rPr>
              <w:t>1521.25</w:t>
            </w:r>
          </w:p>
        </w:tc>
        <w:tc>
          <w:tcPr>
            <w:tcW w:w="559" w:type="pct"/>
            <w:vAlign w:val="center"/>
          </w:tcPr>
          <w:p w14:paraId="46967A97">
            <w:pPr>
              <w:widowControl/>
              <w:jc w:val="center"/>
              <w:rPr>
                <w:rFonts w:ascii="仿宋_GB2312" w:eastAsia="仿宋_GB2312"/>
              </w:rPr>
            </w:pPr>
            <w:r>
              <w:rPr>
                <w:rFonts w:hint="eastAsia" w:ascii="仿宋_GB2312" w:eastAsia="仿宋_GB2312"/>
              </w:rPr>
              <w:t>1521.25</w:t>
            </w:r>
          </w:p>
        </w:tc>
        <w:tc>
          <w:tcPr>
            <w:tcW w:w="248" w:type="pct"/>
            <w:vAlign w:val="center"/>
          </w:tcPr>
          <w:p w14:paraId="76DF1FFB">
            <w:pPr>
              <w:widowControl/>
              <w:jc w:val="center"/>
              <w:rPr>
                <w:rFonts w:ascii="仿宋_GB2312" w:eastAsia="仿宋_GB2312"/>
              </w:rPr>
            </w:pPr>
            <w:r>
              <w:rPr>
                <w:rFonts w:hint="eastAsia" w:ascii="仿宋_GB2312" w:eastAsia="仿宋_GB2312"/>
              </w:rPr>
              <w:t>约束性</w:t>
            </w:r>
          </w:p>
        </w:tc>
        <w:tc>
          <w:tcPr>
            <w:tcW w:w="1427" w:type="pct"/>
            <w:vAlign w:val="center"/>
          </w:tcPr>
          <w:p w14:paraId="0C856A6F">
            <w:pPr>
              <w:widowControl/>
              <w:jc w:val="left"/>
              <w:rPr>
                <w:rFonts w:ascii="仿宋_GB2312" w:eastAsia="仿宋_GB2312"/>
              </w:rPr>
            </w:pPr>
            <w:r>
              <w:rPr>
                <w:rFonts w:hint="eastAsia" w:ascii="仿宋_GB2312" w:eastAsia="仿宋_GB2312"/>
              </w:rPr>
              <w:t>《阳江市国土空间规划（2021-2035）》</w:t>
            </w:r>
          </w:p>
        </w:tc>
      </w:tr>
      <w:tr w14:paraId="118DF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242" w:type="pct"/>
            <w:vMerge w:val="continue"/>
            <w:vAlign w:val="center"/>
          </w:tcPr>
          <w:p w14:paraId="300A9CCC">
            <w:pPr>
              <w:widowControl/>
              <w:jc w:val="center"/>
              <w:rPr>
                <w:rFonts w:ascii="仿宋_GB2312" w:eastAsia="仿宋_GB2312"/>
              </w:rPr>
            </w:pPr>
          </w:p>
        </w:tc>
        <w:tc>
          <w:tcPr>
            <w:tcW w:w="228" w:type="pct"/>
            <w:vAlign w:val="center"/>
          </w:tcPr>
          <w:p w14:paraId="607D5180">
            <w:pPr>
              <w:widowControl/>
              <w:jc w:val="center"/>
              <w:rPr>
                <w:rFonts w:ascii="仿宋_GB2312" w:eastAsia="仿宋_GB2312"/>
              </w:rPr>
            </w:pPr>
            <w:r>
              <w:rPr>
                <w:rFonts w:hint="eastAsia" w:ascii="仿宋_GB2312" w:eastAsia="仿宋_GB2312"/>
              </w:rPr>
              <w:t>3</w:t>
            </w:r>
          </w:p>
        </w:tc>
        <w:tc>
          <w:tcPr>
            <w:tcW w:w="1126" w:type="pct"/>
            <w:vAlign w:val="center"/>
          </w:tcPr>
          <w:p w14:paraId="0C3D5A51">
            <w:pPr>
              <w:widowControl/>
              <w:jc w:val="left"/>
              <w:rPr>
                <w:rFonts w:ascii="仿宋_GB2312" w:eastAsia="仿宋_GB2312"/>
              </w:rPr>
            </w:pPr>
            <w:r>
              <w:rPr>
                <w:rFonts w:hint="eastAsia" w:ascii="仿宋_GB2312" w:eastAsia="仿宋_GB2312"/>
              </w:rPr>
              <w:t>自然保护地陆域面积占陆域国土面积比例</w:t>
            </w:r>
          </w:p>
        </w:tc>
        <w:tc>
          <w:tcPr>
            <w:tcW w:w="264" w:type="pct"/>
            <w:vAlign w:val="center"/>
          </w:tcPr>
          <w:p w14:paraId="5443C783">
            <w:pPr>
              <w:widowControl/>
              <w:jc w:val="center"/>
              <w:rPr>
                <w:rFonts w:ascii="仿宋_GB2312" w:eastAsia="仿宋_GB2312"/>
              </w:rPr>
            </w:pPr>
            <w:r>
              <w:rPr>
                <w:rFonts w:hint="eastAsia" w:ascii="仿宋_GB2312" w:eastAsia="仿宋_GB2312"/>
              </w:rPr>
              <w:t>%</w:t>
            </w:r>
          </w:p>
        </w:tc>
        <w:tc>
          <w:tcPr>
            <w:tcW w:w="341" w:type="pct"/>
            <w:vAlign w:val="center"/>
          </w:tcPr>
          <w:p w14:paraId="7DFC4BC5">
            <w:pPr>
              <w:widowControl/>
              <w:jc w:val="center"/>
              <w:rPr>
                <w:rFonts w:ascii="仿宋_GB2312" w:eastAsia="仿宋_GB2312"/>
              </w:rPr>
            </w:pPr>
            <w:r>
              <w:rPr>
                <w:rFonts w:hint="eastAsia" w:ascii="仿宋_GB2312" w:eastAsia="仿宋_GB2312"/>
              </w:rPr>
              <w:t>12.08</w:t>
            </w:r>
          </w:p>
        </w:tc>
        <w:tc>
          <w:tcPr>
            <w:tcW w:w="565" w:type="pct"/>
            <w:vAlign w:val="center"/>
          </w:tcPr>
          <w:p w14:paraId="3AB66F4B">
            <w:pPr>
              <w:widowControl/>
              <w:jc w:val="center"/>
              <w:rPr>
                <w:rFonts w:ascii="仿宋_GB2312" w:eastAsia="仿宋_GB2312"/>
              </w:rPr>
            </w:pPr>
            <w:r>
              <w:rPr>
                <w:rFonts w:hint="eastAsia" w:ascii="仿宋_GB2312" w:eastAsia="仿宋_GB2312"/>
              </w:rPr>
              <w:t>12.08</w:t>
            </w:r>
          </w:p>
        </w:tc>
        <w:tc>
          <w:tcPr>
            <w:tcW w:w="559" w:type="pct"/>
            <w:vAlign w:val="center"/>
          </w:tcPr>
          <w:p w14:paraId="00F30172">
            <w:pPr>
              <w:widowControl/>
              <w:jc w:val="center"/>
              <w:rPr>
                <w:rFonts w:ascii="仿宋_GB2312" w:eastAsia="仿宋_GB2312"/>
              </w:rPr>
            </w:pPr>
            <w:r>
              <w:rPr>
                <w:rFonts w:hint="eastAsia" w:ascii="仿宋_GB2312" w:eastAsia="仿宋_GB2312"/>
              </w:rPr>
              <w:t>12.08</w:t>
            </w:r>
          </w:p>
        </w:tc>
        <w:tc>
          <w:tcPr>
            <w:tcW w:w="248" w:type="pct"/>
            <w:vAlign w:val="center"/>
          </w:tcPr>
          <w:p w14:paraId="2401990D">
            <w:pPr>
              <w:widowControl/>
              <w:jc w:val="center"/>
              <w:rPr>
                <w:rFonts w:ascii="仿宋_GB2312" w:eastAsia="仿宋_GB2312"/>
              </w:rPr>
            </w:pPr>
            <w:r>
              <w:rPr>
                <w:rFonts w:hint="eastAsia" w:ascii="仿宋_GB2312" w:eastAsia="仿宋_GB2312"/>
              </w:rPr>
              <w:t>约束性</w:t>
            </w:r>
          </w:p>
        </w:tc>
        <w:tc>
          <w:tcPr>
            <w:tcW w:w="1427" w:type="pct"/>
            <w:vAlign w:val="center"/>
          </w:tcPr>
          <w:p w14:paraId="691EB58A">
            <w:pPr>
              <w:widowControl/>
              <w:jc w:val="left"/>
              <w:rPr>
                <w:rFonts w:ascii="仿宋_GB2312" w:eastAsia="仿宋_GB2312"/>
              </w:rPr>
            </w:pPr>
            <w:r>
              <w:rPr>
                <w:rFonts w:hint="eastAsia" w:ascii="仿宋_GB2312" w:eastAsia="仿宋_GB2312"/>
              </w:rPr>
              <w:t>《阳江市国土空间规划（2021-2035）》</w:t>
            </w:r>
          </w:p>
        </w:tc>
      </w:tr>
      <w:tr w14:paraId="361FE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242" w:type="pct"/>
            <w:vMerge w:val="continue"/>
            <w:vAlign w:val="center"/>
          </w:tcPr>
          <w:p w14:paraId="6015BA67">
            <w:pPr>
              <w:widowControl/>
              <w:jc w:val="center"/>
              <w:rPr>
                <w:rFonts w:ascii="仿宋_GB2312" w:eastAsia="仿宋_GB2312"/>
              </w:rPr>
            </w:pPr>
          </w:p>
        </w:tc>
        <w:tc>
          <w:tcPr>
            <w:tcW w:w="228" w:type="pct"/>
            <w:vAlign w:val="center"/>
          </w:tcPr>
          <w:p w14:paraId="6C0A7FC8">
            <w:pPr>
              <w:widowControl/>
              <w:jc w:val="center"/>
              <w:rPr>
                <w:rFonts w:ascii="仿宋_GB2312" w:eastAsia="仿宋_GB2312"/>
              </w:rPr>
            </w:pPr>
            <w:r>
              <w:rPr>
                <w:rFonts w:hint="eastAsia" w:ascii="仿宋_GB2312" w:eastAsia="仿宋_GB2312"/>
              </w:rPr>
              <w:t>4</w:t>
            </w:r>
          </w:p>
        </w:tc>
        <w:tc>
          <w:tcPr>
            <w:tcW w:w="1126" w:type="pct"/>
            <w:vAlign w:val="center"/>
          </w:tcPr>
          <w:p w14:paraId="50502772">
            <w:pPr>
              <w:widowControl/>
              <w:jc w:val="left"/>
              <w:rPr>
                <w:rFonts w:ascii="仿宋_GB2312" w:eastAsia="仿宋_GB2312"/>
              </w:rPr>
            </w:pPr>
            <w:r>
              <w:rPr>
                <w:rFonts w:hint="eastAsia" w:ascii="仿宋_GB2312" w:eastAsia="仿宋_GB2312"/>
              </w:rPr>
              <w:t>森林覆盖率</w:t>
            </w:r>
          </w:p>
        </w:tc>
        <w:tc>
          <w:tcPr>
            <w:tcW w:w="264" w:type="pct"/>
            <w:vAlign w:val="center"/>
          </w:tcPr>
          <w:p w14:paraId="7420C1EC">
            <w:pPr>
              <w:widowControl/>
              <w:jc w:val="center"/>
              <w:rPr>
                <w:rFonts w:ascii="仿宋_GB2312" w:eastAsia="仿宋_GB2312"/>
              </w:rPr>
            </w:pPr>
            <w:r>
              <w:rPr>
                <w:rFonts w:hint="eastAsia" w:ascii="仿宋_GB2312" w:eastAsia="仿宋_GB2312"/>
              </w:rPr>
              <w:t>%</w:t>
            </w:r>
          </w:p>
        </w:tc>
        <w:tc>
          <w:tcPr>
            <w:tcW w:w="341" w:type="pct"/>
            <w:vAlign w:val="center"/>
          </w:tcPr>
          <w:p w14:paraId="2CBD0B51">
            <w:pPr>
              <w:widowControl/>
              <w:jc w:val="center"/>
              <w:rPr>
                <w:rFonts w:ascii="仿宋_GB2312" w:eastAsia="仿宋_GB2312"/>
              </w:rPr>
            </w:pPr>
            <w:r>
              <w:rPr>
                <w:rFonts w:hint="eastAsia" w:ascii="仿宋_GB2312" w:eastAsia="仿宋_GB2312"/>
              </w:rPr>
              <w:t>57.4</w:t>
            </w:r>
          </w:p>
        </w:tc>
        <w:tc>
          <w:tcPr>
            <w:tcW w:w="565" w:type="pct"/>
            <w:vAlign w:val="center"/>
          </w:tcPr>
          <w:p w14:paraId="65213426">
            <w:pPr>
              <w:widowControl/>
              <w:jc w:val="center"/>
              <w:rPr>
                <w:rFonts w:ascii="仿宋_GB2312" w:eastAsia="仿宋_GB2312"/>
              </w:rPr>
            </w:pPr>
            <w:r>
              <w:rPr>
                <w:rFonts w:hint="eastAsia" w:ascii="仿宋_GB2312" w:eastAsia="仿宋_GB2312"/>
              </w:rPr>
              <w:t>57.9</w:t>
            </w:r>
          </w:p>
        </w:tc>
        <w:tc>
          <w:tcPr>
            <w:tcW w:w="559" w:type="pct"/>
            <w:vAlign w:val="center"/>
          </w:tcPr>
          <w:p w14:paraId="51281047">
            <w:pPr>
              <w:widowControl/>
              <w:jc w:val="center"/>
              <w:rPr>
                <w:rFonts w:ascii="仿宋_GB2312" w:eastAsia="仿宋_GB2312"/>
              </w:rPr>
            </w:pPr>
            <w:r>
              <w:rPr>
                <w:rFonts w:hint="eastAsia" w:ascii="仿宋_GB2312" w:eastAsia="仿宋_GB2312"/>
              </w:rPr>
              <w:t>≥57.9</w:t>
            </w:r>
          </w:p>
        </w:tc>
        <w:tc>
          <w:tcPr>
            <w:tcW w:w="248" w:type="pct"/>
            <w:vAlign w:val="center"/>
          </w:tcPr>
          <w:p w14:paraId="7DDB4CB0">
            <w:pPr>
              <w:widowControl/>
              <w:jc w:val="center"/>
              <w:rPr>
                <w:rFonts w:ascii="仿宋_GB2312" w:eastAsia="仿宋_GB2312"/>
              </w:rPr>
            </w:pPr>
            <w:r>
              <w:rPr>
                <w:rFonts w:hint="eastAsia" w:ascii="仿宋_GB2312" w:eastAsia="仿宋_GB2312"/>
              </w:rPr>
              <w:t>约束性</w:t>
            </w:r>
          </w:p>
        </w:tc>
        <w:tc>
          <w:tcPr>
            <w:tcW w:w="1427" w:type="pct"/>
            <w:vAlign w:val="center"/>
          </w:tcPr>
          <w:p w14:paraId="5A57F76B">
            <w:pPr>
              <w:widowControl/>
              <w:jc w:val="left"/>
              <w:rPr>
                <w:rFonts w:ascii="仿宋_GB2312" w:eastAsia="仿宋_GB2312"/>
              </w:rPr>
            </w:pPr>
            <w:r>
              <w:rPr>
                <w:rFonts w:hint="eastAsia" w:ascii="仿宋_GB2312" w:eastAsia="仿宋_GB2312"/>
              </w:rPr>
              <w:t>《阳江市国土空间规划（2021-2035）》</w:t>
            </w:r>
          </w:p>
        </w:tc>
      </w:tr>
      <w:tr w14:paraId="1B193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242" w:type="pct"/>
            <w:vMerge w:val="continue"/>
            <w:vAlign w:val="center"/>
          </w:tcPr>
          <w:p w14:paraId="0AA76109">
            <w:pPr>
              <w:widowControl/>
              <w:jc w:val="center"/>
              <w:rPr>
                <w:rFonts w:ascii="仿宋_GB2312" w:eastAsia="仿宋_GB2312"/>
              </w:rPr>
            </w:pPr>
          </w:p>
        </w:tc>
        <w:tc>
          <w:tcPr>
            <w:tcW w:w="228" w:type="pct"/>
            <w:vAlign w:val="center"/>
          </w:tcPr>
          <w:p w14:paraId="31B4256C">
            <w:pPr>
              <w:widowControl/>
              <w:jc w:val="center"/>
              <w:rPr>
                <w:rFonts w:ascii="仿宋_GB2312" w:eastAsia="仿宋_GB2312"/>
              </w:rPr>
            </w:pPr>
            <w:r>
              <w:rPr>
                <w:rFonts w:ascii="仿宋_GB2312" w:eastAsia="仿宋_GB2312"/>
              </w:rPr>
              <w:t>5</w:t>
            </w:r>
          </w:p>
        </w:tc>
        <w:tc>
          <w:tcPr>
            <w:tcW w:w="1126" w:type="pct"/>
            <w:vAlign w:val="center"/>
          </w:tcPr>
          <w:p w14:paraId="15963589">
            <w:pPr>
              <w:widowControl/>
              <w:jc w:val="left"/>
              <w:rPr>
                <w:rFonts w:ascii="仿宋_GB2312" w:eastAsia="仿宋_GB2312"/>
              </w:rPr>
            </w:pPr>
            <w:r>
              <w:rPr>
                <w:rFonts w:hint="eastAsia" w:ascii="仿宋_GB2312" w:eastAsia="仿宋_GB2312"/>
              </w:rPr>
              <w:t>湿地保护率</w:t>
            </w:r>
          </w:p>
        </w:tc>
        <w:tc>
          <w:tcPr>
            <w:tcW w:w="264" w:type="pct"/>
            <w:vAlign w:val="center"/>
          </w:tcPr>
          <w:p w14:paraId="43F986E4">
            <w:pPr>
              <w:widowControl/>
              <w:jc w:val="center"/>
              <w:rPr>
                <w:rFonts w:ascii="仿宋_GB2312" w:eastAsia="仿宋_GB2312"/>
              </w:rPr>
            </w:pPr>
            <w:r>
              <w:rPr>
                <w:rFonts w:hint="eastAsia" w:ascii="仿宋_GB2312" w:eastAsia="仿宋_GB2312"/>
              </w:rPr>
              <w:t>%</w:t>
            </w:r>
          </w:p>
        </w:tc>
        <w:tc>
          <w:tcPr>
            <w:tcW w:w="341" w:type="pct"/>
            <w:vAlign w:val="center"/>
          </w:tcPr>
          <w:p w14:paraId="51E4DE5C">
            <w:pPr>
              <w:widowControl/>
              <w:jc w:val="center"/>
              <w:rPr>
                <w:rFonts w:ascii="仿宋_GB2312" w:eastAsia="仿宋_GB2312"/>
              </w:rPr>
            </w:pPr>
            <w:r>
              <w:rPr>
                <w:rFonts w:hint="eastAsia" w:ascii="仿宋_GB2312" w:eastAsia="仿宋_GB2312"/>
              </w:rPr>
              <w:t>28</w:t>
            </w:r>
          </w:p>
        </w:tc>
        <w:tc>
          <w:tcPr>
            <w:tcW w:w="565" w:type="pct"/>
            <w:vAlign w:val="center"/>
          </w:tcPr>
          <w:p w14:paraId="31B7FA52">
            <w:pPr>
              <w:widowControl/>
              <w:jc w:val="center"/>
              <w:rPr>
                <w:rFonts w:ascii="仿宋_GB2312" w:eastAsia="仿宋_GB2312"/>
              </w:rPr>
            </w:pPr>
            <w:r>
              <w:rPr>
                <w:rFonts w:hint="eastAsia" w:ascii="仿宋_GB2312" w:eastAsia="仿宋_GB2312"/>
              </w:rPr>
              <w:t>35</w:t>
            </w:r>
          </w:p>
        </w:tc>
        <w:tc>
          <w:tcPr>
            <w:tcW w:w="559" w:type="pct"/>
            <w:vAlign w:val="center"/>
          </w:tcPr>
          <w:p w14:paraId="21A461C5">
            <w:pPr>
              <w:widowControl/>
              <w:jc w:val="center"/>
              <w:rPr>
                <w:rFonts w:ascii="仿宋_GB2312" w:eastAsia="仿宋_GB2312"/>
              </w:rPr>
            </w:pPr>
            <w:r>
              <w:rPr>
                <w:rFonts w:hint="eastAsia" w:ascii="仿宋_GB2312" w:eastAsia="仿宋_GB2312"/>
              </w:rPr>
              <w:t>≥35</w:t>
            </w:r>
          </w:p>
        </w:tc>
        <w:tc>
          <w:tcPr>
            <w:tcW w:w="248" w:type="pct"/>
            <w:vAlign w:val="center"/>
          </w:tcPr>
          <w:p w14:paraId="6B5A50FB">
            <w:pPr>
              <w:widowControl/>
              <w:jc w:val="center"/>
              <w:rPr>
                <w:rFonts w:ascii="仿宋_GB2312" w:eastAsia="仿宋_GB2312"/>
              </w:rPr>
            </w:pPr>
            <w:r>
              <w:rPr>
                <w:rFonts w:hint="eastAsia" w:ascii="仿宋_GB2312" w:eastAsia="仿宋_GB2312"/>
              </w:rPr>
              <w:t>约束性</w:t>
            </w:r>
          </w:p>
        </w:tc>
        <w:tc>
          <w:tcPr>
            <w:tcW w:w="1427" w:type="pct"/>
            <w:vAlign w:val="center"/>
          </w:tcPr>
          <w:p w14:paraId="4A3C8A03">
            <w:pPr>
              <w:widowControl/>
              <w:jc w:val="left"/>
              <w:rPr>
                <w:rFonts w:ascii="仿宋_GB2312" w:eastAsia="仿宋_GB2312"/>
              </w:rPr>
            </w:pPr>
            <w:r>
              <w:rPr>
                <w:rFonts w:hint="eastAsia" w:ascii="仿宋_GB2312" w:eastAsia="仿宋_GB2312"/>
              </w:rPr>
              <w:t>《阳江市国土空间规划（2021-2035）》</w:t>
            </w:r>
          </w:p>
        </w:tc>
      </w:tr>
      <w:tr w14:paraId="6E55A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242" w:type="pct"/>
            <w:vMerge w:val="continue"/>
            <w:vAlign w:val="center"/>
          </w:tcPr>
          <w:p w14:paraId="3EA8A62D">
            <w:pPr>
              <w:widowControl/>
              <w:jc w:val="center"/>
              <w:rPr>
                <w:rFonts w:ascii="仿宋_GB2312" w:eastAsia="仿宋_GB2312"/>
              </w:rPr>
            </w:pPr>
          </w:p>
        </w:tc>
        <w:tc>
          <w:tcPr>
            <w:tcW w:w="228" w:type="pct"/>
            <w:vAlign w:val="center"/>
          </w:tcPr>
          <w:p w14:paraId="37B945C0">
            <w:pPr>
              <w:widowControl/>
              <w:jc w:val="center"/>
              <w:rPr>
                <w:rFonts w:ascii="仿宋_GB2312" w:eastAsia="仿宋_GB2312"/>
              </w:rPr>
            </w:pPr>
            <w:r>
              <w:rPr>
                <w:rFonts w:ascii="仿宋_GB2312" w:eastAsia="仿宋_GB2312"/>
              </w:rPr>
              <w:t>6</w:t>
            </w:r>
          </w:p>
        </w:tc>
        <w:tc>
          <w:tcPr>
            <w:tcW w:w="1126" w:type="pct"/>
            <w:vAlign w:val="center"/>
          </w:tcPr>
          <w:p w14:paraId="5A941CAA">
            <w:pPr>
              <w:widowControl/>
              <w:jc w:val="left"/>
              <w:rPr>
                <w:rFonts w:ascii="仿宋_GB2312" w:eastAsia="仿宋_GB2312"/>
              </w:rPr>
            </w:pPr>
            <w:r>
              <w:rPr>
                <w:rFonts w:hint="eastAsia" w:ascii="仿宋_GB2312" w:eastAsia="仿宋_GB2312"/>
              </w:rPr>
              <w:t>水域空间保有量</w:t>
            </w:r>
          </w:p>
        </w:tc>
        <w:tc>
          <w:tcPr>
            <w:tcW w:w="264" w:type="pct"/>
            <w:vAlign w:val="center"/>
          </w:tcPr>
          <w:p w14:paraId="740CC0E1">
            <w:pPr>
              <w:widowControl/>
              <w:jc w:val="center"/>
              <w:rPr>
                <w:rFonts w:ascii="仿宋_GB2312" w:eastAsia="仿宋_GB2312"/>
              </w:rPr>
            </w:pPr>
            <w:r>
              <w:rPr>
                <w:rFonts w:hint="eastAsia" w:ascii="仿宋_GB2312" w:eastAsia="仿宋_GB2312"/>
              </w:rPr>
              <w:t>平方公里</w:t>
            </w:r>
          </w:p>
        </w:tc>
        <w:tc>
          <w:tcPr>
            <w:tcW w:w="341" w:type="pct"/>
            <w:vAlign w:val="center"/>
          </w:tcPr>
          <w:p w14:paraId="7371138A">
            <w:pPr>
              <w:widowControl/>
              <w:jc w:val="center"/>
              <w:rPr>
                <w:rFonts w:ascii="仿宋_GB2312" w:eastAsia="仿宋_GB2312"/>
              </w:rPr>
            </w:pPr>
            <w:r>
              <w:rPr>
                <w:rFonts w:hint="eastAsia" w:ascii="仿宋_GB2312" w:eastAsia="仿宋_GB2312"/>
              </w:rPr>
              <w:t>400.46</w:t>
            </w:r>
          </w:p>
        </w:tc>
        <w:tc>
          <w:tcPr>
            <w:tcW w:w="565" w:type="pct"/>
            <w:vAlign w:val="center"/>
          </w:tcPr>
          <w:p w14:paraId="227C7A90">
            <w:pPr>
              <w:widowControl/>
              <w:jc w:val="center"/>
              <w:rPr>
                <w:rFonts w:ascii="仿宋_GB2312" w:eastAsia="仿宋_GB2312"/>
              </w:rPr>
            </w:pPr>
            <w:r>
              <w:rPr>
                <w:rFonts w:hint="eastAsia" w:ascii="仿宋_GB2312" w:eastAsia="仿宋_GB2312"/>
              </w:rPr>
              <w:t>374.15</w:t>
            </w:r>
          </w:p>
        </w:tc>
        <w:tc>
          <w:tcPr>
            <w:tcW w:w="559" w:type="pct"/>
            <w:vAlign w:val="center"/>
          </w:tcPr>
          <w:p w14:paraId="021C751C">
            <w:pPr>
              <w:widowControl/>
              <w:jc w:val="center"/>
              <w:rPr>
                <w:rFonts w:ascii="仿宋_GB2312" w:eastAsia="仿宋_GB2312"/>
              </w:rPr>
            </w:pPr>
            <w:r>
              <w:rPr>
                <w:rFonts w:hint="eastAsia" w:ascii="仿宋_GB2312" w:eastAsia="仿宋_GB2312"/>
              </w:rPr>
              <w:t>356.61</w:t>
            </w:r>
          </w:p>
        </w:tc>
        <w:tc>
          <w:tcPr>
            <w:tcW w:w="248" w:type="pct"/>
            <w:vAlign w:val="center"/>
          </w:tcPr>
          <w:p w14:paraId="6654EB6F">
            <w:pPr>
              <w:widowControl/>
              <w:jc w:val="center"/>
              <w:rPr>
                <w:rFonts w:ascii="仿宋_GB2312" w:eastAsia="仿宋_GB2312"/>
              </w:rPr>
            </w:pPr>
            <w:r>
              <w:rPr>
                <w:rFonts w:hint="eastAsia" w:ascii="仿宋_GB2312" w:eastAsia="仿宋_GB2312"/>
              </w:rPr>
              <w:t>约束性</w:t>
            </w:r>
          </w:p>
        </w:tc>
        <w:tc>
          <w:tcPr>
            <w:tcW w:w="1427" w:type="pct"/>
            <w:vAlign w:val="center"/>
          </w:tcPr>
          <w:p w14:paraId="5E0C9912">
            <w:pPr>
              <w:widowControl/>
              <w:jc w:val="left"/>
              <w:rPr>
                <w:rFonts w:ascii="仿宋_GB2312" w:eastAsia="仿宋_GB2312"/>
              </w:rPr>
            </w:pPr>
            <w:r>
              <w:rPr>
                <w:rFonts w:hint="eastAsia" w:ascii="仿宋_GB2312" w:eastAsia="仿宋_GB2312"/>
              </w:rPr>
              <w:t>《阳江市国土空间规划（2021-2035）》</w:t>
            </w:r>
          </w:p>
        </w:tc>
      </w:tr>
      <w:tr w14:paraId="5A6A4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242" w:type="pct"/>
            <w:vMerge w:val="continue"/>
            <w:vAlign w:val="center"/>
          </w:tcPr>
          <w:p w14:paraId="54539F88">
            <w:pPr>
              <w:widowControl/>
              <w:jc w:val="center"/>
              <w:rPr>
                <w:rFonts w:ascii="仿宋_GB2312" w:eastAsia="仿宋_GB2312"/>
              </w:rPr>
            </w:pPr>
          </w:p>
        </w:tc>
        <w:tc>
          <w:tcPr>
            <w:tcW w:w="228" w:type="pct"/>
            <w:vAlign w:val="center"/>
          </w:tcPr>
          <w:p w14:paraId="487F69E0">
            <w:pPr>
              <w:widowControl/>
              <w:jc w:val="center"/>
              <w:rPr>
                <w:rFonts w:ascii="仿宋_GB2312" w:eastAsia="仿宋_GB2312"/>
              </w:rPr>
            </w:pPr>
            <w:r>
              <w:rPr>
                <w:rFonts w:ascii="仿宋_GB2312" w:eastAsia="仿宋_GB2312"/>
              </w:rPr>
              <w:t>7</w:t>
            </w:r>
          </w:p>
        </w:tc>
        <w:tc>
          <w:tcPr>
            <w:tcW w:w="1126" w:type="pct"/>
            <w:vAlign w:val="center"/>
          </w:tcPr>
          <w:p w14:paraId="0C55ED5B">
            <w:pPr>
              <w:widowControl/>
              <w:jc w:val="left"/>
              <w:rPr>
                <w:rFonts w:ascii="仿宋_GB2312" w:eastAsia="仿宋_GB2312"/>
              </w:rPr>
            </w:pPr>
            <w:r>
              <w:rPr>
                <w:rFonts w:hint="eastAsia" w:ascii="仿宋_GB2312" w:eastAsia="仿宋_GB2312"/>
              </w:rPr>
              <w:t>大陆自然海岸线保有率</w:t>
            </w:r>
          </w:p>
        </w:tc>
        <w:tc>
          <w:tcPr>
            <w:tcW w:w="264" w:type="pct"/>
            <w:vAlign w:val="center"/>
          </w:tcPr>
          <w:p w14:paraId="2A41BF0C">
            <w:pPr>
              <w:widowControl/>
              <w:jc w:val="center"/>
              <w:rPr>
                <w:rFonts w:ascii="仿宋_GB2312" w:eastAsia="仿宋_GB2312"/>
              </w:rPr>
            </w:pPr>
            <w:r>
              <w:rPr>
                <w:rFonts w:hint="eastAsia" w:ascii="仿宋_GB2312" w:eastAsia="仿宋_GB2312"/>
              </w:rPr>
              <w:t>%</w:t>
            </w:r>
          </w:p>
        </w:tc>
        <w:tc>
          <w:tcPr>
            <w:tcW w:w="341" w:type="pct"/>
            <w:vAlign w:val="center"/>
          </w:tcPr>
          <w:p w14:paraId="64C46F23">
            <w:pPr>
              <w:widowControl/>
              <w:jc w:val="center"/>
              <w:rPr>
                <w:rFonts w:ascii="仿宋_GB2312" w:eastAsia="仿宋_GB2312"/>
              </w:rPr>
            </w:pPr>
            <w:r>
              <w:rPr>
                <w:rFonts w:hint="eastAsia" w:ascii="仿宋_GB2312" w:eastAsia="仿宋_GB2312"/>
              </w:rPr>
              <w:t>36.7</w:t>
            </w:r>
          </w:p>
        </w:tc>
        <w:tc>
          <w:tcPr>
            <w:tcW w:w="565" w:type="pct"/>
            <w:vAlign w:val="center"/>
          </w:tcPr>
          <w:p w14:paraId="64E90AD2">
            <w:pPr>
              <w:widowControl/>
              <w:jc w:val="center"/>
              <w:rPr>
                <w:rFonts w:ascii="仿宋_GB2312" w:eastAsia="仿宋_GB2312"/>
              </w:rPr>
            </w:pPr>
            <w:r>
              <w:rPr>
                <w:rFonts w:hint="eastAsia" w:ascii="仿宋_GB2312" w:eastAsia="仿宋_GB2312"/>
              </w:rPr>
              <w:t>36.7</w:t>
            </w:r>
          </w:p>
        </w:tc>
        <w:tc>
          <w:tcPr>
            <w:tcW w:w="559" w:type="pct"/>
            <w:vAlign w:val="center"/>
          </w:tcPr>
          <w:p w14:paraId="1EC17B95">
            <w:pPr>
              <w:widowControl/>
              <w:jc w:val="center"/>
              <w:rPr>
                <w:rFonts w:ascii="仿宋_GB2312" w:eastAsia="仿宋_GB2312"/>
              </w:rPr>
            </w:pPr>
            <w:r>
              <w:rPr>
                <w:rFonts w:hint="eastAsia" w:ascii="仿宋_GB2312" w:eastAsia="仿宋_GB2312"/>
              </w:rPr>
              <w:t>36.7</w:t>
            </w:r>
          </w:p>
        </w:tc>
        <w:tc>
          <w:tcPr>
            <w:tcW w:w="248" w:type="pct"/>
            <w:vAlign w:val="center"/>
          </w:tcPr>
          <w:p w14:paraId="12A25D1E">
            <w:pPr>
              <w:widowControl/>
              <w:jc w:val="center"/>
              <w:rPr>
                <w:rFonts w:ascii="仿宋_GB2312" w:eastAsia="仿宋_GB2312"/>
              </w:rPr>
            </w:pPr>
            <w:r>
              <w:rPr>
                <w:rFonts w:hint="eastAsia" w:ascii="仿宋_GB2312" w:eastAsia="仿宋_GB2312"/>
              </w:rPr>
              <w:t>约束性</w:t>
            </w:r>
          </w:p>
        </w:tc>
        <w:tc>
          <w:tcPr>
            <w:tcW w:w="1427" w:type="pct"/>
            <w:vAlign w:val="center"/>
          </w:tcPr>
          <w:p w14:paraId="1CEE3971">
            <w:pPr>
              <w:widowControl/>
              <w:jc w:val="left"/>
              <w:rPr>
                <w:rFonts w:ascii="仿宋_GB2312" w:eastAsia="仿宋_GB2312"/>
              </w:rPr>
            </w:pPr>
            <w:r>
              <w:rPr>
                <w:rFonts w:hint="eastAsia" w:ascii="仿宋_GB2312" w:eastAsia="仿宋_GB2312"/>
              </w:rPr>
              <w:t>《阳江市国土空间规划（2021-2035）》</w:t>
            </w:r>
          </w:p>
        </w:tc>
      </w:tr>
      <w:tr w14:paraId="38020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242" w:type="pct"/>
            <w:vMerge w:val="continue"/>
            <w:vAlign w:val="center"/>
          </w:tcPr>
          <w:p w14:paraId="7BD6FE29">
            <w:pPr>
              <w:widowControl/>
              <w:jc w:val="center"/>
              <w:rPr>
                <w:rFonts w:ascii="仿宋_GB2312" w:eastAsia="仿宋_GB2312"/>
              </w:rPr>
            </w:pPr>
          </w:p>
        </w:tc>
        <w:tc>
          <w:tcPr>
            <w:tcW w:w="228" w:type="pct"/>
            <w:vAlign w:val="center"/>
          </w:tcPr>
          <w:p w14:paraId="47F7E2C2">
            <w:pPr>
              <w:widowControl/>
              <w:jc w:val="center"/>
              <w:rPr>
                <w:rFonts w:ascii="仿宋_GB2312" w:eastAsia="仿宋_GB2312"/>
              </w:rPr>
            </w:pPr>
            <w:r>
              <w:rPr>
                <w:rFonts w:ascii="仿宋_GB2312" w:eastAsia="仿宋_GB2312"/>
              </w:rPr>
              <w:t>8</w:t>
            </w:r>
          </w:p>
        </w:tc>
        <w:tc>
          <w:tcPr>
            <w:tcW w:w="1126" w:type="pct"/>
            <w:vAlign w:val="center"/>
          </w:tcPr>
          <w:p w14:paraId="238EED70">
            <w:pPr>
              <w:widowControl/>
              <w:jc w:val="left"/>
              <w:rPr>
                <w:rFonts w:ascii="仿宋_GB2312" w:eastAsia="仿宋_GB2312"/>
              </w:rPr>
            </w:pPr>
            <w:r>
              <w:rPr>
                <w:rFonts w:hint="eastAsia" w:ascii="仿宋_GB2312" w:eastAsia="仿宋_GB2312"/>
              </w:rPr>
              <w:t>重要河湖自然岸线保有率</w:t>
            </w:r>
          </w:p>
        </w:tc>
        <w:tc>
          <w:tcPr>
            <w:tcW w:w="264" w:type="pct"/>
            <w:vAlign w:val="center"/>
          </w:tcPr>
          <w:p w14:paraId="4A4C108D">
            <w:pPr>
              <w:widowControl/>
              <w:jc w:val="center"/>
              <w:rPr>
                <w:rFonts w:ascii="仿宋_GB2312" w:eastAsia="仿宋_GB2312"/>
              </w:rPr>
            </w:pPr>
            <w:r>
              <w:rPr>
                <w:rFonts w:hint="eastAsia" w:ascii="仿宋_GB2312" w:eastAsia="仿宋_GB2312"/>
              </w:rPr>
              <w:t>%</w:t>
            </w:r>
          </w:p>
        </w:tc>
        <w:tc>
          <w:tcPr>
            <w:tcW w:w="341" w:type="pct"/>
            <w:vAlign w:val="center"/>
          </w:tcPr>
          <w:p w14:paraId="0B0EB8AC">
            <w:pPr>
              <w:widowControl/>
              <w:jc w:val="center"/>
              <w:rPr>
                <w:rFonts w:ascii="仿宋_GB2312" w:eastAsia="仿宋_GB2312"/>
              </w:rPr>
            </w:pPr>
            <w:r>
              <w:rPr>
                <w:rFonts w:hint="eastAsia" w:ascii="仿宋_GB2312" w:eastAsia="仿宋_GB2312"/>
              </w:rPr>
              <w:t>/</w:t>
            </w:r>
          </w:p>
        </w:tc>
        <w:tc>
          <w:tcPr>
            <w:tcW w:w="565" w:type="pct"/>
            <w:vAlign w:val="center"/>
          </w:tcPr>
          <w:p w14:paraId="56B6180A">
            <w:pPr>
              <w:widowControl/>
              <w:jc w:val="center"/>
              <w:rPr>
                <w:rFonts w:ascii="仿宋_GB2312" w:eastAsia="仿宋_GB2312"/>
              </w:rPr>
            </w:pPr>
            <w:r>
              <w:rPr>
                <w:rFonts w:hint="eastAsia" w:ascii="仿宋_GB2312" w:eastAsia="仿宋_GB2312"/>
              </w:rPr>
              <w:t>依据省下达任务确定</w:t>
            </w:r>
          </w:p>
        </w:tc>
        <w:tc>
          <w:tcPr>
            <w:tcW w:w="559" w:type="pct"/>
            <w:vAlign w:val="center"/>
          </w:tcPr>
          <w:p w14:paraId="174B0682">
            <w:pPr>
              <w:widowControl/>
              <w:jc w:val="center"/>
              <w:rPr>
                <w:rFonts w:ascii="仿宋_GB2312" w:eastAsia="仿宋_GB2312"/>
              </w:rPr>
            </w:pPr>
            <w:r>
              <w:rPr>
                <w:rFonts w:hint="eastAsia" w:ascii="仿宋_GB2312" w:eastAsia="仿宋_GB2312"/>
              </w:rPr>
              <w:t>依据省下达任务确定</w:t>
            </w:r>
          </w:p>
        </w:tc>
        <w:tc>
          <w:tcPr>
            <w:tcW w:w="248" w:type="pct"/>
            <w:vAlign w:val="center"/>
          </w:tcPr>
          <w:p w14:paraId="605F992E">
            <w:pPr>
              <w:widowControl/>
              <w:jc w:val="center"/>
              <w:rPr>
                <w:rFonts w:ascii="仿宋_GB2312" w:eastAsia="仿宋_GB2312"/>
              </w:rPr>
            </w:pPr>
            <w:r>
              <w:rPr>
                <w:rFonts w:hint="eastAsia" w:ascii="仿宋_GB2312" w:eastAsia="仿宋_GB2312"/>
              </w:rPr>
              <w:t>约束性</w:t>
            </w:r>
          </w:p>
        </w:tc>
        <w:tc>
          <w:tcPr>
            <w:tcW w:w="1427" w:type="pct"/>
            <w:vAlign w:val="center"/>
          </w:tcPr>
          <w:p w14:paraId="55FA3A62">
            <w:pPr>
              <w:widowControl/>
              <w:jc w:val="left"/>
              <w:rPr>
                <w:rFonts w:ascii="仿宋_GB2312" w:eastAsia="仿宋_GB2312"/>
              </w:rPr>
            </w:pPr>
            <w:r>
              <w:rPr>
                <w:rFonts w:hint="eastAsia" w:ascii="仿宋_GB2312" w:eastAsia="仿宋_GB2312"/>
              </w:rPr>
              <w:t>《阳江市国土空间规划（2021-2035）》</w:t>
            </w:r>
          </w:p>
        </w:tc>
      </w:tr>
      <w:tr w14:paraId="0B515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242" w:type="pct"/>
            <w:vMerge w:val="continue"/>
            <w:vAlign w:val="center"/>
          </w:tcPr>
          <w:p w14:paraId="4947E2E3">
            <w:pPr>
              <w:widowControl/>
              <w:jc w:val="center"/>
              <w:rPr>
                <w:rFonts w:ascii="仿宋_GB2312" w:eastAsia="仿宋_GB2312"/>
              </w:rPr>
            </w:pPr>
          </w:p>
        </w:tc>
        <w:tc>
          <w:tcPr>
            <w:tcW w:w="228" w:type="pct"/>
            <w:vAlign w:val="center"/>
          </w:tcPr>
          <w:p w14:paraId="5C022D82">
            <w:pPr>
              <w:widowControl/>
              <w:jc w:val="center"/>
              <w:rPr>
                <w:rFonts w:ascii="仿宋_GB2312" w:eastAsia="仿宋_GB2312"/>
              </w:rPr>
            </w:pPr>
            <w:r>
              <w:rPr>
                <w:rFonts w:ascii="仿宋_GB2312" w:eastAsia="仿宋_GB2312"/>
              </w:rPr>
              <w:t>9</w:t>
            </w:r>
          </w:p>
        </w:tc>
        <w:tc>
          <w:tcPr>
            <w:tcW w:w="1126" w:type="pct"/>
            <w:vAlign w:val="center"/>
          </w:tcPr>
          <w:p w14:paraId="5B0151FE">
            <w:pPr>
              <w:widowControl/>
              <w:jc w:val="left"/>
              <w:rPr>
                <w:rFonts w:ascii="仿宋_GB2312" w:eastAsia="仿宋_GB2312"/>
              </w:rPr>
            </w:pPr>
            <w:r>
              <w:rPr>
                <w:rFonts w:hint="eastAsia" w:ascii="仿宋_GB2312" w:eastAsia="仿宋_GB2312"/>
              </w:rPr>
              <w:t>林地保有量</w:t>
            </w:r>
          </w:p>
        </w:tc>
        <w:tc>
          <w:tcPr>
            <w:tcW w:w="264" w:type="pct"/>
            <w:vAlign w:val="center"/>
          </w:tcPr>
          <w:p w14:paraId="700609CA">
            <w:pPr>
              <w:widowControl/>
              <w:jc w:val="center"/>
              <w:rPr>
                <w:rFonts w:ascii="仿宋_GB2312" w:eastAsia="仿宋_GB2312"/>
              </w:rPr>
            </w:pPr>
            <w:r>
              <w:rPr>
                <w:rFonts w:hint="eastAsia" w:ascii="仿宋_GB2312" w:eastAsia="仿宋_GB2312"/>
              </w:rPr>
              <w:t>平方公里</w:t>
            </w:r>
          </w:p>
        </w:tc>
        <w:tc>
          <w:tcPr>
            <w:tcW w:w="341" w:type="pct"/>
            <w:vAlign w:val="center"/>
          </w:tcPr>
          <w:p w14:paraId="51AF4477">
            <w:pPr>
              <w:widowControl/>
              <w:jc w:val="center"/>
              <w:rPr>
                <w:rFonts w:ascii="仿宋_GB2312" w:eastAsia="仿宋_GB2312"/>
              </w:rPr>
            </w:pPr>
            <w:r>
              <w:rPr>
                <w:rFonts w:hint="eastAsia" w:ascii="仿宋_GB2312" w:eastAsia="仿宋_GB2312"/>
              </w:rPr>
              <w:t>4652.18</w:t>
            </w:r>
          </w:p>
        </w:tc>
        <w:tc>
          <w:tcPr>
            <w:tcW w:w="565" w:type="pct"/>
            <w:vAlign w:val="center"/>
          </w:tcPr>
          <w:p w14:paraId="1DA818E0">
            <w:pPr>
              <w:widowControl/>
              <w:jc w:val="center"/>
              <w:rPr>
                <w:rFonts w:ascii="仿宋_GB2312" w:eastAsia="仿宋_GB2312"/>
              </w:rPr>
            </w:pPr>
            <w:r>
              <w:rPr>
                <w:rFonts w:hint="eastAsia" w:ascii="仿宋_GB2312" w:eastAsia="仿宋_GB2312"/>
              </w:rPr>
              <w:t>/</w:t>
            </w:r>
          </w:p>
        </w:tc>
        <w:tc>
          <w:tcPr>
            <w:tcW w:w="559" w:type="pct"/>
            <w:vAlign w:val="center"/>
          </w:tcPr>
          <w:p w14:paraId="6BE85477">
            <w:pPr>
              <w:widowControl/>
              <w:jc w:val="center"/>
              <w:rPr>
                <w:rFonts w:ascii="仿宋_GB2312" w:eastAsia="仿宋_GB2312"/>
              </w:rPr>
            </w:pPr>
            <w:r>
              <w:rPr>
                <w:rFonts w:hint="eastAsia" w:ascii="仿宋_GB2312" w:eastAsia="仿宋_GB2312"/>
              </w:rPr>
              <w:t>4569.04</w:t>
            </w:r>
          </w:p>
        </w:tc>
        <w:tc>
          <w:tcPr>
            <w:tcW w:w="248" w:type="pct"/>
            <w:vAlign w:val="center"/>
          </w:tcPr>
          <w:p w14:paraId="3383BBE6">
            <w:pPr>
              <w:widowControl/>
              <w:jc w:val="center"/>
              <w:rPr>
                <w:rFonts w:ascii="仿宋_GB2312" w:eastAsia="仿宋_GB2312"/>
              </w:rPr>
            </w:pPr>
            <w:r>
              <w:rPr>
                <w:rFonts w:hint="eastAsia" w:ascii="仿宋_GB2312" w:eastAsia="仿宋_GB2312"/>
              </w:rPr>
              <w:t>约束性</w:t>
            </w:r>
          </w:p>
        </w:tc>
        <w:tc>
          <w:tcPr>
            <w:tcW w:w="1427" w:type="pct"/>
            <w:vAlign w:val="center"/>
          </w:tcPr>
          <w:p w14:paraId="1A08D6C6">
            <w:pPr>
              <w:widowControl/>
              <w:jc w:val="left"/>
              <w:rPr>
                <w:rFonts w:ascii="仿宋_GB2312" w:eastAsia="仿宋_GB2312"/>
              </w:rPr>
            </w:pPr>
            <w:r>
              <w:rPr>
                <w:rFonts w:hint="eastAsia" w:ascii="仿宋_GB2312" w:eastAsia="仿宋_GB2312"/>
              </w:rPr>
              <w:t>《阳江市国土空间规划（2021-2035）》</w:t>
            </w:r>
          </w:p>
        </w:tc>
      </w:tr>
      <w:tr w14:paraId="5F066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242" w:type="pct"/>
            <w:vMerge w:val="continue"/>
            <w:vAlign w:val="center"/>
          </w:tcPr>
          <w:p w14:paraId="56488F06">
            <w:pPr>
              <w:widowControl/>
              <w:jc w:val="center"/>
              <w:rPr>
                <w:rFonts w:ascii="仿宋_GB2312" w:eastAsia="仿宋_GB2312"/>
              </w:rPr>
            </w:pPr>
          </w:p>
        </w:tc>
        <w:tc>
          <w:tcPr>
            <w:tcW w:w="228" w:type="pct"/>
            <w:vAlign w:val="center"/>
          </w:tcPr>
          <w:p w14:paraId="5ED3CF6A">
            <w:pPr>
              <w:widowControl/>
              <w:jc w:val="center"/>
              <w:rPr>
                <w:rFonts w:ascii="仿宋_GB2312" w:eastAsia="仿宋_GB2312"/>
              </w:rPr>
            </w:pPr>
            <w:r>
              <w:rPr>
                <w:rFonts w:ascii="仿宋_GB2312" w:eastAsia="仿宋_GB2312"/>
              </w:rPr>
              <w:t>10</w:t>
            </w:r>
          </w:p>
        </w:tc>
        <w:tc>
          <w:tcPr>
            <w:tcW w:w="1126" w:type="pct"/>
            <w:vAlign w:val="center"/>
          </w:tcPr>
          <w:p w14:paraId="192C9DDA">
            <w:pPr>
              <w:widowControl/>
              <w:jc w:val="left"/>
              <w:rPr>
                <w:rFonts w:ascii="仿宋_GB2312" w:eastAsia="仿宋_GB2312"/>
              </w:rPr>
            </w:pPr>
            <w:r>
              <w:rPr>
                <w:rFonts w:hint="eastAsia" w:ascii="仿宋_GB2312" w:eastAsia="仿宋_GB2312"/>
              </w:rPr>
              <w:t>地表水达到或好于Ⅲ类水体比例</w:t>
            </w:r>
          </w:p>
        </w:tc>
        <w:tc>
          <w:tcPr>
            <w:tcW w:w="264" w:type="pct"/>
            <w:vAlign w:val="center"/>
          </w:tcPr>
          <w:p w14:paraId="5DEF6D54">
            <w:pPr>
              <w:widowControl/>
              <w:jc w:val="center"/>
              <w:rPr>
                <w:rFonts w:ascii="仿宋_GB2312" w:eastAsia="仿宋_GB2312"/>
              </w:rPr>
            </w:pPr>
            <w:r>
              <w:rPr>
                <w:rFonts w:hint="eastAsia" w:ascii="仿宋_GB2312" w:eastAsia="仿宋_GB2312"/>
              </w:rPr>
              <w:t>%</w:t>
            </w:r>
          </w:p>
        </w:tc>
        <w:tc>
          <w:tcPr>
            <w:tcW w:w="341" w:type="pct"/>
            <w:vAlign w:val="center"/>
          </w:tcPr>
          <w:p w14:paraId="5A9070CF">
            <w:pPr>
              <w:widowControl/>
              <w:jc w:val="center"/>
              <w:rPr>
                <w:rFonts w:ascii="仿宋_GB2312" w:eastAsia="仿宋_GB2312"/>
              </w:rPr>
            </w:pPr>
            <w:r>
              <w:rPr>
                <w:rFonts w:hint="eastAsia" w:ascii="仿宋_GB2312" w:eastAsia="仿宋_GB2312"/>
              </w:rPr>
              <w:t>100</w:t>
            </w:r>
          </w:p>
        </w:tc>
        <w:tc>
          <w:tcPr>
            <w:tcW w:w="565" w:type="pct"/>
            <w:vAlign w:val="center"/>
          </w:tcPr>
          <w:p w14:paraId="138E2782">
            <w:pPr>
              <w:widowControl/>
              <w:jc w:val="center"/>
              <w:rPr>
                <w:rFonts w:ascii="仿宋_GB2312" w:eastAsia="仿宋_GB2312"/>
              </w:rPr>
            </w:pPr>
            <w:r>
              <w:rPr>
                <w:rFonts w:hint="eastAsia" w:ascii="仿宋_GB2312" w:eastAsia="仿宋_GB2312"/>
              </w:rPr>
              <w:t>100</w:t>
            </w:r>
          </w:p>
        </w:tc>
        <w:tc>
          <w:tcPr>
            <w:tcW w:w="559" w:type="pct"/>
            <w:vAlign w:val="center"/>
          </w:tcPr>
          <w:p w14:paraId="1C1DE1F0">
            <w:pPr>
              <w:widowControl/>
              <w:jc w:val="center"/>
              <w:rPr>
                <w:rFonts w:ascii="仿宋_GB2312" w:eastAsia="仿宋_GB2312"/>
              </w:rPr>
            </w:pPr>
            <w:r>
              <w:rPr>
                <w:rFonts w:hint="eastAsia" w:ascii="仿宋_GB2312" w:eastAsia="仿宋_GB2312"/>
              </w:rPr>
              <w:t>依据省下达任务确定</w:t>
            </w:r>
          </w:p>
        </w:tc>
        <w:tc>
          <w:tcPr>
            <w:tcW w:w="248" w:type="pct"/>
            <w:vAlign w:val="center"/>
          </w:tcPr>
          <w:p w14:paraId="495EE603">
            <w:pPr>
              <w:widowControl/>
              <w:jc w:val="center"/>
              <w:rPr>
                <w:rFonts w:ascii="仿宋_GB2312" w:eastAsia="仿宋_GB2312"/>
              </w:rPr>
            </w:pPr>
            <w:r>
              <w:rPr>
                <w:rFonts w:hint="eastAsia" w:ascii="仿宋_GB2312" w:eastAsia="仿宋_GB2312"/>
              </w:rPr>
              <w:t>约束性</w:t>
            </w:r>
          </w:p>
        </w:tc>
        <w:tc>
          <w:tcPr>
            <w:tcW w:w="1427" w:type="pct"/>
            <w:vAlign w:val="center"/>
          </w:tcPr>
          <w:p w14:paraId="6F249BB2">
            <w:pPr>
              <w:widowControl/>
              <w:jc w:val="left"/>
              <w:rPr>
                <w:rFonts w:ascii="仿宋_GB2312" w:eastAsia="仿宋_GB2312"/>
              </w:rPr>
            </w:pPr>
            <w:r>
              <w:rPr>
                <w:rFonts w:hint="eastAsia" w:ascii="仿宋_GB2312" w:eastAsia="仿宋_GB2312"/>
              </w:rPr>
              <w:t>《阳江市国民经济和社会发展第十四个五年规划和二</w:t>
            </w:r>
            <w:r>
              <w:rPr>
                <w:rFonts w:hint="eastAsia" w:ascii="微软雅黑" w:hAnsi="微软雅黑" w:eastAsia="微软雅黑" w:cs="微软雅黑"/>
              </w:rPr>
              <w:t>〇</w:t>
            </w:r>
            <w:r>
              <w:rPr>
                <w:rFonts w:hint="eastAsia" w:ascii="仿宋_GB2312" w:hAnsi="仿宋_GB2312" w:eastAsia="仿宋_GB2312" w:cs="仿宋_GB2312"/>
              </w:rPr>
              <w:t>三五年远景目标纲要》</w:t>
            </w:r>
          </w:p>
        </w:tc>
      </w:tr>
      <w:tr w14:paraId="7267D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242" w:type="pct"/>
            <w:vMerge w:val="continue"/>
            <w:vAlign w:val="center"/>
          </w:tcPr>
          <w:p w14:paraId="690FEF9D">
            <w:pPr>
              <w:widowControl/>
              <w:jc w:val="center"/>
              <w:rPr>
                <w:rFonts w:ascii="仿宋_GB2312" w:eastAsia="仿宋_GB2312"/>
              </w:rPr>
            </w:pPr>
          </w:p>
        </w:tc>
        <w:tc>
          <w:tcPr>
            <w:tcW w:w="228" w:type="pct"/>
            <w:vAlign w:val="center"/>
          </w:tcPr>
          <w:p w14:paraId="09CA4742">
            <w:pPr>
              <w:widowControl/>
              <w:jc w:val="center"/>
              <w:rPr>
                <w:rFonts w:ascii="仿宋_GB2312" w:eastAsia="仿宋_GB2312"/>
              </w:rPr>
            </w:pPr>
            <w:r>
              <w:rPr>
                <w:rFonts w:hint="eastAsia" w:ascii="仿宋_GB2312" w:eastAsia="仿宋_GB2312"/>
              </w:rPr>
              <w:t>1</w:t>
            </w:r>
            <w:r>
              <w:rPr>
                <w:rFonts w:ascii="仿宋_GB2312" w:eastAsia="仿宋_GB2312"/>
              </w:rPr>
              <w:t>1</w:t>
            </w:r>
          </w:p>
        </w:tc>
        <w:tc>
          <w:tcPr>
            <w:tcW w:w="1126" w:type="pct"/>
            <w:vAlign w:val="center"/>
          </w:tcPr>
          <w:p w14:paraId="69F8FC89">
            <w:pPr>
              <w:widowControl/>
              <w:jc w:val="left"/>
              <w:rPr>
                <w:rFonts w:ascii="仿宋_GB2312" w:eastAsia="仿宋_GB2312"/>
              </w:rPr>
            </w:pPr>
            <w:r>
              <w:rPr>
                <w:rFonts w:hint="eastAsia" w:ascii="仿宋_GB2312" w:eastAsia="仿宋_GB2312"/>
              </w:rPr>
              <w:t>近岸海域水质优良（一、二类）面积比例</w:t>
            </w:r>
          </w:p>
        </w:tc>
        <w:tc>
          <w:tcPr>
            <w:tcW w:w="264" w:type="pct"/>
            <w:vAlign w:val="center"/>
          </w:tcPr>
          <w:p w14:paraId="526370B1">
            <w:pPr>
              <w:widowControl/>
              <w:jc w:val="center"/>
              <w:rPr>
                <w:rFonts w:ascii="仿宋_GB2312" w:eastAsia="仿宋_GB2312"/>
              </w:rPr>
            </w:pPr>
            <w:r>
              <w:rPr>
                <w:rFonts w:hint="eastAsia" w:ascii="仿宋_GB2312" w:eastAsia="仿宋_GB2312"/>
              </w:rPr>
              <w:t>%</w:t>
            </w:r>
          </w:p>
        </w:tc>
        <w:tc>
          <w:tcPr>
            <w:tcW w:w="341" w:type="pct"/>
            <w:vAlign w:val="center"/>
          </w:tcPr>
          <w:p w14:paraId="0C6D4848">
            <w:pPr>
              <w:widowControl/>
              <w:jc w:val="center"/>
              <w:rPr>
                <w:rFonts w:ascii="仿宋_GB2312" w:eastAsia="仿宋_GB2312"/>
              </w:rPr>
            </w:pPr>
            <w:r>
              <w:rPr>
                <w:rFonts w:hint="eastAsia" w:ascii="仿宋_GB2312" w:eastAsia="仿宋_GB2312"/>
              </w:rPr>
              <w:t>88.5</w:t>
            </w:r>
          </w:p>
        </w:tc>
        <w:tc>
          <w:tcPr>
            <w:tcW w:w="565" w:type="pct"/>
            <w:vAlign w:val="center"/>
          </w:tcPr>
          <w:p w14:paraId="7389DE03">
            <w:pPr>
              <w:widowControl/>
              <w:jc w:val="center"/>
              <w:rPr>
                <w:rFonts w:ascii="仿宋_GB2312" w:eastAsia="仿宋_GB2312"/>
              </w:rPr>
            </w:pPr>
            <w:r>
              <w:rPr>
                <w:rFonts w:hint="eastAsia" w:ascii="仿宋_GB2312" w:eastAsia="仿宋_GB2312"/>
              </w:rPr>
              <w:t>96.8</w:t>
            </w:r>
          </w:p>
        </w:tc>
        <w:tc>
          <w:tcPr>
            <w:tcW w:w="559" w:type="pct"/>
            <w:vAlign w:val="center"/>
          </w:tcPr>
          <w:p w14:paraId="637553C5">
            <w:pPr>
              <w:widowControl/>
              <w:jc w:val="center"/>
              <w:rPr>
                <w:rFonts w:ascii="仿宋_GB2312" w:eastAsia="仿宋_GB2312"/>
              </w:rPr>
            </w:pPr>
            <w:r>
              <w:rPr>
                <w:rFonts w:hint="eastAsia" w:ascii="仿宋_GB2312" w:eastAsia="仿宋_GB2312"/>
              </w:rPr>
              <w:t>依据省下达任务确定</w:t>
            </w:r>
          </w:p>
        </w:tc>
        <w:tc>
          <w:tcPr>
            <w:tcW w:w="248" w:type="pct"/>
            <w:vAlign w:val="center"/>
          </w:tcPr>
          <w:p w14:paraId="5659D34B">
            <w:pPr>
              <w:widowControl/>
              <w:jc w:val="center"/>
              <w:rPr>
                <w:rFonts w:ascii="仿宋_GB2312" w:eastAsia="仿宋_GB2312"/>
              </w:rPr>
            </w:pPr>
            <w:r>
              <w:rPr>
                <w:rFonts w:hint="eastAsia" w:ascii="仿宋_GB2312" w:eastAsia="仿宋_GB2312"/>
              </w:rPr>
              <w:t>预期性</w:t>
            </w:r>
          </w:p>
        </w:tc>
        <w:tc>
          <w:tcPr>
            <w:tcW w:w="1427" w:type="pct"/>
            <w:vAlign w:val="center"/>
          </w:tcPr>
          <w:p w14:paraId="0F00F2C6">
            <w:pPr>
              <w:widowControl/>
              <w:jc w:val="left"/>
              <w:rPr>
                <w:rFonts w:ascii="仿宋_GB2312" w:eastAsia="仿宋_GB2312"/>
              </w:rPr>
            </w:pPr>
            <w:r>
              <w:rPr>
                <w:rFonts w:hint="eastAsia" w:ascii="仿宋_GB2312" w:eastAsia="仿宋_GB2312"/>
              </w:rPr>
              <w:t>《阳江市生态环境保护“十四五”规划》</w:t>
            </w:r>
          </w:p>
        </w:tc>
      </w:tr>
      <w:tr w14:paraId="565AD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242" w:type="pct"/>
            <w:vMerge w:val="restart"/>
            <w:vAlign w:val="center"/>
          </w:tcPr>
          <w:p w14:paraId="675D139D">
            <w:pPr>
              <w:widowControl/>
              <w:jc w:val="center"/>
              <w:rPr>
                <w:rFonts w:ascii="仿宋_GB2312" w:eastAsia="仿宋_GB2312"/>
              </w:rPr>
            </w:pPr>
            <w:r>
              <w:rPr>
                <w:rFonts w:hint="eastAsia" w:ascii="仿宋_GB2312" w:eastAsia="仿宋_GB2312"/>
                <w:b/>
                <w:bCs/>
              </w:rPr>
              <w:t>修复治理类</w:t>
            </w:r>
          </w:p>
        </w:tc>
        <w:tc>
          <w:tcPr>
            <w:tcW w:w="228" w:type="pct"/>
            <w:vAlign w:val="center"/>
          </w:tcPr>
          <w:p w14:paraId="3CEF2B77">
            <w:pPr>
              <w:widowControl/>
              <w:jc w:val="center"/>
              <w:rPr>
                <w:rFonts w:ascii="仿宋_GB2312" w:eastAsia="仿宋_GB2312"/>
              </w:rPr>
            </w:pPr>
            <w:r>
              <w:rPr>
                <w:rFonts w:hint="eastAsia" w:ascii="仿宋_GB2312" w:eastAsia="仿宋_GB2312"/>
              </w:rPr>
              <w:t>1</w:t>
            </w:r>
            <w:r>
              <w:rPr>
                <w:rFonts w:ascii="仿宋_GB2312" w:eastAsia="仿宋_GB2312"/>
              </w:rPr>
              <w:t>2</w:t>
            </w:r>
          </w:p>
        </w:tc>
        <w:tc>
          <w:tcPr>
            <w:tcW w:w="1126" w:type="pct"/>
            <w:vAlign w:val="center"/>
          </w:tcPr>
          <w:p w14:paraId="5E9CF3EA">
            <w:pPr>
              <w:widowControl/>
              <w:jc w:val="left"/>
              <w:rPr>
                <w:rFonts w:ascii="仿宋_GB2312" w:eastAsia="仿宋_GB2312"/>
              </w:rPr>
            </w:pPr>
            <w:r>
              <w:rPr>
                <w:rFonts w:hint="eastAsia" w:ascii="仿宋_GB2312" w:eastAsia="仿宋_GB2312"/>
              </w:rPr>
              <w:t>高质量碧道建设长度</w:t>
            </w:r>
          </w:p>
        </w:tc>
        <w:tc>
          <w:tcPr>
            <w:tcW w:w="264" w:type="pct"/>
            <w:vAlign w:val="center"/>
          </w:tcPr>
          <w:p w14:paraId="449454BC">
            <w:pPr>
              <w:widowControl/>
              <w:jc w:val="center"/>
              <w:rPr>
                <w:rFonts w:ascii="仿宋_GB2312" w:eastAsia="仿宋_GB2312"/>
              </w:rPr>
            </w:pPr>
            <w:r>
              <w:rPr>
                <w:rFonts w:hint="eastAsia" w:ascii="仿宋_GB2312" w:eastAsia="仿宋_GB2312"/>
              </w:rPr>
              <w:t>公里</w:t>
            </w:r>
          </w:p>
        </w:tc>
        <w:tc>
          <w:tcPr>
            <w:tcW w:w="341" w:type="pct"/>
            <w:vAlign w:val="center"/>
          </w:tcPr>
          <w:p w14:paraId="2A6EAFBE">
            <w:pPr>
              <w:widowControl/>
              <w:jc w:val="center"/>
              <w:rPr>
                <w:rFonts w:ascii="仿宋_GB2312" w:eastAsia="仿宋_GB2312"/>
              </w:rPr>
            </w:pPr>
            <w:r>
              <w:rPr>
                <w:rFonts w:hint="eastAsia" w:ascii="仿宋_GB2312" w:eastAsia="仿宋_GB2312"/>
              </w:rPr>
              <w:t>38.8</w:t>
            </w:r>
          </w:p>
        </w:tc>
        <w:tc>
          <w:tcPr>
            <w:tcW w:w="565" w:type="pct"/>
            <w:vAlign w:val="center"/>
          </w:tcPr>
          <w:p w14:paraId="4824662E">
            <w:pPr>
              <w:widowControl/>
              <w:jc w:val="center"/>
              <w:rPr>
                <w:rFonts w:ascii="仿宋_GB2312" w:eastAsia="仿宋_GB2312"/>
              </w:rPr>
            </w:pPr>
            <w:r>
              <w:rPr>
                <w:rFonts w:hint="eastAsia" w:ascii="仿宋_GB2312" w:eastAsia="仿宋_GB2312"/>
              </w:rPr>
              <w:t>255.8</w:t>
            </w:r>
          </w:p>
        </w:tc>
        <w:tc>
          <w:tcPr>
            <w:tcW w:w="559" w:type="pct"/>
            <w:vAlign w:val="center"/>
          </w:tcPr>
          <w:p w14:paraId="5DFF2AD7">
            <w:pPr>
              <w:widowControl/>
              <w:jc w:val="center"/>
              <w:rPr>
                <w:rFonts w:ascii="仿宋_GB2312" w:eastAsia="仿宋_GB2312"/>
              </w:rPr>
            </w:pPr>
            <w:r>
              <w:rPr>
                <w:rFonts w:hint="eastAsia" w:ascii="仿宋_GB2312" w:eastAsia="仿宋_GB2312"/>
              </w:rPr>
              <w:t>922.2</w:t>
            </w:r>
          </w:p>
        </w:tc>
        <w:tc>
          <w:tcPr>
            <w:tcW w:w="248" w:type="pct"/>
            <w:vAlign w:val="center"/>
          </w:tcPr>
          <w:p w14:paraId="3B926AA2">
            <w:pPr>
              <w:widowControl/>
              <w:jc w:val="center"/>
              <w:rPr>
                <w:rFonts w:ascii="仿宋_GB2312" w:eastAsia="仿宋_GB2312"/>
              </w:rPr>
            </w:pPr>
            <w:r>
              <w:rPr>
                <w:rFonts w:hint="eastAsia" w:ascii="仿宋_GB2312" w:eastAsia="仿宋_GB2312"/>
              </w:rPr>
              <w:t>预期性</w:t>
            </w:r>
          </w:p>
        </w:tc>
        <w:tc>
          <w:tcPr>
            <w:tcW w:w="1427" w:type="pct"/>
            <w:vAlign w:val="center"/>
          </w:tcPr>
          <w:p w14:paraId="5ECB0047">
            <w:pPr>
              <w:widowControl/>
              <w:jc w:val="left"/>
              <w:rPr>
                <w:rFonts w:ascii="仿宋_GB2312" w:eastAsia="仿宋_GB2312"/>
              </w:rPr>
            </w:pPr>
            <w:r>
              <w:rPr>
                <w:rFonts w:hint="eastAsia" w:ascii="仿宋_GB2312" w:eastAsia="仿宋_GB2312"/>
              </w:rPr>
              <w:t>《阳江市水利改革发展“十四五”规划》</w:t>
            </w:r>
          </w:p>
          <w:p w14:paraId="027EE3D3">
            <w:pPr>
              <w:widowControl/>
              <w:jc w:val="left"/>
              <w:rPr>
                <w:rFonts w:ascii="仿宋_GB2312" w:eastAsia="仿宋_GB2312"/>
              </w:rPr>
            </w:pPr>
            <w:r>
              <w:rPr>
                <w:rFonts w:hint="eastAsia" w:ascii="仿宋_GB2312" w:eastAsia="仿宋_GB2312"/>
              </w:rPr>
              <w:t>《阳江市高质量碧道规划（2020-2035年）》</w:t>
            </w:r>
          </w:p>
        </w:tc>
      </w:tr>
      <w:tr w14:paraId="112DD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242" w:type="pct"/>
            <w:vMerge w:val="continue"/>
            <w:vAlign w:val="center"/>
          </w:tcPr>
          <w:p w14:paraId="46A17788">
            <w:pPr>
              <w:widowControl/>
              <w:jc w:val="center"/>
              <w:rPr>
                <w:rFonts w:ascii="仿宋_GB2312" w:eastAsia="仿宋_GB2312"/>
              </w:rPr>
            </w:pPr>
          </w:p>
        </w:tc>
        <w:tc>
          <w:tcPr>
            <w:tcW w:w="228" w:type="pct"/>
            <w:vAlign w:val="center"/>
          </w:tcPr>
          <w:p w14:paraId="37A9C991">
            <w:pPr>
              <w:widowControl/>
              <w:jc w:val="center"/>
              <w:rPr>
                <w:rFonts w:ascii="仿宋_GB2312" w:eastAsia="仿宋_GB2312"/>
              </w:rPr>
            </w:pPr>
            <w:r>
              <w:rPr>
                <w:rFonts w:hint="eastAsia" w:ascii="仿宋_GB2312" w:eastAsia="仿宋_GB2312"/>
              </w:rPr>
              <w:t>1</w:t>
            </w:r>
            <w:r>
              <w:rPr>
                <w:rFonts w:ascii="仿宋_GB2312" w:eastAsia="仿宋_GB2312"/>
              </w:rPr>
              <w:t>3</w:t>
            </w:r>
          </w:p>
        </w:tc>
        <w:tc>
          <w:tcPr>
            <w:tcW w:w="1126" w:type="pct"/>
            <w:vAlign w:val="center"/>
          </w:tcPr>
          <w:p w14:paraId="57016411">
            <w:pPr>
              <w:widowControl/>
              <w:jc w:val="left"/>
              <w:rPr>
                <w:rFonts w:ascii="仿宋_GB2312" w:eastAsia="仿宋_GB2312"/>
              </w:rPr>
            </w:pPr>
            <w:r>
              <w:rPr>
                <w:rFonts w:hint="eastAsia" w:ascii="仿宋_GB2312" w:eastAsia="仿宋_GB2312"/>
              </w:rPr>
              <w:t>新增生态修复面积</w:t>
            </w:r>
          </w:p>
        </w:tc>
        <w:tc>
          <w:tcPr>
            <w:tcW w:w="264" w:type="pct"/>
            <w:vAlign w:val="center"/>
          </w:tcPr>
          <w:p w14:paraId="22734957">
            <w:pPr>
              <w:widowControl/>
              <w:jc w:val="center"/>
              <w:rPr>
                <w:rFonts w:ascii="仿宋_GB2312" w:eastAsia="仿宋_GB2312"/>
              </w:rPr>
            </w:pPr>
            <w:r>
              <w:rPr>
                <w:rFonts w:hint="eastAsia" w:ascii="仿宋_GB2312" w:eastAsia="仿宋_GB2312"/>
              </w:rPr>
              <w:t>平方公里</w:t>
            </w:r>
          </w:p>
        </w:tc>
        <w:tc>
          <w:tcPr>
            <w:tcW w:w="341" w:type="pct"/>
            <w:vAlign w:val="center"/>
          </w:tcPr>
          <w:p w14:paraId="5A1C685C">
            <w:pPr>
              <w:widowControl/>
              <w:jc w:val="center"/>
              <w:rPr>
                <w:rFonts w:ascii="仿宋_GB2312" w:eastAsia="仿宋_GB2312"/>
              </w:rPr>
            </w:pPr>
            <w:r>
              <w:rPr>
                <w:rFonts w:hint="eastAsia" w:ascii="仿宋_GB2312" w:eastAsia="仿宋_GB2312"/>
              </w:rPr>
              <w:t>/</w:t>
            </w:r>
          </w:p>
        </w:tc>
        <w:tc>
          <w:tcPr>
            <w:tcW w:w="565" w:type="pct"/>
            <w:vAlign w:val="center"/>
          </w:tcPr>
          <w:p w14:paraId="228E3655">
            <w:pPr>
              <w:widowControl/>
              <w:jc w:val="center"/>
              <w:rPr>
                <w:rFonts w:ascii="仿宋_GB2312" w:eastAsia="仿宋_GB2312"/>
              </w:rPr>
            </w:pPr>
            <w:r>
              <w:rPr>
                <w:rFonts w:hint="eastAsia" w:ascii="仿宋_GB2312" w:eastAsia="仿宋_GB2312"/>
              </w:rPr>
              <w:t>258.76</w:t>
            </w:r>
          </w:p>
        </w:tc>
        <w:tc>
          <w:tcPr>
            <w:tcW w:w="559" w:type="pct"/>
            <w:vAlign w:val="center"/>
          </w:tcPr>
          <w:p w14:paraId="40888BD5">
            <w:pPr>
              <w:widowControl/>
              <w:jc w:val="center"/>
              <w:rPr>
                <w:rFonts w:ascii="仿宋_GB2312" w:eastAsia="仿宋_GB2312"/>
              </w:rPr>
            </w:pPr>
            <w:r>
              <w:rPr>
                <w:rFonts w:hint="eastAsia" w:ascii="仿宋_GB2312" w:eastAsia="仿宋_GB2312"/>
              </w:rPr>
              <w:t>依据省下达任务确定</w:t>
            </w:r>
          </w:p>
        </w:tc>
        <w:tc>
          <w:tcPr>
            <w:tcW w:w="248" w:type="pct"/>
            <w:vAlign w:val="center"/>
          </w:tcPr>
          <w:p w14:paraId="3FF46957">
            <w:pPr>
              <w:widowControl/>
              <w:jc w:val="center"/>
              <w:rPr>
                <w:rFonts w:ascii="仿宋_GB2312" w:eastAsia="仿宋_GB2312"/>
              </w:rPr>
            </w:pPr>
            <w:r>
              <w:rPr>
                <w:rFonts w:hint="eastAsia" w:ascii="仿宋_GB2312" w:eastAsia="仿宋_GB2312"/>
              </w:rPr>
              <w:t>预期性</w:t>
            </w:r>
          </w:p>
        </w:tc>
        <w:tc>
          <w:tcPr>
            <w:tcW w:w="1427" w:type="pct"/>
            <w:vAlign w:val="center"/>
          </w:tcPr>
          <w:p w14:paraId="5069359D">
            <w:pPr>
              <w:widowControl/>
              <w:jc w:val="left"/>
              <w:rPr>
                <w:rFonts w:ascii="仿宋_GB2312" w:eastAsia="仿宋_GB2312"/>
              </w:rPr>
            </w:pPr>
            <w:r>
              <w:rPr>
                <w:rFonts w:hint="eastAsia" w:ascii="仿宋_GB2312" w:eastAsia="仿宋_GB2312"/>
              </w:rPr>
              <w:t>《阳江市国土空间规划（2021-2035）》</w:t>
            </w:r>
          </w:p>
        </w:tc>
      </w:tr>
      <w:tr w14:paraId="7166F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trPr>
        <w:tc>
          <w:tcPr>
            <w:tcW w:w="242" w:type="pct"/>
            <w:vMerge w:val="continue"/>
            <w:vAlign w:val="center"/>
          </w:tcPr>
          <w:p w14:paraId="3F6E9A2C">
            <w:pPr>
              <w:widowControl/>
              <w:jc w:val="center"/>
              <w:rPr>
                <w:rFonts w:ascii="仿宋_GB2312" w:eastAsia="仿宋_GB2312"/>
              </w:rPr>
            </w:pPr>
          </w:p>
        </w:tc>
        <w:tc>
          <w:tcPr>
            <w:tcW w:w="228" w:type="pct"/>
            <w:vAlign w:val="center"/>
          </w:tcPr>
          <w:p w14:paraId="6B5609DE">
            <w:pPr>
              <w:widowControl/>
              <w:jc w:val="center"/>
              <w:rPr>
                <w:rFonts w:ascii="仿宋_GB2312" w:eastAsia="仿宋_GB2312"/>
              </w:rPr>
            </w:pPr>
            <w:r>
              <w:rPr>
                <w:rFonts w:hint="eastAsia" w:ascii="仿宋_GB2312" w:eastAsia="仿宋_GB2312"/>
              </w:rPr>
              <w:t>1</w:t>
            </w:r>
            <w:r>
              <w:rPr>
                <w:rFonts w:ascii="仿宋_GB2312" w:eastAsia="仿宋_GB2312"/>
              </w:rPr>
              <w:t>4</w:t>
            </w:r>
          </w:p>
        </w:tc>
        <w:tc>
          <w:tcPr>
            <w:tcW w:w="1126" w:type="pct"/>
            <w:vAlign w:val="center"/>
          </w:tcPr>
          <w:p w14:paraId="7A542E0D">
            <w:pPr>
              <w:widowControl/>
              <w:jc w:val="left"/>
              <w:rPr>
                <w:rFonts w:ascii="仿宋_GB2312" w:eastAsia="仿宋_GB2312"/>
              </w:rPr>
            </w:pPr>
            <w:r>
              <w:rPr>
                <w:rFonts w:hint="eastAsia" w:ascii="仿宋_GB2312" w:eastAsia="仿宋_GB2312"/>
              </w:rPr>
              <w:t>防治地质灾害面积</w:t>
            </w:r>
          </w:p>
        </w:tc>
        <w:tc>
          <w:tcPr>
            <w:tcW w:w="264" w:type="pct"/>
            <w:vAlign w:val="center"/>
          </w:tcPr>
          <w:p w14:paraId="2EF7B641">
            <w:pPr>
              <w:widowControl/>
              <w:jc w:val="center"/>
              <w:rPr>
                <w:rFonts w:ascii="仿宋_GB2312" w:eastAsia="仿宋_GB2312"/>
              </w:rPr>
            </w:pPr>
            <w:r>
              <w:rPr>
                <w:rFonts w:hint="eastAsia" w:ascii="仿宋_GB2312" w:eastAsia="仿宋_GB2312"/>
              </w:rPr>
              <w:t>平方公里</w:t>
            </w:r>
          </w:p>
        </w:tc>
        <w:tc>
          <w:tcPr>
            <w:tcW w:w="341" w:type="pct"/>
            <w:vAlign w:val="center"/>
          </w:tcPr>
          <w:p w14:paraId="6476FDE7">
            <w:pPr>
              <w:widowControl/>
              <w:jc w:val="center"/>
              <w:rPr>
                <w:rFonts w:ascii="仿宋_GB2312" w:eastAsia="仿宋_GB2312"/>
              </w:rPr>
            </w:pPr>
            <w:r>
              <w:rPr>
                <w:rFonts w:hint="eastAsia" w:ascii="仿宋_GB2312" w:eastAsia="仿宋_GB2312"/>
              </w:rPr>
              <w:t>1747.74</w:t>
            </w:r>
          </w:p>
        </w:tc>
        <w:tc>
          <w:tcPr>
            <w:tcW w:w="565" w:type="pct"/>
            <w:vAlign w:val="center"/>
          </w:tcPr>
          <w:p w14:paraId="0B22BD52">
            <w:pPr>
              <w:widowControl/>
              <w:jc w:val="center"/>
              <w:rPr>
                <w:rFonts w:ascii="仿宋_GB2312" w:eastAsia="仿宋_GB2312"/>
              </w:rPr>
            </w:pPr>
            <w:r>
              <w:rPr>
                <w:rFonts w:hint="eastAsia" w:ascii="仿宋_GB2312" w:eastAsia="仿宋_GB2312"/>
              </w:rPr>
              <w:t>3996.19</w:t>
            </w:r>
          </w:p>
        </w:tc>
        <w:tc>
          <w:tcPr>
            <w:tcW w:w="559" w:type="pct"/>
            <w:vAlign w:val="center"/>
          </w:tcPr>
          <w:p w14:paraId="6D7B16CF">
            <w:pPr>
              <w:widowControl/>
              <w:jc w:val="center"/>
              <w:rPr>
                <w:rFonts w:ascii="仿宋_GB2312" w:eastAsia="仿宋_GB2312"/>
              </w:rPr>
            </w:pPr>
            <w:r>
              <w:rPr>
                <w:rFonts w:hint="eastAsia" w:ascii="仿宋_GB2312" w:eastAsia="仿宋_GB2312"/>
              </w:rPr>
              <w:t>依据省下达任务确定</w:t>
            </w:r>
          </w:p>
        </w:tc>
        <w:tc>
          <w:tcPr>
            <w:tcW w:w="248" w:type="pct"/>
            <w:vAlign w:val="center"/>
          </w:tcPr>
          <w:p w14:paraId="2E260A07">
            <w:pPr>
              <w:widowControl/>
              <w:jc w:val="center"/>
              <w:rPr>
                <w:rFonts w:ascii="仿宋_GB2312" w:eastAsia="仿宋_GB2312"/>
              </w:rPr>
            </w:pPr>
            <w:r>
              <w:rPr>
                <w:rFonts w:hint="eastAsia" w:ascii="仿宋_GB2312" w:eastAsia="仿宋_GB2312"/>
              </w:rPr>
              <w:t>预期性</w:t>
            </w:r>
          </w:p>
        </w:tc>
        <w:tc>
          <w:tcPr>
            <w:tcW w:w="1427" w:type="pct"/>
            <w:vAlign w:val="center"/>
          </w:tcPr>
          <w:p w14:paraId="159522A0">
            <w:pPr>
              <w:widowControl/>
              <w:jc w:val="left"/>
              <w:rPr>
                <w:rFonts w:ascii="仿宋_GB2312" w:eastAsia="仿宋_GB2312"/>
              </w:rPr>
            </w:pPr>
            <w:r>
              <w:rPr>
                <w:rFonts w:hint="eastAsia" w:ascii="仿宋_GB2312" w:eastAsia="仿宋_GB2312"/>
              </w:rPr>
              <w:t>《阳江市地质灾害防治规划（2017-2025年）》</w:t>
            </w:r>
          </w:p>
          <w:p w14:paraId="78F4AEAF">
            <w:pPr>
              <w:widowControl/>
              <w:jc w:val="left"/>
              <w:rPr>
                <w:rFonts w:ascii="仿宋_GB2312" w:eastAsia="仿宋_GB2312"/>
              </w:rPr>
            </w:pPr>
            <w:r>
              <w:rPr>
                <w:rFonts w:hint="eastAsia" w:ascii="仿宋_GB2312" w:eastAsia="仿宋_GB2312"/>
              </w:rPr>
              <w:t>《阳江市2021年统计年鉴》</w:t>
            </w:r>
          </w:p>
        </w:tc>
      </w:tr>
      <w:tr w14:paraId="0F1C8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242" w:type="pct"/>
            <w:vMerge w:val="continue"/>
            <w:vAlign w:val="center"/>
          </w:tcPr>
          <w:p w14:paraId="0423013C">
            <w:pPr>
              <w:widowControl/>
              <w:jc w:val="center"/>
              <w:rPr>
                <w:rFonts w:ascii="仿宋_GB2312" w:eastAsia="仿宋_GB2312"/>
              </w:rPr>
            </w:pPr>
          </w:p>
        </w:tc>
        <w:tc>
          <w:tcPr>
            <w:tcW w:w="228" w:type="pct"/>
            <w:vAlign w:val="center"/>
          </w:tcPr>
          <w:p w14:paraId="68DC6C62">
            <w:pPr>
              <w:widowControl/>
              <w:jc w:val="center"/>
              <w:rPr>
                <w:rFonts w:ascii="仿宋_GB2312" w:eastAsia="仿宋_GB2312"/>
              </w:rPr>
            </w:pPr>
            <w:r>
              <w:rPr>
                <w:rFonts w:hint="eastAsia" w:ascii="仿宋_GB2312" w:eastAsia="仿宋_GB2312"/>
              </w:rPr>
              <w:t>1</w:t>
            </w:r>
            <w:r>
              <w:rPr>
                <w:rFonts w:ascii="仿宋_GB2312" w:eastAsia="仿宋_GB2312"/>
              </w:rPr>
              <w:t>5</w:t>
            </w:r>
          </w:p>
        </w:tc>
        <w:tc>
          <w:tcPr>
            <w:tcW w:w="1126" w:type="pct"/>
            <w:vAlign w:val="center"/>
          </w:tcPr>
          <w:p w14:paraId="71B8323B">
            <w:pPr>
              <w:widowControl/>
              <w:jc w:val="left"/>
              <w:rPr>
                <w:rFonts w:ascii="仿宋_GB2312" w:eastAsia="仿宋_GB2312"/>
              </w:rPr>
            </w:pPr>
            <w:r>
              <w:rPr>
                <w:rFonts w:hint="eastAsia" w:ascii="仿宋_GB2312" w:eastAsia="仿宋_GB2312"/>
              </w:rPr>
              <w:t>受污染耕地安全利用率</w:t>
            </w:r>
          </w:p>
        </w:tc>
        <w:tc>
          <w:tcPr>
            <w:tcW w:w="264" w:type="pct"/>
            <w:vAlign w:val="center"/>
          </w:tcPr>
          <w:p w14:paraId="7B11CD1A">
            <w:pPr>
              <w:widowControl/>
              <w:jc w:val="center"/>
              <w:rPr>
                <w:rFonts w:ascii="仿宋_GB2312" w:eastAsia="仿宋_GB2312"/>
              </w:rPr>
            </w:pPr>
            <w:r>
              <w:rPr>
                <w:rFonts w:hint="eastAsia" w:ascii="仿宋_GB2312" w:eastAsia="仿宋_GB2312"/>
              </w:rPr>
              <w:t>%</w:t>
            </w:r>
          </w:p>
        </w:tc>
        <w:tc>
          <w:tcPr>
            <w:tcW w:w="341" w:type="pct"/>
            <w:vAlign w:val="center"/>
          </w:tcPr>
          <w:p w14:paraId="48D26830">
            <w:pPr>
              <w:widowControl/>
              <w:jc w:val="center"/>
              <w:rPr>
                <w:rFonts w:ascii="仿宋_GB2312" w:eastAsia="仿宋_GB2312"/>
              </w:rPr>
            </w:pPr>
            <w:r>
              <w:rPr>
                <w:rFonts w:hint="eastAsia" w:ascii="仿宋_GB2312" w:eastAsia="仿宋_GB2312"/>
              </w:rPr>
              <w:t>95.72</w:t>
            </w:r>
          </w:p>
        </w:tc>
        <w:tc>
          <w:tcPr>
            <w:tcW w:w="565" w:type="pct"/>
            <w:vAlign w:val="center"/>
          </w:tcPr>
          <w:p w14:paraId="189425C3">
            <w:pPr>
              <w:widowControl/>
              <w:jc w:val="center"/>
              <w:rPr>
                <w:rFonts w:ascii="仿宋_GB2312" w:eastAsia="仿宋_GB2312"/>
              </w:rPr>
            </w:pPr>
            <w:r>
              <w:rPr>
                <w:rFonts w:hint="eastAsia" w:ascii="仿宋_GB2312" w:eastAsia="仿宋_GB2312"/>
              </w:rPr>
              <w:t>93</w:t>
            </w:r>
          </w:p>
        </w:tc>
        <w:tc>
          <w:tcPr>
            <w:tcW w:w="559" w:type="pct"/>
            <w:vAlign w:val="center"/>
          </w:tcPr>
          <w:p w14:paraId="7C6000C3">
            <w:pPr>
              <w:widowControl/>
              <w:jc w:val="center"/>
              <w:rPr>
                <w:rFonts w:ascii="仿宋_GB2312" w:eastAsia="仿宋_GB2312"/>
              </w:rPr>
            </w:pPr>
            <w:r>
              <w:rPr>
                <w:rFonts w:hint="eastAsia" w:ascii="仿宋_GB2312" w:eastAsia="仿宋_GB2312"/>
              </w:rPr>
              <w:t>100</w:t>
            </w:r>
          </w:p>
        </w:tc>
        <w:tc>
          <w:tcPr>
            <w:tcW w:w="248" w:type="pct"/>
            <w:vAlign w:val="center"/>
          </w:tcPr>
          <w:p w14:paraId="2F43637A">
            <w:pPr>
              <w:widowControl/>
              <w:jc w:val="center"/>
              <w:rPr>
                <w:rFonts w:ascii="仿宋_GB2312" w:eastAsia="仿宋_GB2312"/>
              </w:rPr>
            </w:pPr>
            <w:r>
              <w:rPr>
                <w:rFonts w:hint="eastAsia" w:ascii="仿宋_GB2312" w:eastAsia="仿宋_GB2312"/>
              </w:rPr>
              <w:t>预期性</w:t>
            </w:r>
          </w:p>
        </w:tc>
        <w:tc>
          <w:tcPr>
            <w:tcW w:w="1427" w:type="pct"/>
            <w:vAlign w:val="center"/>
          </w:tcPr>
          <w:p w14:paraId="288947CB">
            <w:pPr>
              <w:widowControl/>
              <w:jc w:val="left"/>
              <w:rPr>
                <w:rFonts w:ascii="仿宋_GB2312" w:eastAsia="仿宋_GB2312"/>
              </w:rPr>
            </w:pPr>
            <w:r>
              <w:rPr>
                <w:rFonts w:hint="eastAsia" w:ascii="仿宋_GB2312" w:eastAsia="仿宋_GB2312"/>
              </w:rPr>
              <w:t>《阳江市国土空间规划（2021-2035）》</w:t>
            </w:r>
          </w:p>
        </w:tc>
      </w:tr>
      <w:tr w14:paraId="1F322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42" w:type="pct"/>
            <w:vMerge w:val="continue"/>
            <w:vAlign w:val="center"/>
          </w:tcPr>
          <w:p w14:paraId="6C137D24">
            <w:pPr>
              <w:widowControl/>
              <w:jc w:val="center"/>
              <w:rPr>
                <w:rFonts w:ascii="仿宋_GB2312" w:eastAsia="仿宋_GB2312"/>
              </w:rPr>
            </w:pPr>
          </w:p>
        </w:tc>
        <w:tc>
          <w:tcPr>
            <w:tcW w:w="228" w:type="pct"/>
            <w:vAlign w:val="center"/>
          </w:tcPr>
          <w:p w14:paraId="5221FC76">
            <w:pPr>
              <w:widowControl/>
              <w:jc w:val="center"/>
              <w:rPr>
                <w:rFonts w:ascii="仿宋_GB2312" w:eastAsia="仿宋_GB2312"/>
              </w:rPr>
            </w:pPr>
            <w:r>
              <w:rPr>
                <w:rFonts w:ascii="仿宋_GB2312" w:eastAsia="仿宋_GB2312"/>
              </w:rPr>
              <w:t>16</w:t>
            </w:r>
          </w:p>
        </w:tc>
        <w:tc>
          <w:tcPr>
            <w:tcW w:w="1126" w:type="pct"/>
            <w:vAlign w:val="center"/>
          </w:tcPr>
          <w:p w14:paraId="19DD428C">
            <w:pPr>
              <w:widowControl/>
              <w:jc w:val="left"/>
              <w:rPr>
                <w:rFonts w:ascii="仿宋_GB2312" w:eastAsia="仿宋_GB2312"/>
              </w:rPr>
            </w:pPr>
            <w:r>
              <w:rPr>
                <w:rFonts w:hint="eastAsia" w:ascii="仿宋_GB2312" w:eastAsia="仿宋_GB2312"/>
              </w:rPr>
              <w:t>营造和修复红树林面积</w:t>
            </w:r>
          </w:p>
        </w:tc>
        <w:tc>
          <w:tcPr>
            <w:tcW w:w="264" w:type="pct"/>
            <w:vAlign w:val="center"/>
          </w:tcPr>
          <w:p w14:paraId="3DA6D348">
            <w:pPr>
              <w:widowControl/>
              <w:jc w:val="center"/>
              <w:rPr>
                <w:rFonts w:ascii="仿宋_GB2312" w:eastAsia="仿宋_GB2312"/>
              </w:rPr>
            </w:pPr>
            <w:r>
              <w:rPr>
                <w:rFonts w:hint="eastAsia" w:ascii="仿宋_GB2312" w:eastAsia="仿宋_GB2312"/>
              </w:rPr>
              <w:t>公顷</w:t>
            </w:r>
          </w:p>
        </w:tc>
        <w:tc>
          <w:tcPr>
            <w:tcW w:w="341" w:type="pct"/>
            <w:vAlign w:val="center"/>
          </w:tcPr>
          <w:p w14:paraId="3EDAEFCA">
            <w:pPr>
              <w:widowControl/>
              <w:jc w:val="center"/>
              <w:rPr>
                <w:rFonts w:ascii="仿宋_GB2312" w:eastAsia="仿宋_GB2312"/>
              </w:rPr>
            </w:pPr>
            <w:r>
              <w:rPr>
                <w:rFonts w:hint="eastAsia" w:ascii="仿宋_GB2312" w:eastAsia="仿宋_GB2312"/>
              </w:rPr>
              <w:t>/</w:t>
            </w:r>
          </w:p>
        </w:tc>
        <w:tc>
          <w:tcPr>
            <w:tcW w:w="565" w:type="pct"/>
            <w:vAlign w:val="center"/>
          </w:tcPr>
          <w:p w14:paraId="63A85BDC">
            <w:pPr>
              <w:widowControl/>
              <w:jc w:val="center"/>
              <w:rPr>
                <w:rFonts w:ascii="仿宋_GB2312" w:eastAsia="仿宋_GB2312"/>
              </w:rPr>
            </w:pPr>
            <w:r>
              <w:rPr>
                <w:rFonts w:ascii="仿宋_GB2312" w:eastAsia="仿宋_GB2312"/>
              </w:rPr>
              <w:t>690</w:t>
            </w:r>
          </w:p>
        </w:tc>
        <w:tc>
          <w:tcPr>
            <w:tcW w:w="559" w:type="pct"/>
            <w:vAlign w:val="center"/>
          </w:tcPr>
          <w:p w14:paraId="3BF3594F">
            <w:pPr>
              <w:widowControl/>
              <w:jc w:val="center"/>
              <w:rPr>
                <w:rFonts w:ascii="仿宋_GB2312" w:eastAsia="仿宋_GB2312"/>
              </w:rPr>
            </w:pPr>
            <w:r>
              <w:rPr>
                <w:rFonts w:hint="eastAsia" w:ascii="仿宋_GB2312" w:eastAsia="仿宋_GB2312"/>
              </w:rPr>
              <w:t>依据省下达任务确定</w:t>
            </w:r>
          </w:p>
        </w:tc>
        <w:tc>
          <w:tcPr>
            <w:tcW w:w="248" w:type="pct"/>
            <w:vAlign w:val="center"/>
          </w:tcPr>
          <w:p w14:paraId="548F7C1B">
            <w:pPr>
              <w:widowControl/>
              <w:jc w:val="center"/>
              <w:rPr>
                <w:rFonts w:ascii="仿宋_GB2312" w:eastAsia="仿宋_GB2312"/>
              </w:rPr>
            </w:pPr>
            <w:r>
              <w:rPr>
                <w:rFonts w:hint="eastAsia" w:ascii="仿宋_GB2312" w:eastAsia="仿宋_GB2312"/>
              </w:rPr>
              <w:t>预期性</w:t>
            </w:r>
          </w:p>
        </w:tc>
        <w:tc>
          <w:tcPr>
            <w:tcW w:w="1427" w:type="pct"/>
            <w:vAlign w:val="center"/>
          </w:tcPr>
          <w:p w14:paraId="2A38CC50">
            <w:pPr>
              <w:widowControl/>
              <w:jc w:val="left"/>
              <w:rPr>
                <w:rFonts w:ascii="仿宋_GB2312" w:eastAsia="仿宋_GB2312"/>
              </w:rPr>
            </w:pPr>
            <w:r>
              <w:rPr>
                <w:rFonts w:hint="eastAsia" w:ascii="仿宋_GB2312" w:eastAsia="仿宋_GB2312"/>
              </w:rPr>
              <w:t>“绿美广东”大行动实施方案</w:t>
            </w:r>
          </w:p>
        </w:tc>
      </w:tr>
      <w:tr w14:paraId="2C7C4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42" w:type="pct"/>
            <w:vMerge w:val="continue"/>
            <w:vAlign w:val="center"/>
          </w:tcPr>
          <w:p w14:paraId="0D3DF658">
            <w:pPr>
              <w:widowControl/>
              <w:jc w:val="center"/>
              <w:rPr>
                <w:rFonts w:ascii="仿宋_GB2312" w:eastAsia="仿宋_GB2312"/>
              </w:rPr>
            </w:pPr>
          </w:p>
        </w:tc>
        <w:tc>
          <w:tcPr>
            <w:tcW w:w="228" w:type="pct"/>
            <w:vAlign w:val="center"/>
          </w:tcPr>
          <w:p w14:paraId="5B1C1093">
            <w:pPr>
              <w:widowControl/>
              <w:jc w:val="center"/>
              <w:rPr>
                <w:rFonts w:ascii="仿宋_GB2312" w:eastAsia="仿宋_GB2312"/>
              </w:rPr>
            </w:pPr>
            <w:r>
              <w:rPr>
                <w:rFonts w:hint="eastAsia" w:ascii="仿宋_GB2312" w:eastAsia="仿宋_GB2312"/>
              </w:rPr>
              <w:t>1</w:t>
            </w:r>
            <w:r>
              <w:rPr>
                <w:rFonts w:ascii="仿宋_GB2312" w:eastAsia="仿宋_GB2312"/>
              </w:rPr>
              <w:t>7</w:t>
            </w:r>
          </w:p>
        </w:tc>
        <w:tc>
          <w:tcPr>
            <w:tcW w:w="1126" w:type="pct"/>
          </w:tcPr>
          <w:p w14:paraId="1C76B2B6">
            <w:pPr>
              <w:widowControl/>
              <w:jc w:val="left"/>
              <w:rPr>
                <w:rFonts w:ascii="仿宋_GB2312" w:eastAsia="仿宋_GB2312"/>
              </w:rPr>
            </w:pPr>
            <w:r>
              <w:rPr>
                <w:rFonts w:hint="eastAsia" w:ascii="仿宋_GB2312" w:eastAsia="仿宋_GB2312"/>
              </w:rPr>
              <w:t>新增历史遗留矿山生态修复面积</w:t>
            </w:r>
          </w:p>
        </w:tc>
        <w:tc>
          <w:tcPr>
            <w:tcW w:w="264" w:type="pct"/>
          </w:tcPr>
          <w:p w14:paraId="46D5DB2F">
            <w:pPr>
              <w:widowControl/>
              <w:jc w:val="center"/>
              <w:rPr>
                <w:rFonts w:ascii="仿宋_GB2312" w:eastAsia="仿宋_GB2312"/>
              </w:rPr>
            </w:pPr>
            <w:r>
              <w:rPr>
                <w:rFonts w:hint="eastAsia" w:ascii="仿宋_GB2312" w:eastAsia="仿宋_GB2312"/>
              </w:rPr>
              <w:t>平方公里</w:t>
            </w:r>
          </w:p>
        </w:tc>
        <w:tc>
          <w:tcPr>
            <w:tcW w:w="341" w:type="pct"/>
          </w:tcPr>
          <w:p w14:paraId="32DAC819">
            <w:pPr>
              <w:widowControl/>
              <w:jc w:val="center"/>
              <w:rPr>
                <w:rFonts w:ascii="仿宋_GB2312" w:eastAsia="仿宋_GB2312"/>
              </w:rPr>
            </w:pPr>
            <w:r>
              <w:rPr>
                <w:rFonts w:hint="eastAsia" w:ascii="仿宋_GB2312" w:eastAsia="仿宋_GB2312"/>
              </w:rPr>
              <w:t>/</w:t>
            </w:r>
          </w:p>
        </w:tc>
        <w:tc>
          <w:tcPr>
            <w:tcW w:w="565" w:type="pct"/>
          </w:tcPr>
          <w:p w14:paraId="24BB1B31">
            <w:pPr>
              <w:widowControl/>
              <w:jc w:val="center"/>
              <w:rPr>
                <w:rFonts w:ascii="仿宋_GB2312" w:eastAsia="仿宋_GB2312"/>
              </w:rPr>
            </w:pPr>
            <w:r>
              <w:rPr>
                <w:rFonts w:hint="eastAsia" w:ascii="仿宋_GB2312" w:eastAsia="仿宋_GB2312"/>
              </w:rPr>
              <w:t>依据省下达任务确定</w:t>
            </w:r>
          </w:p>
        </w:tc>
        <w:tc>
          <w:tcPr>
            <w:tcW w:w="559" w:type="pct"/>
          </w:tcPr>
          <w:p w14:paraId="3557F791">
            <w:pPr>
              <w:widowControl/>
              <w:jc w:val="center"/>
              <w:rPr>
                <w:rFonts w:ascii="仿宋_GB2312" w:eastAsia="仿宋_GB2312"/>
              </w:rPr>
            </w:pPr>
            <w:r>
              <w:rPr>
                <w:rFonts w:hint="eastAsia" w:ascii="仿宋_GB2312" w:eastAsia="仿宋_GB2312"/>
              </w:rPr>
              <w:t>依据省下达任务确定</w:t>
            </w:r>
          </w:p>
        </w:tc>
        <w:tc>
          <w:tcPr>
            <w:tcW w:w="248" w:type="pct"/>
          </w:tcPr>
          <w:p w14:paraId="0FFED21C">
            <w:pPr>
              <w:widowControl/>
              <w:jc w:val="center"/>
              <w:rPr>
                <w:rFonts w:ascii="仿宋_GB2312" w:eastAsia="仿宋_GB2312"/>
              </w:rPr>
            </w:pPr>
            <w:r>
              <w:rPr>
                <w:rFonts w:hint="eastAsia" w:ascii="仿宋_GB2312" w:eastAsia="仿宋_GB2312"/>
              </w:rPr>
              <w:t>预期性</w:t>
            </w:r>
          </w:p>
        </w:tc>
        <w:tc>
          <w:tcPr>
            <w:tcW w:w="1427" w:type="pct"/>
          </w:tcPr>
          <w:p w14:paraId="7F4B11A0">
            <w:pPr>
              <w:widowControl/>
              <w:jc w:val="center"/>
              <w:rPr>
                <w:rFonts w:ascii="仿宋_GB2312" w:eastAsia="仿宋_GB2312"/>
              </w:rPr>
            </w:pPr>
            <w:r>
              <w:rPr>
                <w:rFonts w:hint="eastAsia" w:ascii="仿宋_GB2312" w:eastAsia="仿宋_GB2312"/>
              </w:rPr>
              <w:t>《阳江市国土空间规划（2021-2035）》</w:t>
            </w:r>
          </w:p>
        </w:tc>
      </w:tr>
    </w:tbl>
    <w:p w14:paraId="75852E99">
      <w:pPr>
        <w:widowControl/>
        <w:jc w:val="left"/>
        <w:rPr>
          <w:rFonts w:ascii="仿宋_GB2312" w:eastAsia="仿宋_GB2312"/>
        </w:rPr>
      </w:pPr>
    </w:p>
    <w:p w14:paraId="07ECB149">
      <w:pPr>
        <w:widowControl/>
        <w:jc w:val="left"/>
        <w:rPr>
          <w:rFonts w:ascii="仿宋_GB2312" w:eastAsia="仿宋_GB2312"/>
        </w:rPr>
      </w:pPr>
      <w:r>
        <w:rPr>
          <w:rFonts w:ascii="仿宋_GB2312" w:eastAsia="仿宋_GB2312"/>
        </w:rPr>
        <w:br w:type="page"/>
      </w:r>
    </w:p>
    <w:p w14:paraId="220ADC31">
      <w:pPr>
        <w:pStyle w:val="2"/>
        <w:pageBreakBefore w:val="0"/>
        <w:spacing w:line="240" w:lineRule="auto"/>
        <w:jc w:val="both"/>
        <w:rPr>
          <w:rFonts w:ascii="宋体" w:hAnsi="宋体" w:eastAsia="宋体" w:cs="方正小标宋简体"/>
          <w:b/>
          <w:bCs/>
          <w:sz w:val="40"/>
          <w:szCs w:val="40"/>
        </w:rPr>
      </w:pPr>
      <w:bookmarkStart w:id="64" w:name="_Toc181820203"/>
      <w:r>
        <w:rPr>
          <w:rFonts w:hint="eastAsia" w:ascii="宋体" w:hAnsi="宋体" w:eastAsia="宋体" w:cs="方正小标宋简体"/>
          <w:b/>
          <w:bCs/>
          <w:sz w:val="40"/>
          <w:szCs w:val="40"/>
        </w:rPr>
        <w:t>附表二国土空间生态修复修复分区表</w:t>
      </w:r>
      <w:bookmarkEnd w:id="64"/>
    </w:p>
    <w:p w14:paraId="07892A61">
      <w:pPr>
        <w:widowControl/>
        <w:jc w:val="left"/>
      </w:pPr>
    </w:p>
    <w:tbl>
      <w:tblPr>
        <w:tblStyle w:val="17"/>
        <w:tblW w:w="138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9"/>
        <w:gridCol w:w="3243"/>
        <w:gridCol w:w="2315"/>
        <w:gridCol w:w="3937"/>
        <w:gridCol w:w="3214"/>
      </w:tblGrid>
      <w:tr w14:paraId="249E7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149" w:type="dxa"/>
            <w:vAlign w:val="center"/>
          </w:tcPr>
          <w:p w14:paraId="6AD1A19E">
            <w:pPr>
              <w:jc w:val="center"/>
              <w:rPr>
                <w:rFonts w:ascii="Times New Roman" w:hAnsi="Times New Roman" w:eastAsia="仿宋_GB2312" w:cs="Times New Roman"/>
                <w:b/>
                <w:bCs/>
                <w:color w:val="000000" w:themeColor="text1"/>
                <w:szCs w:val="21"/>
              </w:rPr>
            </w:pPr>
            <w:r>
              <w:rPr>
                <w:rFonts w:ascii="Times New Roman" w:hAnsi="Times New Roman" w:eastAsia="仿宋_GB2312" w:cs="Times New Roman"/>
                <w:b/>
                <w:bCs/>
                <w:color w:val="000000" w:themeColor="text1"/>
                <w:szCs w:val="21"/>
              </w:rPr>
              <w:t>序号</w:t>
            </w:r>
          </w:p>
        </w:tc>
        <w:tc>
          <w:tcPr>
            <w:tcW w:w="3243" w:type="dxa"/>
            <w:vAlign w:val="center"/>
          </w:tcPr>
          <w:p w14:paraId="7CF2072F">
            <w:pPr>
              <w:jc w:val="center"/>
              <w:rPr>
                <w:rFonts w:ascii="Times New Roman" w:hAnsi="Times New Roman" w:eastAsia="仿宋_GB2312" w:cs="Times New Roman"/>
                <w:b/>
                <w:bCs/>
                <w:color w:val="000000" w:themeColor="text1"/>
                <w:szCs w:val="21"/>
              </w:rPr>
            </w:pPr>
            <w:r>
              <w:rPr>
                <w:rFonts w:ascii="Times New Roman" w:hAnsi="Times New Roman" w:eastAsia="仿宋_GB2312" w:cs="Times New Roman"/>
                <w:b/>
                <w:bCs/>
                <w:color w:val="000000" w:themeColor="text1"/>
                <w:szCs w:val="21"/>
              </w:rPr>
              <w:t>修复分区名称</w:t>
            </w:r>
          </w:p>
        </w:tc>
        <w:tc>
          <w:tcPr>
            <w:tcW w:w="2315" w:type="dxa"/>
            <w:vAlign w:val="center"/>
          </w:tcPr>
          <w:p w14:paraId="54A8AF1C">
            <w:pPr>
              <w:jc w:val="center"/>
              <w:rPr>
                <w:rFonts w:ascii="Times New Roman" w:hAnsi="Times New Roman" w:eastAsia="仿宋_GB2312" w:cs="Times New Roman"/>
                <w:b/>
                <w:bCs/>
                <w:color w:val="000000" w:themeColor="text1"/>
                <w:szCs w:val="21"/>
              </w:rPr>
            </w:pPr>
            <w:r>
              <w:rPr>
                <w:rFonts w:ascii="Times New Roman" w:hAnsi="Times New Roman" w:eastAsia="仿宋_GB2312" w:cs="Times New Roman"/>
                <w:b/>
                <w:bCs/>
                <w:color w:val="000000" w:themeColor="text1"/>
                <w:szCs w:val="21"/>
              </w:rPr>
              <w:t>面积（平方公里）</w:t>
            </w:r>
          </w:p>
        </w:tc>
        <w:tc>
          <w:tcPr>
            <w:tcW w:w="3937" w:type="dxa"/>
            <w:vAlign w:val="center"/>
          </w:tcPr>
          <w:p w14:paraId="0CEA90EA">
            <w:pPr>
              <w:jc w:val="center"/>
              <w:rPr>
                <w:rFonts w:ascii="Times New Roman" w:hAnsi="Times New Roman" w:eastAsia="仿宋_GB2312" w:cs="Times New Roman"/>
                <w:b/>
                <w:bCs/>
                <w:color w:val="000000" w:themeColor="text1"/>
                <w:szCs w:val="21"/>
              </w:rPr>
            </w:pPr>
            <w:r>
              <w:rPr>
                <w:rFonts w:ascii="Times New Roman" w:hAnsi="Times New Roman" w:eastAsia="仿宋_GB2312" w:cs="Times New Roman"/>
                <w:b/>
                <w:bCs/>
                <w:color w:val="000000" w:themeColor="text1"/>
                <w:szCs w:val="21"/>
              </w:rPr>
              <w:t>涉及镇（街道）</w:t>
            </w:r>
          </w:p>
        </w:tc>
        <w:tc>
          <w:tcPr>
            <w:tcW w:w="3214" w:type="dxa"/>
            <w:vAlign w:val="center"/>
          </w:tcPr>
          <w:p w14:paraId="2663B1A1">
            <w:pPr>
              <w:jc w:val="center"/>
              <w:rPr>
                <w:rFonts w:ascii="Times New Roman" w:hAnsi="Times New Roman" w:eastAsia="仿宋_GB2312" w:cs="Times New Roman"/>
                <w:b/>
                <w:bCs/>
                <w:color w:val="000000" w:themeColor="text1"/>
                <w:szCs w:val="21"/>
              </w:rPr>
            </w:pPr>
            <w:r>
              <w:rPr>
                <w:rFonts w:ascii="Times New Roman" w:hAnsi="Times New Roman" w:eastAsia="仿宋_GB2312" w:cs="Times New Roman"/>
                <w:b/>
                <w:bCs/>
                <w:color w:val="000000" w:themeColor="text1"/>
                <w:szCs w:val="21"/>
              </w:rPr>
              <w:t>区内重点任务</w:t>
            </w:r>
          </w:p>
        </w:tc>
      </w:tr>
      <w:tr w14:paraId="22AEB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149" w:type="dxa"/>
            <w:vAlign w:val="center"/>
          </w:tcPr>
          <w:p w14:paraId="1692D4F1">
            <w:pPr>
              <w:jc w:val="cente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themeColor="text1"/>
                <w:szCs w:val="21"/>
              </w:rPr>
              <w:t>1</w:t>
            </w:r>
          </w:p>
        </w:tc>
        <w:tc>
          <w:tcPr>
            <w:tcW w:w="3243" w:type="dxa"/>
            <w:vAlign w:val="center"/>
          </w:tcPr>
          <w:p w14:paraId="528AFDD0">
            <w:pPr>
              <w:jc w:val="center"/>
              <w:rPr>
                <w:rFonts w:ascii="Times New Roman" w:hAnsi="Times New Roman" w:eastAsia="仿宋_GB2312" w:cs="Times New Roman"/>
                <w:color w:val="000000" w:themeColor="text1"/>
                <w:szCs w:val="21"/>
              </w:rPr>
            </w:pPr>
            <w:r>
              <w:rPr>
                <w:rFonts w:ascii="Times New Roman" w:hAnsi="Times New Roman" w:eastAsia="仿宋_GB2312" w:cs="Times New Roman"/>
                <w:bCs/>
                <w:color w:val="000000" w:themeColor="text1"/>
                <w:kern w:val="24"/>
                <w:szCs w:val="21"/>
              </w:rPr>
              <w:t>北部云雾山森林保护修复区</w:t>
            </w:r>
          </w:p>
        </w:tc>
        <w:tc>
          <w:tcPr>
            <w:tcW w:w="2315" w:type="dxa"/>
            <w:vAlign w:val="center"/>
          </w:tcPr>
          <w:p w14:paraId="2584A4A0">
            <w:pPr>
              <w:jc w:val="center"/>
              <w:rPr>
                <w:rFonts w:ascii="Times New Roman" w:hAnsi="Times New Roman" w:eastAsia="仿宋_GB2312" w:cs="Times New Roman"/>
                <w:color w:val="000000" w:themeColor="text1"/>
                <w:szCs w:val="21"/>
              </w:rPr>
            </w:pPr>
            <w:r>
              <w:rPr>
                <w:rFonts w:ascii="Times New Roman" w:hAnsi="Times New Roman" w:eastAsia="仿宋_GB2312" w:cs="Times New Roman"/>
                <w:bCs/>
                <w:color w:val="000000" w:themeColor="text1"/>
                <w:kern w:val="24"/>
                <w:szCs w:val="21"/>
              </w:rPr>
              <w:t>1232.5</w:t>
            </w:r>
          </w:p>
        </w:tc>
        <w:tc>
          <w:tcPr>
            <w:tcW w:w="3937" w:type="dxa"/>
            <w:vAlign w:val="center"/>
          </w:tcPr>
          <w:p w14:paraId="6A3BC501">
            <w:pPr>
              <w:rPr>
                <w:rFonts w:ascii="Times New Roman" w:hAnsi="Times New Roman" w:eastAsia="仿宋_GB2312" w:cs="Times New Roman"/>
                <w:color w:val="000000" w:themeColor="text1"/>
                <w:szCs w:val="21"/>
              </w:rPr>
            </w:pPr>
            <w:r>
              <w:rPr>
                <w:rFonts w:ascii="Times New Roman" w:hAnsi="Times New Roman" w:eastAsia="仿宋_GB2312" w:cs="Times New Roman"/>
                <w:bCs/>
                <w:color w:val="000000" w:themeColor="text1"/>
                <w:kern w:val="24"/>
                <w:szCs w:val="21"/>
              </w:rPr>
              <w:t>圭岗镇、永宁镇、松柏镇、石望镇、河朗镇等5个镇</w:t>
            </w:r>
          </w:p>
        </w:tc>
        <w:tc>
          <w:tcPr>
            <w:tcW w:w="3214" w:type="dxa"/>
            <w:vAlign w:val="center"/>
          </w:tcPr>
          <w:p w14:paraId="73B5DC1A">
            <w:pPr>
              <w:rPr>
                <w:rFonts w:ascii="Times New Roman" w:hAnsi="Times New Roman" w:eastAsia="仿宋_GB2312" w:cs="Times New Roman"/>
                <w:color w:val="000000" w:themeColor="text1"/>
                <w:szCs w:val="21"/>
              </w:rPr>
            </w:pPr>
            <w:r>
              <w:rPr>
                <w:rFonts w:ascii="Times New Roman" w:hAnsi="Times New Roman" w:eastAsia="仿宋_GB2312" w:cs="Times New Roman"/>
                <w:bCs/>
                <w:color w:val="000000" w:themeColor="text1"/>
                <w:kern w:val="24"/>
                <w:szCs w:val="21"/>
              </w:rPr>
              <w:t>森林保育提升、山体保护修复、水土流失治理</w:t>
            </w:r>
          </w:p>
        </w:tc>
      </w:tr>
      <w:tr w14:paraId="5CF5F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1149" w:type="dxa"/>
            <w:vAlign w:val="center"/>
          </w:tcPr>
          <w:p w14:paraId="6A627AEB">
            <w:pPr>
              <w:jc w:val="cente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themeColor="text1"/>
                <w:szCs w:val="21"/>
              </w:rPr>
              <w:t>2</w:t>
            </w:r>
          </w:p>
        </w:tc>
        <w:tc>
          <w:tcPr>
            <w:tcW w:w="3243" w:type="dxa"/>
            <w:vAlign w:val="center"/>
          </w:tcPr>
          <w:p w14:paraId="12195E81">
            <w:pPr>
              <w:jc w:val="cente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themeColor="text1"/>
                <w:kern w:val="24"/>
                <w:szCs w:val="21"/>
              </w:rPr>
              <w:t>天露山及漠阳江上游保护修复区</w:t>
            </w:r>
          </w:p>
        </w:tc>
        <w:tc>
          <w:tcPr>
            <w:tcW w:w="2315" w:type="dxa"/>
            <w:vAlign w:val="center"/>
          </w:tcPr>
          <w:p w14:paraId="3358D4D7">
            <w:pPr>
              <w:jc w:val="cente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themeColor="text1"/>
                <w:kern w:val="24"/>
                <w:szCs w:val="21"/>
              </w:rPr>
              <w:t>1380.1</w:t>
            </w:r>
          </w:p>
        </w:tc>
        <w:tc>
          <w:tcPr>
            <w:tcW w:w="3937" w:type="dxa"/>
            <w:vAlign w:val="center"/>
          </w:tcPr>
          <w:p w14:paraId="12424F8F">
            <w:pP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themeColor="text1"/>
                <w:kern w:val="24"/>
                <w:szCs w:val="21"/>
              </w:rPr>
              <w:t>春湾镇、大八镇、陂面镇、合水镇、春城街道、河西街道等6个镇街</w:t>
            </w:r>
          </w:p>
        </w:tc>
        <w:tc>
          <w:tcPr>
            <w:tcW w:w="3214" w:type="dxa"/>
            <w:vAlign w:val="center"/>
          </w:tcPr>
          <w:p w14:paraId="6043ABF6">
            <w:pP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themeColor="text1"/>
                <w:kern w:val="24"/>
                <w:szCs w:val="21"/>
              </w:rPr>
              <w:t>森林保育提升、山体保护修复、水土涵养保持、河流生态环境保护</w:t>
            </w:r>
          </w:p>
        </w:tc>
      </w:tr>
      <w:tr w14:paraId="71FAA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149" w:type="dxa"/>
            <w:vAlign w:val="center"/>
          </w:tcPr>
          <w:p w14:paraId="4B8A518C">
            <w:pPr>
              <w:jc w:val="cente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themeColor="text1"/>
                <w:szCs w:val="21"/>
              </w:rPr>
              <w:t>3</w:t>
            </w:r>
          </w:p>
        </w:tc>
        <w:tc>
          <w:tcPr>
            <w:tcW w:w="3243" w:type="dxa"/>
            <w:vAlign w:val="center"/>
          </w:tcPr>
          <w:p w14:paraId="5B681992">
            <w:pPr>
              <w:jc w:val="cente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themeColor="text1"/>
                <w:kern w:val="24"/>
                <w:szCs w:val="21"/>
              </w:rPr>
              <w:t>西部云雾山森林保护修复区</w:t>
            </w:r>
          </w:p>
        </w:tc>
        <w:tc>
          <w:tcPr>
            <w:tcW w:w="2315" w:type="dxa"/>
            <w:vAlign w:val="center"/>
          </w:tcPr>
          <w:p w14:paraId="4D924ADD">
            <w:pPr>
              <w:jc w:val="cente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themeColor="text1"/>
                <w:kern w:val="24"/>
                <w:szCs w:val="21"/>
              </w:rPr>
              <w:t>1371.1</w:t>
            </w:r>
          </w:p>
        </w:tc>
        <w:tc>
          <w:tcPr>
            <w:tcW w:w="3937" w:type="dxa"/>
            <w:vAlign w:val="center"/>
          </w:tcPr>
          <w:p w14:paraId="4B0721BD">
            <w:pP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themeColor="text1"/>
                <w:kern w:val="24"/>
                <w:szCs w:val="21"/>
              </w:rPr>
              <w:t>马水镇、三甲镇、八甲镇、潭水镇、双窖镇等5个镇</w:t>
            </w:r>
          </w:p>
        </w:tc>
        <w:tc>
          <w:tcPr>
            <w:tcW w:w="3214" w:type="dxa"/>
            <w:vAlign w:val="center"/>
          </w:tcPr>
          <w:p w14:paraId="1D7632F7">
            <w:pP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themeColor="text1"/>
                <w:kern w:val="24"/>
                <w:szCs w:val="21"/>
              </w:rPr>
              <w:t>森林保育提升、山体保护修复、河流生态环境保护</w:t>
            </w:r>
          </w:p>
        </w:tc>
      </w:tr>
      <w:tr w14:paraId="43B9C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1149" w:type="dxa"/>
            <w:vAlign w:val="center"/>
          </w:tcPr>
          <w:p w14:paraId="7BF62ECB">
            <w:pPr>
              <w:jc w:val="cente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themeColor="text1"/>
                <w:szCs w:val="21"/>
              </w:rPr>
              <w:t>4</w:t>
            </w:r>
          </w:p>
        </w:tc>
        <w:tc>
          <w:tcPr>
            <w:tcW w:w="3243" w:type="dxa"/>
            <w:vAlign w:val="center"/>
          </w:tcPr>
          <w:p w14:paraId="7C7B249C">
            <w:pPr>
              <w:jc w:val="cente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themeColor="text1"/>
                <w:kern w:val="24"/>
                <w:szCs w:val="21"/>
              </w:rPr>
              <w:t>漠阳江中游保护修复区</w:t>
            </w:r>
          </w:p>
        </w:tc>
        <w:tc>
          <w:tcPr>
            <w:tcW w:w="2315" w:type="dxa"/>
            <w:vAlign w:val="center"/>
          </w:tcPr>
          <w:p w14:paraId="297B95FA">
            <w:pPr>
              <w:jc w:val="cente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themeColor="text1"/>
                <w:kern w:val="24"/>
                <w:szCs w:val="21"/>
              </w:rPr>
              <w:t>826.7</w:t>
            </w:r>
          </w:p>
        </w:tc>
        <w:tc>
          <w:tcPr>
            <w:tcW w:w="3937" w:type="dxa"/>
            <w:vAlign w:val="center"/>
          </w:tcPr>
          <w:p w14:paraId="50F2EC94">
            <w:pP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themeColor="text1"/>
                <w:kern w:val="24"/>
                <w:szCs w:val="21"/>
              </w:rPr>
              <w:t>河口镇、岗美镇、塘坪镇、红丰镇、双捷镇等5个镇</w:t>
            </w:r>
          </w:p>
        </w:tc>
        <w:tc>
          <w:tcPr>
            <w:tcW w:w="3214" w:type="dxa"/>
            <w:vAlign w:val="center"/>
          </w:tcPr>
          <w:p w14:paraId="555FFCB9">
            <w:pP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themeColor="text1"/>
                <w:kern w:val="24"/>
                <w:szCs w:val="21"/>
              </w:rPr>
              <w:t>河流生态环境保护提升、农田整治与提升、农村人居环境提升</w:t>
            </w:r>
          </w:p>
        </w:tc>
      </w:tr>
      <w:tr w14:paraId="2123F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1149" w:type="dxa"/>
            <w:vAlign w:val="center"/>
          </w:tcPr>
          <w:p w14:paraId="19AF5CF8">
            <w:pPr>
              <w:jc w:val="cente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themeColor="text1"/>
                <w:szCs w:val="21"/>
              </w:rPr>
              <w:t>5</w:t>
            </w:r>
          </w:p>
        </w:tc>
        <w:tc>
          <w:tcPr>
            <w:tcW w:w="3243" w:type="dxa"/>
            <w:vAlign w:val="center"/>
          </w:tcPr>
          <w:p w14:paraId="6D70343B">
            <w:pPr>
              <w:jc w:val="cente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themeColor="text1"/>
                <w:kern w:val="24"/>
                <w:szCs w:val="21"/>
              </w:rPr>
              <w:t>中部城镇生态品质提升区</w:t>
            </w:r>
          </w:p>
        </w:tc>
        <w:tc>
          <w:tcPr>
            <w:tcW w:w="2315" w:type="dxa"/>
            <w:vAlign w:val="center"/>
          </w:tcPr>
          <w:p w14:paraId="7B16CFE7">
            <w:pPr>
              <w:jc w:val="cente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themeColor="text1"/>
                <w:kern w:val="24"/>
                <w:szCs w:val="21"/>
              </w:rPr>
              <w:t>779.5</w:t>
            </w:r>
          </w:p>
        </w:tc>
        <w:tc>
          <w:tcPr>
            <w:tcW w:w="3937" w:type="dxa"/>
            <w:vAlign w:val="center"/>
          </w:tcPr>
          <w:p w14:paraId="28E08013">
            <w:pP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themeColor="text1"/>
                <w:kern w:val="24"/>
                <w:szCs w:val="21"/>
              </w:rPr>
              <w:t>雅韶镇、北惯镇、埠场镇、东城镇、平冈镇、白沙街道、城北街道、城东街道、城南街道、城西街道、岗列街道、南恩街道、中洲街道等13个镇街</w:t>
            </w:r>
          </w:p>
        </w:tc>
        <w:tc>
          <w:tcPr>
            <w:tcW w:w="3214" w:type="dxa"/>
            <w:vAlign w:val="center"/>
          </w:tcPr>
          <w:p w14:paraId="1AF6D07F">
            <w:pP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themeColor="text1"/>
                <w:kern w:val="24"/>
                <w:szCs w:val="21"/>
              </w:rPr>
              <w:t>城镇人居环境改善、河流生态环境保护提升、海岸线保护修复</w:t>
            </w:r>
          </w:p>
        </w:tc>
      </w:tr>
      <w:tr w14:paraId="71B27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1149" w:type="dxa"/>
            <w:vAlign w:val="center"/>
          </w:tcPr>
          <w:p w14:paraId="7FA48DEA">
            <w:pPr>
              <w:jc w:val="cente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themeColor="text1"/>
                <w:szCs w:val="21"/>
              </w:rPr>
              <w:t>6</w:t>
            </w:r>
          </w:p>
        </w:tc>
        <w:tc>
          <w:tcPr>
            <w:tcW w:w="3243" w:type="dxa"/>
            <w:vAlign w:val="center"/>
          </w:tcPr>
          <w:p w14:paraId="32EC7640">
            <w:pPr>
              <w:jc w:val="cente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themeColor="text1"/>
                <w:kern w:val="24"/>
                <w:szCs w:val="21"/>
              </w:rPr>
              <w:t>阳西生态保护修复提升区</w:t>
            </w:r>
          </w:p>
        </w:tc>
        <w:tc>
          <w:tcPr>
            <w:tcW w:w="2315" w:type="dxa"/>
            <w:vAlign w:val="center"/>
          </w:tcPr>
          <w:p w14:paraId="2447721A">
            <w:pPr>
              <w:jc w:val="cente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themeColor="text1"/>
                <w:kern w:val="24"/>
                <w:szCs w:val="21"/>
              </w:rPr>
              <w:t>1442.4</w:t>
            </w:r>
          </w:p>
        </w:tc>
        <w:tc>
          <w:tcPr>
            <w:tcW w:w="3937" w:type="dxa"/>
            <w:vAlign w:val="center"/>
          </w:tcPr>
          <w:p w14:paraId="64B98641">
            <w:pP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themeColor="text1"/>
                <w:kern w:val="24"/>
                <w:szCs w:val="21"/>
              </w:rPr>
              <w:t>织</w:t>
            </w:r>
            <w:r>
              <w:rPr>
                <w:rFonts w:ascii="Times New Roman" w:hAnsi="Times New Roman" w:eastAsia="微软雅黑" w:cs="Times New Roman"/>
                <w:color w:val="000000" w:themeColor="text1"/>
                <w:kern w:val="24"/>
                <w:szCs w:val="21"/>
              </w:rPr>
              <w:t>篢</w:t>
            </w:r>
            <w:r>
              <w:rPr>
                <w:rFonts w:ascii="Times New Roman" w:hAnsi="Times New Roman" w:eastAsia="仿宋_GB2312" w:cs="Times New Roman"/>
                <w:color w:val="000000" w:themeColor="text1"/>
                <w:kern w:val="24"/>
                <w:szCs w:val="21"/>
              </w:rPr>
              <w:t>镇、程村镇、儒洞镇、沙扒镇、上洋镇、塘口镇、溪头镇、新圩镇等8个镇</w:t>
            </w:r>
          </w:p>
        </w:tc>
        <w:tc>
          <w:tcPr>
            <w:tcW w:w="3214" w:type="dxa"/>
            <w:vAlign w:val="center"/>
          </w:tcPr>
          <w:p w14:paraId="664AFA3F">
            <w:pP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themeColor="text1"/>
                <w:kern w:val="24"/>
                <w:szCs w:val="21"/>
              </w:rPr>
              <w:t>城镇人居环境改善、河流生态环境保护提升、农田整治与提升</w:t>
            </w:r>
          </w:p>
        </w:tc>
      </w:tr>
      <w:tr w14:paraId="09044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1149" w:type="dxa"/>
            <w:vAlign w:val="center"/>
          </w:tcPr>
          <w:p w14:paraId="5D4F1F45">
            <w:pPr>
              <w:jc w:val="cente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themeColor="text1"/>
                <w:szCs w:val="21"/>
              </w:rPr>
              <w:t>7</w:t>
            </w:r>
          </w:p>
        </w:tc>
        <w:tc>
          <w:tcPr>
            <w:tcW w:w="3243" w:type="dxa"/>
            <w:vAlign w:val="center"/>
          </w:tcPr>
          <w:p w14:paraId="3B0DF788">
            <w:pPr>
              <w:jc w:val="cente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themeColor="text1"/>
                <w:kern w:val="24"/>
                <w:szCs w:val="21"/>
              </w:rPr>
              <w:t>阳江东部保护修复提升区</w:t>
            </w:r>
          </w:p>
        </w:tc>
        <w:tc>
          <w:tcPr>
            <w:tcW w:w="2315" w:type="dxa"/>
            <w:vAlign w:val="center"/>
          </w:tcPr>
          <w:p w14:paraId="61DD53CA">
            <w:pPr>
              <w:jc w:val="cente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themeColor="text1"/>
                <w:kern w:val="24"/>
                <w:szCs w:val="21"/>
              </w:rPr>
              <w:t>802.1</w:t>
            </w:r>
          </w:p>
        </w:tc>
        <w:tc>
          <w:tcPr>
            <w:tcW w:w="3937" w:type="dxa"/>
            <w:vAlign w:val="center"/>
          </w:tcPr>
          <w:p w14:paraId="2723F843">
            <w:pP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themeColor="text1"/>
                <w:kern w:val="24"/>
                <w:szCs w:val="21"/>
              </w:rPr>
              <w:t>大沟镇、新洲镇、东平镇、合山镇、那龙镇等5个镇</w:t>
            </w:r>
          </w:p>
        </w:tc>
        <w:tc>
          <w:tcPr>
            <w:tcW w:w="3214" w:type="dxa"/>
            <w:vAlign w:val="center"/>
          </w:tcPr>
          <w:p w14:paraId="221723B8">
            <w:pP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themeColor="text1"/>
                <w:kern w:val="24"/>
                <w:szCs w:val="21"/>
              </w:rPr>
              <w:t>河流生态环境保护提升、农田整治与提升</w:t>
            </w:r>
          </w:p>
        </w:tc>
      </w:tr>
      <w:tr w14:paraId="3D546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1149" w:type="dxa"/>
            <w:vAlign w:val="center"/>
          </w:tcPr>
          <w:p w14:paraId="280CE679">
            <w:pPr>
              <w:jc w:val="cente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themeColor="text1"/>
                <w:szCs w:val="21"/>
              </w:rPr>
              <w:t>8</w:t>
            </w:r>
          </w:p>
        </w:tc>
        <w:tc>
          <w:tcPr>
            <w:tcW w:w="3243" w:type="dxa"/>
            <w:vAlign w:val="center"/>
          </w:tcPr>
          <w:p w14:paraId="6E674D97">
            <w:pPr>
              <w:jc w:val="cente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themeColor="text1"/>
                <w:kern w:val="24"/>
                <w:szCs w:val="21"/>
              </w:rPr>
              <w:t>海陵岛保护修复提升区</w:t>
            </w:r>
          </w:p>
        </w:tc>
        <w:tc>
          <w:tcPr>
            <w:tcW w:w="2315" w:type="dxa"/>
            <w:vAlign w:val="center"/>
          </w:tcPr>
          <w:p w14:paraId="23C17D60">
            <w:pPr>
              <w:jc w:val="cente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themeColor="text1"/>
                <w:kern w:val="24"/>
                <w:szCs w:val="21"/>
              </w:rPr>
              <w:t>133.8</w:t>
            </w:r>
          </w:p>
        </w:tc>
        <w:tc>
          <w:tcPr>
            <w:tcW w:w="3937" w:type="dxa"/>
            <w:vAlign w:val="center"/>
          </w:tcPr>
          <w:p w14:paraId="2F8F847E">
            <w:pP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themeColor="text1"/>
                <w:kern w:val="24"/>
                <w:szCs w:val="21"/>
              </w:rPr>
              <w:t>闸坡镇及周边海岛</w:t>
            </w:r>
          </w:p>
        </w:tc>
        <w:tc>
          <w:tcPr>
            <w:tcW w:w="3214" w:type="dxa"/>
            <w:vAlign w:val="center"/>
          </w:tcPr>
          <w:p w14:paraId="2B958CA1">
            <w:pP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themeColor="text1"/>
                <w:kern w:val="24"/>
                <w:szCs w:val="21"/>
              </w:rPr>
              <w:t>滨海红树林保护修复、城镇人居环境改善</w:t>
            </w:r>
          </w:p>
        </w:tc>
      </w:tr>
    </w:tbl>
    <w:p w14:paraId="55908156">
      <w:pPr>
        <w:widowControl/>
        <w:jc w:val="left"/>
        <w:rPr>
          <w:rFonts w:ascii="仿宋_GB2312" w:eastAsia="仿宋_GB2312"/>
        </w:rPr>
        <w:sectPr>
          <w:footnotePr>
            <w:numRestart w:val="eachPage"/>
          </w:footnotePr>
          <w:pgSz w:w="16838" w:h="11906" w:orient="landscape"/>
          <w:pgMar w:top="1800" w:right="1440" w:bottom="1800" w:left="1440" w:header="851" w:footer="992" w:gutter="0"/>
          <w:cols w:space="425" w:num="1"/>
          <w:docGrid w:type="lines" w:linePitch="312" w:charSpace="0"/>
        </w:sectPr>
      </w:pPr>
    </w:p>
    <w:p w14:paraId="687D9B23">
      <w:pPr>
        <w:pStyle w:val="2"/>
        <w:pageBreakBefore w:val="0"/>
        <w:spacing w:line="240" w:lineRule="auto"/>
        <w:jc w:val="both"/>
        <w:rPr>
          <w:rFonts w:ascii="宋体" w:hAnsi="宋体" w:eastAsia="宋体" w:cs="方正小标宋简体"/>
          <w:b/>
          <w:bCs/>
          <w:sz w:val="40"/>
          <w:szCs w:val="40"/>
        </w:rPr>
      </w:pPr>
      <w:bookmarkStart w:id="65" w:name="_Toc181820204"/>
      <w:r>
        <w:rPr>
          <w:rFonts w:hint="eastAsia" w:ascii="宋体" w:hAnsi="宋体" w:eastAsia="宋体" w:cs="方正小标宋简体"/>
          <w:b/>
          <w:bCs/>
          <w:sz w:val="40"/>
          <w:szCs w:val="40"/>
        </w:rPr>
        <w:t>附表三国土空间生态修复重点工程安排表</w:t>
      </w:r>
      <w:bookmarkEnd w:id="65"/>
    </w:p>
    <w:p w14:paraId="5662D31A">
      <w:pPr>
        <w:widowControl/>
        <w:jc w:val="left"/>
      </w:pPr>
    </w:p>
    <w:tbl>
      <w:tblPr>
        <w:tblStyle w:val="16"/>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05"/>
        <w:gridCol w:w="865"/>
        <w:gridCol w:w="784"/>
        <w:gridCol w:w="1055"/>
        <w:gridCol w:w="1455"/>
        <w:gridCol w:w="3182"/>
        <w:gridCol w:w="920"/>
        <w:gridCol w:w="1115"/>
        <w:gridCol w:w="1266"/>
        <w:gridCol w:w="1928"/>
        <w:gridCol w:w="793"/>
      </w:tblGrid>
      <w:tr w14:paraId="2634C8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5" w:hRule="atLeast"/>
          <w:tblHeader/>
        </w:trPr>
        <w:tc>
          <w:tcPr>
            <w:tcW w:w="217" w:type="pct"/>
            <w:tcBorders>
              <w:top w:val="single" w:color="auto" w:sz="4" w:space="0"/>
              <w:left w:val="single" w:color="auto" w:sz="4" w:space="0"/>
              <w:bottom w:val="single" w:color="auto" w:sz="4" w:space="0"/>
              <w:right w:val="single" w:color="auto" w:sz="4" w:space="0"/>
            </w:tcBorders>
            <w:vAlign w:val="center"/>
          </w:tcPr>
          <w:p w14:paraId="7C06315B">
            <w:pPr>
              <w:pStyle w:val="40"/>
              <w:jc w:val="center"/>
              <w:rPr>
                <w:rFonts w:ascii="Times New Roman" w:hAnsi="Times New Roman" w:cs="Times New Roman"/>
                <w:b/>
                <w:bCs/>
                <w:color w:val="000000" w:themeColor="text1"/>
              </w:rPr>
            </w:pPr>
            <w:r>
              <w:rPr>
                <w:rFonts w:ascii="Times New Roman" w:hAnsi="Times New Roman" w:cs="Times New Roman"/>
                <w:b/>
                <w:bCs/>
                <w:color w:val="000000" w:themeColor="text1"/>
              </w:rPr>
              <w:t>序号</w:t>
            </w:r>
          </w:p>
        </w:tc>
        <w:tc>
          <w:tcPr>
            <w:tcW w:w="310" w:type="pct"/>
            <w:tcBorders>
              <w:top w:val="single" w:color="auto" w:sz="4" w:space="0"/>
              <w:left w:val="single" w:color="auto" w:sz="4" w:space="0"/>
              <w:bottom w:val="single" w:color="auto" w:sz="4" w:space="0"/>
              <w:right w:val="single" w:color="auto" w:sz="4" w:space="0"/>
            </w:tcBorders>
            <w:vAlign w:val="center"/>
          </w:tcPr>
          <w:p w14:paraId="1B2569EB">
            <w:pPr>
              <w:pStyle w:val="40"/>
              <w:jc w:val="center"/>
              <w:rPr>
                <w:rFonts w:ascii="Times New Roman" w:hAnsi="Times New Roman" w:cs="Times New Roman"/>
                <w:b/>
                <w:bCs/>
                <w:color w:val="000000" w:themeColor="text1"/>
              </w:rPr>
            </w:pPr>
            <w:r>
              <w:rPr>
                <w:rFonts w:ascii="Times New Roman" w:hAnsi="Times New Roman" w:cs="Times New Roman"/>
                <w:b/>
                <w:bCs/>
                <w:color w:val="000000" w:themeColor="text1"/>
              </w:rPr>
              <w:t>重点工程</w:t>
            </w:r>
          </w:p>
        </w:tc>
        <w:tc>
          <w:tcPr>
            <w:tcW w:w="659" w:type="pct"/>
            <w:gridSpan w:val="2"/>
            <w:tcBorders>
              <w:top w:val="single" w:color="auto" w:sz="4" w:space="0"/>
              <w:left w:val="single" w:color="auto" w:sz="4" w:space="0"/>
              <w:bottom w:val="single" w:color="auto" w:sz="4" w:space="0"/>
              <w:right w:val="single" w:color="auto" w:sz="4" w:space="0"/>
            </w:tcBorders>
            <w:vAlign w:val="center"/>
          </w:tcPr>
          <w:p w14:paraId="136C1ECC">
            <w:pPr>
              <w:pStyle w:val="40"/>
              <w:jc w:val="center"/>
              <w:rPr>
                <w:rFonts w:ascii="Times New Roman" w:hAnsi="Times New Roman" w:cs="Times New Roman"/>
                <w:b/>
                <w:bCs/>
                <w:color w:val="000000" w:themeColor="text1"/>
              </w:rPr>
            </w:pPr>
            <w:r>
              <w:rPr>
                <w:rFonts w:ascii="Times New Roman" w:hAnsi="Times New Roman" w:cs="Times New Roman"/>
                <w:b/>
                <w:bCs/>
                <w:color w:val="000000" w:themeColor="text1"/>
                <w:lang w:eastAsia="zh-CN"/>
              </w:rPr>
              <w:t>重点项目</w:t>
            </w:r>
          </w:p>
        </w:tc>
        <w:tc>
          <w:tcPr>
            <w:tcW w:w="521" w:type="pct"/>
            <w:tcBorders>
              <w:top w:val="single" w:color="auto" w:sz="4" w:space="0"/>
              <w:left w:val="single" w:color="auto" w:sz="4" w:space="0"/>
              <w:bottom w:val="single" w:color="auto" w:sz="4" w:space="0"/>
              <w:right w:val="single" w:color="auto" w:sz="4" w:space="0"/>
            </w:tcBorders>
            <w:vAlign w:val="center"/>
          </w:tcPr>
          <w:p w14:paraId="10A788DE">
            <w:pPr>
              <w:pStyle w:val="40"/>
              <w:jc w:val="center"/>
              <w:rPr>
                <w:rFonts w:ascii="Times New Roman" w:hAnsi="Times New Roman" w:cs="Times New Roman"/>
                <w:b/>
                <w:bCs/>
                <w:color w:val="000000" w:themeColor="text1"/>
              </w:rPr>
            </w:pPr>
            <w:r>
              <w:rPr>
                <w:rFonts w:ascii="Times New Roman" w:hAnsi="Times New Roman" w:cs="Times New Roman"/>
                <w:b/>
                <w:bCs/>
                <w:color w:val="000000" w:themeColor="text1"/>
              </w:rPr>
              <w:t>涉及的具体范围</w:t>
            </w:r>
          </w:p>
        </w:tc>
        <w:tc>
          <w:tcPr>
            <w:tcW w:w="1139" w:type="pct"/>
            <w:tcBorders>
              <w:top w:val="single" w:color="auto" w:sz="4" w:space="0"/>
              <w:left w:val="single" w:color="auto" w:sz="4" w:space="0"/>
              <w:bottom w:val="single" w:color="auto" w:sz="4" w:space="0"/>
              <w:right w:val="single" w:color="auto" w:sz="4" w:space="0"/>
            </w:tcBorders>
            <w:vAlign w:val="center"/>
          </w:tcPr>
          <w:p w14:paraId="562DA15A">
            <w:pPr>
              <w:pStyle w:val="40"/>
              <w:jc w:val="center"/>
              <w:rPr>
                <w:rFonts w:ascii="Times New Roman" w:hAnsi="Times New Roman" w:cs="Times New Roman"/>
                <w:b/>
                <w:bCs/>
                <w:color w:val="000000" w:themeColor="text1"/>
              </w:rPr>
            </w:pPr>
            <w:r>
              <w:rPr>
                <w:rFonts w:ascii="Times New Roman" w:hAnsi="Times New Roman" w:cs="Times New Roman"/>
                <w:b/>
                <w:bCs/>
                <w:color w:val="000000" w:themeColor="text1"/>
              </w:rPr>
              <w:t>项目主要内容</w:t>
            </w:r>
          </w:p>
        </w:tc>
        <w:tc>
          <w:tcPr>
            <w:tcW w:w="328" w:type="pct"/>
            <w:tcBorders>
              <w:top w:val="single" w:color="auto" w:sz="4" w:space="0"/>
              <w:left w:val="single" w:color="auto" w:sz="4" w:space="0"/>
              <w:bottom w:val="single" w:color="auto" w:sz="4" w:space="0"/>
              <w:right w:val="single" w:color="auto" w:sz="4" w:space="0"/>
            </w:tcBorders>
            <w:vAlign w:val="center"/>
          </w:tcPr>
          <w:p w14:paraId="230CE656">
            <w:pPr>
              <w:pStyle w:val="40"/>
              <w:jc w:val="center"/>
              <w:rPr>
                <w:rFonts w:ascii="Times New Roman" w:hAnsi="Times New Roman" w:cs="Times New Roman"/>
                <w:b/>
                <w:bCs/>
                <w:color w:val="000000" w:themeColor="text1"/>
              </w:rPr>
            </w:pPr>
            <w:r>
              <w:rPr>
                <w:rFonts w:ascii="Times New Roman" w:hAnsi="Times New Roman" w:cs="Times New Roman"/>
                <w:b/>
                <w:bCs/>
                <w:color w:val="000000" w:themeColor="text1"/>
              </w:rPr>
              <w:t>实施时序</w:t>
            </w:r>
          </w:p>
        </w:tc>
        <w:tc>
          <w:tcPr>
            <w:tcW w:w="399" w:type="pct"/>
            <w:tcBorders>
              <w:top w:val="single" w:color="auto" w:sz="4" w:space="0"/>
              <w:left w:val="single" w:color="auto" w:sz="4" w:space="0"/>
              <w:bottom w:val="single" w:color="auto" w:sz="4" w:space="0"/>
              <w:right w:val="single" w:color="auto" w:sz="4" w:space="0"/>
            </w:tcBorders>
            <w:vAlign w:val="center"/>
          </w:tcPr>
          <w:p w14:paraId="7CE58298">
            <w:pPr>
              <w:pStyle w:val="40"/>
              <w:jc w:val="center"/>
              <w:rPr>
                <w:rFonts w:ascii="Times New Roman" w:hAnsi="Times New Roman" w:cs="Times New Roman"/>
                <w:b/>
                <w:bCs/>
                <w:color w:val="000000" w:themeColor="text1"/>
              </w:rPr>
            </w:pPr>
            <w:r>
              <w:rPr>
                <w:rFonts w:ascii="Times New Roman" w:hAnsi="Times New Roman" w:cs="Times New Roman"/>
                <w:b/>
                <w:bCs/>
                <w:color w:val="000000" w:themeColor="text1"/>
              </w:rPr>
              <w:t>投资匡算</w:t>
            </w:r>
            <w:r>
              <w:rPr>
                <w:rFonts w:ascii="Times New Roman" w:hAnsi="Times New Roman" w:cs="Times New Roman"/>
                <w:b/>
                <w:bCs/>
                <w:color w:val="000000" w:themeColor="text1"/>
                <w:lang w:eastAsia="zh-CN"/>
              </w:rPr>
              <w:t>（万元）</w:t>
            </w:r>
          </w:p>
        </w:tc>
        <w:tc>
          <w:tcPr>
            <w:tcW w:w="453" w:type="pct"/>
            <w:tcBorders>
              <w:top w:val="single" w:color="auto" w:sz="4" w:space="0"/>
              <w:left w:val="single" w:color="auto" w:sz="4" w:space="0"/>
              <w:bottom w:val="single" w:color="auto" w:sz="4" w:space="0"/>
              <w:right w:val="single" w:color="auto" w:sz="4" w:space="0"/>
            </w:tcBorders>
            <w:vAlign w:val="center"/>
          </w:tcPr>
          <w:p w14:paraId="13AEA4AE">
            <w:pPr>
              <w:pStyle w:val="40"/>
              <w:jc w:val="center"/>
              <w:rPr>
                <w:rFonts w:ascii="Times New Roman" w:hAnsi="Times New Roman" w:cs="Times New Roman"/>
                <w:b/>
                <w:bCs/>
                <w:color w:val="000000" w:themeColor="text1"/>
                <w:lang w:eastAsia="zh-CN"/>
              </w:rPr>
            </w:pPr>
            <w:r>
              <w:rPr>
                <w:rFonts w:hint="eastAsia" w:ascii="Times New Roman" w:hAnsi="Times New Roman" w:cs="Times New Roman"/>
                <w:b/>
                <w:bCs/>
                <w:color w:val="000000" w:themeColor="text1"/>
                <w:lang w:eastAsia="zh-CN"/>
              </w:rPr>
              <w:t>实施规模</w:t>
            </w:r>
          </w:p>
        </w:tc>
        <w:tc>
          <w:tcPr>
            <w:tcW w:w="690" w:type="pct"/>
            <w:tcBorders>
              <w:top w:val="single" w:color="auto" w:sz="4" w:space="0"/>
              <w:left w:val="single" w:color="auto" w:sz="4" w:space="0"/>
              <w:bottom w:val="single" w:color="auto" w:sz="4" w:space="0"/>
              <w:right w:val="single" w:color="auto" w:sz="4" w:space="0"/>
            </w:tcBorders>
            <w:vAlign w:val="center"/>
          </w:tcPr>
          <w:p w14:paraId="77BECDD6">
            <w:pPr>
              <w:pStyle w:val="40"/>
              <w:jc w:val="center"/>
              <w:rPr>
                <w:rFonts w:ascii="Times New Roman" w:hAnsi="Times New Roman" w:cs="Times New Roman"/>
                <w:b/>
                <w:bCs/>
                <w:color w:val="000000" w:themeColor="text1"/>
                <w:lang w:eastAsia="zh-CN"/>
              </w:rPr>
            </w:pPr>
            <w:r>
              <w:rPr>
                <w:rFonts w:ascii="Times New Roman" w:hAnsi="Times New Roman" w:cs="Times New Roman"/>
                <w:b/>
                <w:bCs/>
                <w:color w:val="000000" w:themeColor="text1"/>
                <w:lang w:eastAsia="zh-CN"/>
              </w:rPr>
              <w:t>实施主体</w:t>
            </w:r>
          </w:p>
          <w:p w14:paraId="78022561">
            <w:pPr>
              <w:pStyle w:val="40"/>
              <w:jc w:val="center"/>
              <w:rPr>
                <w:rFonts w:ascii="Times New Roman" w:hAnsi="Times New Roman" w:cs="Times New Roman"/>
                <w:b/>
                <w:bCs/>
                <w:color w:val="000000" w:themeColor="text1"/>
                <w:lang w:eastAsia="zh-CN"/>
              </w:rPr>
            </w:pPr>
            <w:r>
              <w:rPr>
                <w:rFonts w:ascii="Times New Roman" w:hAnsi="Times New Roman" w:cs="Times New Roman"/>
                <w:b/>
                <w:bCs/>
                <w:color w:val="000000" w:themeColor="text1"/>
                <w:lang w:eastAsia="zh-CN"/>
              </w:rPr>
              <w:t>（牵头单位、责任主体</w:t>
            </w:r>
            <w:r>
              <w:rPr>
                <w:rFonts w:ascii="Times New Roman" w:hAnsi="Times New Roman" w:cs="Times New Roman"/>
                <w:b/>
                <w:bCs/>
                <w:color w:val="000000" w:themeColor="text1"/>
                <w:spacing w:val="-10"/>
                <w:lang w:eastAsia="zh-CN"/>
              </w:rPr>
              <w:t>）</w:t>
            </w:r>
          </w:p>
        </w:tc>
        <w:tc>
          <w:tcPr>
            <w:tcW w:w="285" w:type="pct"/>
            <w:tcBorders>
              <w:top w:val="single" w:color="auto" w:sz="4" w:space="0"/>
              <w:left w:val="single" w:color="auto" w:sz="4" w:space="0"/>
              <w:bottom w:val="single" w:color="auto" w:sz="4" w:space="0"/>
              <w:right w:val="single" w:color="auto" w:sz="4" w:space="0"/>
            </w:tcBorders>
            <w:vAlign w:val="center"/>
          </w:tcPr>
          <w:p w14:paraId="2EB848D6">
            <w:pPr>
              <w:pStyle w:val="40"/>
              <w:jc w:val="center"/>
              <w:rPr>
                <w:rFonts w:ascii="Times New Roman" w:hAnsi="Times New Roman" w:cs="Times New Roman"/>
                <w:b/>
                <w:bCs/>
                <w:color w:val="000000" w:themeColor="text1"/>
              </w:rPr>
            </w:pPr>
            <w:r>
              <w:rPr>
                <w:rFonts w:ascii="Times New Roman" w:hAnsi="Times New Roman" w:cs="Times New Roman"/>
                <w:b/>
                <w:bCs/>
                <w:color w:val="000000" w:themeColor="text1"/>
              </w:rPr>
              <w:t>项目</w:t>
            </w:r>
          </w:p>
          <w:p w14:paraId="060A487E">
            <w:pPr>
              <w:pStyle w:val="40"/>
              <w:jc w:val="center"/>
              <w:rPr>
                <w:rFonts w:ascii="Times New Roman" w:hAnsi="Times New Roman" w:cs="Times New Roman"/>
                <w:b/>
                <w:bCs/>
                <w:color w:val="000000" w:themeColor="text1"/>
              </w:rPr>
            </w:pPr>
            <w:r>
              <w:rPr>
                <w:rFonts w:ascii="Times New Roman" w:hAnsi="Times New Roman" w:cs="Times New Roman"/>
                <w:b/>
                <w:bCs/>
                <w:color w:val="000000" w:themeColor="text1"/>
              </w:rPr>
              <w:t>状态</w:t>
            </w:r>
          </w:p>
        </w:tc>
      </w:tr>
      <w:tr w14:paraId="4C8F07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3" w:hRule="atLeast"/>
        </w:trPr>
        <w:tc>
          <w:tcPr>
            <w:tcW w:w="217" w:type="pct"/>
            <w:tcBorders>
              <w:top w:val="single" w:color="auto" w:sz="4" w:space="0"/>
              <w:left w:val="single" w:color="auto" w:sz="4" w:space="0"/>
              <w:bottom w:val="single" w:color="auto" w:sz="4" w:space="0"/>
              <w:right w:val="single" w:color="auto" w:sz="4" w:space="0"/>
            </w:tcBorders>
            <w:vAlign w:val="center"/>
          </w:tcPr>
          <w:p w14:paraId="7FD44693">
            <w:pPr>
              <w:pStyle w:val="40"/>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310" w:type="pct"/>
            <w:vMerge w:val="restart"/>
            <w:tcBorders>
              <w:top w:val="single" w:color="auto" w:sz="4" w:space="0"/>
              <w:left w:val="single" w:color="auto" w:sz="4" w:space="0"/>
              <w:right w:val="single" w:color="auto" w:sz="4" w:space="0"/>
            </w:tcBorders>
            <w:vAlign w:val="center"/>
          </w:tcPr>
          <w:p w14:paraId="3B7C821F">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海洋生态保护修复工程</w:t>
            </w:r>
          </w:p>
        </w:tc>
        <w:tc>
          <w:tcPr>
            <w:tcW w:w="281" w:type="pct"/>
            <w:vMerge w:val="restart"/>
            <w:tcBorders>
              <w:top w:val="single" w:color="auto" w:sz="4" w:space="0"/>
              <w:left w:val="single" w:color="auto" w:sz="4" w:space="0"/>
              <w:right w:val="single" w:color="auto" w:sz="4" w:space="0"/>
            </w:tcBorders>
            <w:vAlign w:val="center"/>
          </w:tcPr>
          <w:p w14:paraId="73780CC6">
            <w:pPr>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围填海生态保护修复工程</w:t>
            </w:r>
          </w:p>
        </w:tc>
        <w:tc>
          <w:tcPr>
            <w:tcW w:w="377" w:type="pct"/>
            <w:tcBorders>
              <w:top w:val="single" w:color="auto" w:sz="4" w:space="0"/>
              <w:left w:val="single" w:color="auto" w:sz="4" w:space="0"/>
              <w:bottom w:val="single" w:color="auto" w:sz="4" w:space="0"/>
              <w:right w:val="single" w:color="auto" w:sz="4" w:space="0"/>
            </w:tcBorders>
            <w:vAlign w:val="center"/>
          </w:tcPr>
          <w:p w14:paraId="0FC13F86">
            <w:pPr>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阳东区东平镇允泊湾（泥澳仔）围填海生态保护修复</w:t>
            </w:r>
          </w:p>
        </w:tc>
        <w:tc>
          <w:tcPr>
            <w:tcW w:w="521" w:type="pct"/>
            <w:tcBorders>
              <w:top w:val="single" w:color="auto" w:sz="4" w:space="0"/>
              <w:left w:val="single" w:color="auto" w:sz="4" w:space="0"/>
              <w:bottom w:val="single" w:color="auto" w:sz="4" w:space="0"/>
              <w:right w:val="single" w:color="auto" w:sz="4" w:space="0"/>
            </w:tcBorders>
            <w:vAlign w:val="center"/>
          </w:tcPr>
          <w:p w14:paraId="389782BA">
            <w:pPr>
              <w:pStyle w:val="40"/>
              <w:jc w:val="center"/>
              <w:rPr>
                <w:rFonts w:ascii="Times New Roman" w:hAnsi="Times New Roman" w:cs="Times New Roman"/>
                <w:lang w:eastAsia="zh-CN"/>
              </w:rPr>
            </w:pPr>
            <w:r>
              <w:rPr>
                <w:rFonts w:ascii="Times New Roman" w:hAnsi="Times New Roman" w:cs="Times New Roman"/>
                <w:lang w:eastAsia="zh-CN"/>
              </w:rPr>
              <w:t>阳东区东平镇围填海西侧</w:t>
            </w:r>
          </w:p>
        </w:tc>
        <w:tc>
          <w:tcPr>
            <w:tcW w:w="1139" w:type="pct"/>
            <w:tcBorders>
              <w:top w:val="single" w:color="auto" w:sz="4" w:space="0"/>
              <w:left w:val="single" w:color="auto" w:sz="4" w:space="0"/>
              <w:bottom w:val="single" w:color="auto" w:sz="4" w:space="0"/>
              <w:right w:val="single" w:color="auto" w:sz="4" w:space="0"/>
            </w:tcBorders>
            <w:vAlign w:val="center"/>
          </w:tcPr>
          <w:p w14:paraId="1A4F7A3D">
            <w:pPr>
              <w:pStyle w:val="40"/>
              <w:rPr>
                <w:rFonts w:ascii="Times New Roman" w:hAnsi="Times New Roman" w:cs="Times New Roman"/>
                <w:lang w:eastAsia="zh-CN"/>
              </w:rPr>
            </w:pPr>
            <w:r>
              <w:rPr>
                <w:rFonts w:ascii="Times New Roman" w:hAnsi="Times New Roman" w:cs="Times New Roman"/>
                <w:lang w:eastAsia="zh-CN"/>
              </w:rPr>
              <w:t>阳江市阳东区东平镇允泊湾（泥澳仔）围填海生态保护修复工程，在围填海陆域种植人工林，进行复绿</w:t>
            </w:r>
            <w:r>
              <w:rPr>
                <w:rFonts w:hint="eastAsia" w:ascii="Times New Roman" w:hAnsi="Times New Roman" w:cs="Times New Roman"/>
                <w:lang w:eastAsia="zh-CN"/>
              </w:rPr>
              <w:t>。</w:t>
            </w:r>
          </w:p>
        </w:tc>
        <w:tc>
          <w:tcPr>
            <w:tcW w:w="328" w:type="pct"/>
            <w:tcBorders>
              <w:top w:val="single" w:color="auto" w:sz="4" w:space="0"/>
              <w:left w:val="single" w:color="auto" w:sz="4" w:space="0"/>
              <w:bottom w:val="single" w:color="auto" w:sz="4" w:space="0"/>
              <w:right w:val="single" w:color="auto" w:sz="4" w:space="0"/>
            </w:tcBorders>
            <w:vAlign w:val="center"/>
          </w:tcPr>
          <w:p w14:paraId="485FD74F">
            <w:pPr>
              <w:pStyle w:val="40"/>
              <w:jc w:val="center"/>
              <w:rPr>
                <w:rFonts w:ascii="Times New Roman" w:hAnsi="Times New Roman" w:cs="Times New Roman"/>
              </w:rPr>
            </w:pPr>
            <w:r>
              <w:rPr>
                <w:rFonts w:ascii="Times New Roman" w:hAnsi="Times New Roman" w:cs="Times New Roman"/>
              </w:rPr>
              <w:t>2021-2030</w:t>
            </w:r>
          </w:p>
        </w:tc>
        <w:tc>
          <w:tcPr>
            <w:tcW w:w="399" w:type="pct"/>
            <w:tcBorders>
              <w:top w:val="single" w:color="auto" w:sz="4" w:space="0"/>
              <w:left w:val="single" w:color="auto" w:sz="4" w:space="0"/>
              <w:bottom w:val="single" w:color="auto" w:sz="4" w:space="0"/>
              <w:right w:val="single" w:color="auto" w:sz="4" w:space="0"/>
            </w:tcBorders>
            <w:vAlign w:val="center"/>
          </w:tcPr>
          <w:p w14:paraId="72EE3E65">
            <w:pPr>
              <w:pStyle w:val="40"/>
              <w:jc w:val="center"/>
              <w:rPr>
                <w:rFonts w:ascii="Times New Roman" w:hAnsi="Times New Roman" w:cs="Times New Roman"/>
              </w:rPr>
            </w:pPr>
            <w:r>
              <w:rPr>
                <w:rFonts w:ascii="Times New Roman" w:hAnsi="Times New Roman" w:cs="Times New Roman"/>
              </w:rPr>
              <w:t>81</w:t>
            </w:r>
          </w:p>
        </w:tc>
        <w:tc>
          <w:tcPr>
            <w:tcW w:w="453" w:type="pct"/>
            <w:tcBorders>
              <w:top w:val="single" w:color="auto" w:sz="4" w:space="0"/>
              <w:left w:val="single" w:color="auto" w:sz="4" w:space="0"/>
              <w:bottom w:val="single" w:color="auto" w:sz="4" w:space="0"/>
              <w:right w:val="single" w:color="auto" w:sz="4" w:space="0"/>
            </w:tcBorders>
            <w:vAlign w:val="center"/>
          </w:tcPr>
          <w:p w14:paraId="7BE6E49C">
            <w:pPr>
              <w:pStyle w:val="40"/>
              <w:jc w:val="center"/>
              <w:rPr>
                <w:rFonts w:ascii="Times New Roman" w:hAnsi="Times New Roman" w:cs="Times New Roman"/>
              </w:rPr>
            </w:pPr>
            <w:r>
              <w:rPr>
                <w:rFonts w:hint="eastAsia" w:ascii="Times New Roman" w:hAnsi="Times New Roman" w:cs="Times New Roman"/>
                <w:lang w:eastAsia="zh-CN"/>
              </w:rPr>
              <w:t>约</w:t>
            </w:r>
            <w:r>
              <w:rPr>
                <w:rFonts w:hint="eastAsia" w:ascii="Times New Roman" w:hAnsi="Times New Roman" w:cs="Times New Roman"/>
              </w:rPr>
              <w:t>0.63</w:t>
            </w:r>
            <w:r>
              <w:rPr>
                <w:rFonts w:hint="eastAsia" w:ascii="Times New Roman" w:hAnsi="Times New Roman" w:cs="Times New Roman"/>
                <w:lang w:eastAsia="zh-CN"/>
              </w:rPr>
              <w:t>公顷</w:t>
            </w:r>
          </w:p>
        </w:tc>
        <w:tc>
          <w:tcPr>
            <w:tcW w:w="690" w:type="pct"/>
            <w:tcBorders>
              <w:top w:val="single" w:color="auto" w:sz="4" w:space="0"/>
              <w:left w:val="single" w:color="auto" w:sz="4" w:space="0"/>
              <w:bottom w:val="single" w:color="auto" w:sz="4" w:space="0"/>
              <w:right w:val="single" w:color="auto" w:sz="4" w:space="0"/>
            </w:tcBorders>
            <w:vAlign w:val="center"/>
          </w:tcPr>
          <w:p w14:paraId="3D43FB83">
            <w:pPr>
              <w:pStyle w:val="40"/>
              <w:jc w:val="center"/>
              <w:rPr>
                <w:rFonts w:ascii="Times New Roman" w:hAnsi="Times New Roman" w:cs="Times New Roman"/>
              </w:rPr>
            </w:pPr>
            <w:r>
              <w:rPr>
                <w:rFonts w:ascii="Times New Roman" w:hAnsi="Times New Roman" w:cs="Times New Roman"/>
              </w:rPr>
              <w:t>阳东区人民政府</w:t>
            </w:r>
          </w:p>
        </w:tc>
        <w:tc>
          <w:tcPr>
            <w:tcW w:w="285" w:type="pct"/>
            <w:tcBorders>
              <w:top w:val="single" w:color="auto" w:sz="4" w:space="0"/>
              <w:left w:val="single" w:color="auto" w:sz="4" w:space="0"/>
              <w:bottom w:val="single" w:color="auto" w:sz="4" w:space="0"/>
              <w:right w:val="single" w:color="auto" w:sz="4" w:space="0"/>
            </w:tcBorders>
            <w:vAlign w:val="center"/>
          </w:tcPr>
          <w:p w14:paraId="75DD3D38">
            <w:pPr>
              <w:pStyle w:val="40"/>
              <w:jc w:val="center"/>
              <w:rPr>
                <w:rFonts w:ascii="Times New Roman" w:hAnsi="Times New Roman" w:cs="Times New Roman"/>
              </w:rPr>
            </w:pPr>
            <w:r>
              <w:rPr>
                <w:rFonts w:ascii="Times New Roman" w:hAnsi="Times New Roman" w:cs="Times New Roman"/>
              </w:rPr>
              <w:t>在建</w:t>
            </w:r>
          </w:p>
        </w:tc>
      </w:tr>
      <w:tr w14:paraId="498D56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96" w:hRule="atLeast"/>
        </w:trPr>
        <w:tc>
          <w:tcPr>
            <w:tcW w:w="217" w:type="pct"/>
            <w:tcBorders>
              <w:top w:val="single" w:color="auto" w:sz="4" w:space="0"/>
              <w:left w:val="single" w:color="auto" w:sz="4" w:space="0"/>
              <w:bottom w:val="single" w:color="auto" w:sz="4" w:space="0"/>
              <w:right w:val="single" w:color="auto" w:sz="4" w:space="0"/>
            </w:tcBorders>
            <w:vAlign w:val="center"/>
          </w:tcPr>
          <w:p w14:paraId="60B8781C">
            <w:pPr>
              <w:pStyle w:val="40"/>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310" w:type="pct"/>
            <w:vMerge w:val="continue"/>
            <w:tcBorders>
              <w:left w:val="single" w:color="auto" w:sz="4" w:space="0"/>
              <w:right w:val="single" w:color="auto" w:sz="4" w:space="0"/>
            </w:tcBorders>
            <w:vAlign w:val="center"/>
          </w:tcPr>
          <w:p w14:paraId="4AD6467F">
            <w:pPr>
              <w:pStyle w:val="40"/>
              <w:jc w:val="center"/>
              <w:rPr>
                <w:rFonts w:ascii="Times New Roman" w:hAnsi="Times New Roman" w:cs="Times New Roman"/>
                <w:color w:val="000000" w:themeColor="text1"/>
              </w:rPr>
            </w:pPr>
          </w:p>
        </w:tc>
        <w:tc>
          <w:tcPr>
            <w:tcW w:w="281" w:type="pct"/>
            <w:vMerge w:val="continue"/>
            <w:tcBorders>
              <w:left w:val="single" w:color="auto" w:sz="4" w:space="0"/>
              <w:right w:val="single" w:color="auto" w:sz="4" w:space="0"/>
            </w:tcBorders>
            <w:vAlign w:val="center"/>
          </w:tcPr>
          <w:p w14:paraId="59E14453">
            <w:pPr>
              <w:jc w:val="left"/>
              <w:rPr>
                <w:rFonts w:ascii="Times New Roman" w:hAnsi="Times New Roman" w:eastAsia="仿宋_GB2312" w:cs="Times New Roman"/>
                <w:color w:val="000000" w:themeColor="text1"/>
                <w:kern w:val="0"/>
                <w:szCs w:val="21"/>
              </w:rPr>
            </w:pPr>
          </w:p>
        </w:tc>
        <w:tc>
          <w:tcPr>
            <w:tcW w:w="377" w:type="pct"/>
            <w:tcBorders>
              <w:top w:val="single" w:color="auto" w:sz="4" w:space="0"/>
              <w:left w:val="single" w:color="auto" w:sz="4" w:space="0"/>
              <w:bottom w:val="single" w:color="auto" w:sz="4" w:space="0"/>
              <w:right w:val="single" w:color="auto" w:sz="4" w:space="0"/>
            </w:tcBorders>
            <w:vAlign w:val="center"/>
          </w:tcPr>
          <w:p w14:paraId="5E3CA92A">
            <w:pPr>
              <w:jc w:val="left"/>
              <w:rPr>
                <w:rFonts w:ascii="Times New Roman" w:hAnsi="Times New Roman" w:eastAsia="仿宋_GB2312" w:cs="Times New Roman"/>
                <w:color w:val="000000" w:themeColor="text1"/>
                <w:kern w:val="0"/>
                <w:szCs w:val="21"/>
              </w:rPr>
            </w:pPr>
            <w:r>
              <w:rPr>
                <w:rFonts w:ascii="Times New Roman" w:hAnsi="Times New Roman" w:eastAsia="仿宋_GB2312" w:cs="Times New Roman"/>
                <w:color w:val="000000" w:themeColor="text1"/>
                <w:kern w:val="0"/>
                <w:szCs w:val="21"/>
              </w:rPr>
              <w:t>阳江滨海新区（阳江高新区）围填海生态保护修复</w:t>
            </w:r>
          </w:p>
        </w:tc>
        <w:tc>
          <w:tcPr>
            <w:tcW w:w="521" w:type="pct"/>
            <w:tcBorders>
              <w:top w:val="single" w:color="auto" w:sz="4" w:space="0"/>
              <w:left w:val="single" w:color="auto" w:sz="4" w:space="0"/>
              <w:bottom w:val="single" w:color="auto" w:sz="4" w:space="0"/>
              <w:right w:val="single" w:color="auto" w:sz="4" w:space="0"/>
            </w:tcBorders>
            <w:vAlign w:val="center"/>
          </w:tcPr>
          <w:p w14:paraId="430B137F">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阳江滨海新区（阳江高新区）</w:t>
            </w:r>
          </w:p>
        </w:tc>
        <w:tc>
          <w:tcPr>
            <w:tcW w:w="1139" w:type="pct"/>
            <w:tcBorders>
              <w:top w:val="single" w:color="auto" w:sz="4" w:space="0"/>
              <w:left w:val="single" w:color="auto" w:sz="4" w:space="0"/>
              <w:bottom w:val="single" w:color="auto" w:sz="4" w:space="0"/>
              <w:right w:val="single" w:color="auto" w:sz="4" w:space="0"/>
            </w:tcBorders>
            <w:vAlign w:val="center"/>
          </w:tcPr>
          <w:p w14:paraId="1552A5C3">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完成岸线景观修复工程， 红树林修复工程，红树林水域生物资源恢复工程，道路景观修复工程，涵洞建设工程。</w:t>
            </w:r>
          </w:p>
        </w:tc>
        <w:tc>
          <w:tcPr>
            <w:tcW w:w="328" w:type="pct"/>
            <w:tcBorders>
              <w:top w:val="single" w:color="auto" w:sz="4" w:space="0"/>
              <w:left w:val="single" w:color="auto" w:sz="4" w:space="0"/>
              <w:bottom w:val="single" w:color="auto" w:sz="4" w:space="0"/>
              <w:right w:val="single" w:color="auto" w:sz="4" w:space="0"/>
            </w:tcBorders>
            <w:vAlign w:val="center"/>
          </w:tcPr>
          <w:p w14:paraId="3075AF31">
            <w:pPr>
              <w:pStyle w:val="40"/>
              <w:jc w:val="center"/>
              <w:rPr>
                <w:rFonts w:ascii="Times New Roman" w:hAnsi="Times New Roman" w:cs="Times New Roman"/>
                <w:color w:val="000000" w:themeColor="text1"/>
              </w:rPr>
            </w:pPr>
            <w:r>
              <w:rPr>
                <w:rFonts w:ascii="Times New Roman" w:hAnsi="Times New Roman" w:cs="Times New Roman"/>
                <w:color w:val="000000" w:themeColor="text1"/>
              </w:rPr>
              <w:t>2021-2024</w:t>
            </w:r>
          </w:p>
        </w:tc>
        <w:tc>
          <w:tcPr>
            <w:tcW w:w="399" w:type="pct"/>
            <w:tcBorders>
              <w:top w:val="single" w:color="auto" w:sz="4" w:space="0"/>
              <w:left w:val="single" w:color="auto" w:sz="4" w:space="0"/>
              <w:bottom w:val="single" w:color="auto" w:sz="4" w:space="0"/>
              <w:right w:val="single" w:color="auto" w:sz="4" w:space="0"/>
            </w:tcBorders>
            <w:vAlign w:val="center"/>
          </w:tcPr>
          <w:p w14:paraId="4344A926">
            <w:pPr>
              <w:pStyle w:val="40"/>
              <w:jc w:val="center"/>
              <w:rPr>
                <w:rFonts w:ascii="Times New Roman" w:hAnsi="Times New Roman" w:cs="Times New Roman"/>
                <w:color w:val="000000" w:themeColor="text1"/>
              </w:rPr>
            </w:pPr>
            <w:r>
              <w:rPr>
                <w:rFonts w:ascii="Times New Roman" w:hAnsi="Times New Roman" w:cs="Times New Roman"/>
                <w:color w:val="000000" w:themeColor="text1"/>
              </w:rPr>
              <w:t>3850</w:t>
            </w:r>
          </w:p>
        </w:tc>
        <w:tc>
          <w:tcPr>
            <w:tcW w:w="453" w:type="pct"/>
            <w:tcBorders>
              <w:top w:val="single" w:color="auto" w:sz="4" w:space="0"/>
              <w:left w:val="single" w:color="auto" w:sz="4" w:space="0"/>
              <w:bottom w:val="single" w:color="auto" w:sz="4" w:space="0"/>
              <w:right w:val="single" w:color="auto" w:sz="4" w:space="0"/>
            </w:tcBorders>
            <w:vAlign w:val="center"/>
          </w:tcPr>
          <w:p w14:paraId="6BA7E683">
            <w:pPr>
              <w:pStyle w:val="40"/>
              <w:jc w:val="center"/>
              <w:rPr>
                <w:rFonts w:ascii="Times New Roman" w:hAnsi="Times New Roman" w:cs="Times New Roman"/>
                <w:color w:val="000000" w:themeColor="text1"/>
              </w:rPr>
            </w:pPr>
            <w:r>
              <w:rPr>
                <w:rFonts w:hint="eastAsia" w:ascii="Times New Roman" w:hAnsi="Times New Roman" w:cs="Times New Roman"/>
                <w:color w:val="000000" w:themeColor="text1"/>
                <w:lang w:eastAsia="zh-CN"/>
              </w:rPr>
              <w:t>约</w:t>
            </w:r>
            <w:r>
              <w:rPr>
                <w:rFonts w:ascii="Times New Roman" w:hAnsi="Times New Roman" w:cs="Times New Roman"/>
                <w:color w:val="000000" w:themeColor="text1"/>
              </w:rPr>
              <w:t>91.72</w:t>
            </w:r>
            <w:r>
              <w:rPr>
                <w:rFonts w:hint="eastAsia" w:ascii="Times New Roman" w:hAnsi="Times New Roman" w:cs="Times New Roman"/>
                <w:color w:val="000000" w:themeColor="text1"/>
                <w:lang w:eastAsia="zh-CN"/>
              </w:rPr>
              <w:t>公顷面状修复及</w:t>
            </w:r>
            <w:r>
              <w:rPr>
                <w:rFonts w:hint="eastAsia" w:ascii="Times New Roman" w:hAnsi="Times New Roman" w:cs="Times New Roman"/>
                <w:color w:val="000000" w:themeColor="text1"/>
              </w:rPr>
              <w:t>3</w:t>
            </w:r>
            <w:r>
              <w:rPr>
                <w:rFonts w:hint="eastAsia" w:ascii="Times New Roman" w:hAnsi="Times New Roman" w:cs="Times New Roman"/>
                <w:color w:val="000000" w:themeColor="text1"/>
                <w:lang w:eastAsia="zh-CN"/>
              </w:rPr>
              <w:t>.</w:t>
            </w:r>
            <w:r>
              <w:rPr>
                <w:rFonts w:hint="eastAsia" w:ascii="Times New Roman" w:hAnsi="Times New Roman" w:cs="Times New Roman"/>
                <w:color w:val="000000" w:themeColor="text1"/>
              </w:rPr>
              <w:t>0</w:t>
            </w:r>
            <w:r>
              <w:rPr>
                <w:rFonts w:ascii="Times New Roman" w:hAnsi="Times New Roman" w:cs="Times New Roman"/>
                <w:color w:val="000000" w:themeColor="text1"/>
              </w:rPr>
              <w:t>2</w:t>
            </w:r>
            <w:r>
              <w:rPr>
                <w:rFonts w:hint="eastAsia" w:ascii="Times New Roman" w:hAnsi="Times New Roman" w:cs="Times New Roman"/>
                <w:color w:val="000000" w:themeColor="text1"/>
                <w:lang w:eastAsia="zh-CN"/>
              </w:rPr>
              <w:t>公里带状修复</w:t>
            </w:r>
          </w:p>
        </w:tc>
        <w:tc>
          <w:tcPr>
            <w:tcW w:w="690" w:type="pct"/>
            <w:tcBorders>
              <w:top w:val="single" w:color="auto" w:sz="4" w:space="0"/>
              <w:left w:val="single" w:color="auto" w:sz="4" w:space="0"/>
              <w:bottom w:val="single" w:color="auto" w:sz="4" w:space="0"/>
              <w:right w:val="single" w:color="auto" w:sz="4" w:space="0"/>
            </w:tcBorders>
            <w:vAlign w:val="center"/>
          </w:tcPr>
          <w:p w14:paraId="52E9B72D">
            <w:pPr>
              <w:pStyle w:val="40"/>
              <w:jc w:val="center"/>
              <w:rPr>
                <w:rFonts w:ascii="Times New Roman" w:hAnsi="Times New Roman" w:cs="Times New Roman"/>
                <w:color w:val="000000" w:themeColor="text1"/>
              </w:rPr>
            </w:pPr>
            <w:r>
              <w:rPr>
                <w:rFonts w:ascii="Times New Roman" w:hAnsi="Times New Roman" w:cs="Times New Roman"/>
                <w:color w:val="000000" w:themeColor="text1"/>
              </w:rPr>
              <w:t>高新区管委会</w:t>
            </w:r>
          </w:p>
        </w:tc>
        <w:tc>
          <w:tcPr>
            <w:tcW w:w="285" w:type="pct"/>
            <w:tcBorders>
              <w:top w:val="single" w:color="auto" w:sz="4" w:space="0"/>
              <w:left w:val="single" w:color="auto" w:sz="4" w:space="0"/>
              <w:bottom w:val="single" w:color="auto" w:sz="4" w:space="0"/>
              <w:right w:val="single" w:color="auto" w:sz="4" w:space="0"/>
            </w:tcBorders>
            <w:vAlign w:val="center"/>
          </w:tcPr>
          <w:p w14:paraId="6F909B95">
            <w:pPr>
              <w:pStyle w:val="40"/>
              <w:jc w:val="center"/>
              <w:rPr>
                <w:rFonts w:ascii="Times New Roman" w:hAnsi="Times New Roman" w:cs="Times New Roman"/>
                <w:color w:val="000000" w:themeColor="text1"/>
              </w:rPr>
            </w:pPr>
            <w:r>
              <w:rPr>
                <w:rFonts w:ascii="Times New Roman" w:hAnsi="Times New Roman" w:cs="Times New Roman"/>
                <w:color w:val="000000" w:themeColor="text1"/>
              </w:rPr>
              <w:t>在建</w:t>
            </w:r>
          </w:p>
        </w:tc>
      </w:tr>
      <w:tr w14:paraId="4D824A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3" w:hRule="atLeast"/>
        </w:trPr>
        <w:tc>
          <w:tcPr>
            <w:tcW w:w="217" w:type="pct"/>
            <w:tcBorders>
              <w:top w:val="single" w:color="auto" w:sz="4" w:space="0"/>
              <w:left w:val="single" w:color="auto" w:sz="4" w:space="0"/>
              <w:bottom w:val="single" w:color="auto" w:sz="4" w:space="0"/>
              <w:right w:val="single" w:color="auto" w:sz="4" w:space="0"/>
            </w:tcBorders>
            <w:vAlign w:val="center"/>
          </w:tcPr>
          <w:p w14:paraId="267B1B75">
            <w:pPr>
              <w:pStyle w:val="40"/>
              <w:jc w:val="center"/>
              <w:rPr>
                <w:rFonts w:ascii="Times New Roman" w:hAnsi="Times New Roman" w:cs="Times New Roman"/>
                <w:color w:val="000000" w:themeColor="text1"/>
              </w:rPr>
            </w:pPr>
            <w:r>
              <w:rPr>
                <w:rFonts w:ascii="Times New Roman" w:hAnsi="Times New Roman" w:cs="Times New Roman"/>
                <w:color w:val="000000" w:themeColor="text1"/>
              </w:rPr>
              <w:t>3</w:t>
            </w:r>
          </w:p>
        </w:tc>
        <w:tc>
          <w:tcPr>
            <w:tcW w:w="310" w:type="pct"/>
            <w:vMerge w:val="continue"/>
            <w:tcBorders>
              <w:left w:val="single" w:color="auto" w:sz="4" w:space="0"/>
              <w:right w:val="single" w:color="auto" w:sz="4" w:space="0"/>
            </w:tcBorders>
            <w:vAlign w:val="center"/>
          </w:tcPr>
          <w:p w14:paraId="4D000E73">
            <w:pPr>
              <w:pStyle w:val="40"/>
              <w:jc w:val="center"/>
              <w:rPr>
                <w:rFonts w:ascii="Times New Roman" w:hAnsi="Times New Roman" w:cs="Times New Roman"/>
                <w:color w:val="000000" w:themeColor="text1"/>
              </w:rPr>
            </w:pPr>
          </w:p>
        </w:tc>
        <w:tc>
          <w:tcPr>
            <w:tcW w:w="281" w:type="pct"/>
            <w:vMerge w:val="restart"/>
            <w:tcBorders>
              <w:left w:val="single" w:color="auto" w:sz="4" w:space="0"/>
              <w:right w:val="single" w:color="auto" w:sz="4" w:space="0"/>
            </w:tcBorders>
            <w:vAlign w:val="center"/>
          </w:tcPr>
          <w:p w14:paraId="07794846">
            <w:pPr>
              <w:jc w:val="center"/>
              <w:rPr>
                <w:rFonts w:ascii="Times New Roman" w:hAnsi="Times New Roman" w:eastAsia="仿宋_GB2312" w:cs="Times New Roman"/>
                <w:color w:val="000000" w:themeColor="text1"/>
                <w:kern w:val="0"/>
                <w:szCs w:val="21"/>
              </w:rPr>
            </w:pPr>
            <w:r>
              <w:rPr>
                <w:rFonts w:ascii="Times New Roman" w:hAnsi="Times New Roman" w:eastAsia="仿宋_GB2312" w:cs="Times New Roman"/>
                <w:color w:val="000000" w:themeColor="text1"/>
                <w:kern w:val="0"/>
                <w:szCs w:val="21"/>
              </w:rPr>
              <w:t>红树林生态修复工程</w:t>
            </w:r>
          </w:p>
        </w:tc>
        <w:tc>
          <w:tcPr>
            <w:tcW w:w="377" w:type="pct"/>
            <w:tcBorders>
              <w:top w:val="single" w:color="auto" w:sz="4" w:space="0"/>
              <w:left w:val="single" w:color="auto" w:sz="4" w:space="0"/>
              <w:bottom w:val="single" w:color="auto" w:sz="4" w:space="0"/>
              <w:right w:val="single" w:color="auto" w:sz="4" w:space="0"/>
            </w:tcBorders>
            <w:vAlign w:val="center"/>
          </w:tcPr>
          <w:p w14:paraId="403C80D6">
            <w:pPr>
              <w:jc w:val="left"/>
              <w:rPr>
                <w:rFonts w:ascii="Times New Roman" w:hAnsi="Times New Roman" w:eastAsia="仿宋_GB2312" w:cs="Times New Roman"/>
                <w:color w:val="000000" w:themeColor="text1"/>
                <w:kern w:val="0"/>
                <w:szCs w:val="21"/>
              </w:rPr>
            </w:pPr>
            <w:r>
              <w:rPr>
                <w:rFonts w:hint="eastAsia" w:ascii="Times New Roman" w:hAnsi="Times New Roman" w:eastAsia="仿宋_GB2312" w:cs="Times New Roman"/>
                <w:color w:val="000000" w:themeColor="text1"/>
                <w:kern w:val="0"/>
                <w:szCs w:val="21"/>
              </w:rPr>
              <w:t>海陵湾东岸海洋生态保护修复（</w:t>
            </w:r>
            <w:r>
              <w:rPr>
                <w:rFonts w:ascii="Times New Roman" w:hAnsi="Times New Roman" w:eastAsia="仿宋_GB2312" w:cs="Times New Roman"/>
                <w:color w:val="000000" w:themeColor="text1"/>
                <w:kern w:val="0"/>
                <w:szCs w:val="21"/>
              </w:rPr>
              <w:t>高新区红树林生态修复</w:t>
            </w:r>
            <w:r>
              <w:rPr>
                <w:rFonts w:hint="eastAsia" w:ascii="Times New Roman" w:hAnsi="Times New Roman" w:eastAsia="仿宋_GB2312" w:cs="Times New Roman"/>
                <w:color w:val="000000" w:themeColor="text1"/>
                <w:kern w:val="0"/>
                <w:szCs w:val="21"/>
              </w:rPr>
              <w:t>）</w:t>
            </w:r>
          </w:p>
        </w:tc>
        <w:tc>
          <w:tcPr>
            <w:tcW w:w="521" w:type="pct"/>
            <w:tcBorders>
              <w:top w:val="single" w:color="auto" w:sz="4" w:space="0"/>
              <w:left w:val="single" w:color="auto" w:sz="4" w:space="0"/>
              <w:bottom w:val="single" w:color="auto" w:sz="4" w:space="0"/>
              <w:right w:val="single" w:color="auto" w:sz="4" w:space="0"/>
            </w:tcBorders>
            <w:vAlign w:val="center"/>
          </w:tcPr>
          <w:p w14:paraId="4205125C">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阳江滨海新区（阳江高新区）</w:t>
            </w:r>
          </w:p>
        </w:tc>
        <w:tc>
          <w:tcPr>
            <w:tcW w:w="1139" w:type="pct"/>
            <w:tcBorders>
              <w:top w:val="single" w:color="auto" w:sz="4" w:space="0"/>
              <w:left w:val="single" w:color="auto" w:sz="4" w:space="0"/>
              <w:bottom w:val="single" w:color="auto" w:sz="4" w:space="0"/>
              <w:right w:val="single" w:color="auto" w:sz="4" w:space="0"/>
            </w:tcBorders>
            <w:vAlign w:val="center"/>
          </w:tcPr>
          <w:p w14:paraId="03717E27">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项目拟在适宜的咸围、滩涂上进行红树林生态修复，工程主要完成生态修复，包括海域整治、海岸带整治修复、红树林营造等。</w:t>
            </w:r>
          </w:p>
        </w:tc>
        <w:tc>
          <w:tcPr>
            <w:tcW w:w="328" w:type="pct"/>
            <w:tcBorders>
              <w:top w:val="single" w:color="auto" w:sz="4" w:space="0"/>
              <w:left w:val="single" w:color="auto" w:sz="4" w:space="0"/>
              <w:bottom w:val="single" w:color="auto" w:sz="4" w:space="0"/>
              <w:right w:val="single" w:color="auto" w:sz="4" w:space="0"/>
            </w:tcBorders>
            <w:vAlign w:val="center"/>
          </w:tcPr>
          <w:p w14:paraId="2D5146EB">
            <w:pPr>
              <w:pStyle w:val="40"/>
              <w:jc w:val="center"/>
              <w:rPr>
                <w:rFonts w:ascii="Times New Roman" w:hAnsi="Times New Roman" w:cs="Times New Roman"/>
                <w:color w:val="000000" w:themeColor="text1"/>
              </w:rPr>
            </w:pPr>
            <w:r>
              <w:rPr>
                <w:rFonts w:ascii="Times New Roman" w:hAnsi="Times New Roman" w:cs="Times New Roman"/>
                <w:color w:val="000000" w:themeColor="text1"/>
              </w:rPr>
              <w:t>2025-2027</w:t>
            </w:r>
          </w:p>
        </w:tc>
        <w:tc>
          <w:tcPr>
            <w:tcW w:w="399" w:type="pct"/>
            <w:tcBorders>
              <w:top w:val="single" w:color="auto" w:sz="4" w:space="0"/>
              <w:left w:val="single" w:color="auto" w:sz="4" w:space="0"/>
              <w:bottom w:val="single" w:color="auto" w:sz="4" w:space="0"/>
              <w:right w:val="single" w:color="auto" w:sz="4" w:space="0"/>
            </w:tcBorders>
            <w:vAlign w:val="center"/>
          </w:tcPr>
          <w:p w14:paraId="7777D49A">
            <w:pPr>
              <w:pStyle w:val="40"/>
              <w:jc w:val="center"/>
              <w:rPr>
                <w:rFonts w:ascii="Times New Roman" w:hAnsi="Times New Roman" w:cs="Times New Roman"/>
                <w:color w:val="000000" w:themeColor="text1"/>
              </w:rPr>
            </w:pPr>
            <w:r>
              <w:rPr>
                <w:rFonts w:hint="eastAsia" w:ascii="Times New Roman" w:hAnsi="Times New Roman" w:cs="Times New Roman"/>
                <w:color w:val="000000" w:themeColor="text1"/>
              </w:rPr>
              <w:t>7197.03</w:t>
            </w:r>
          </w:p>
        </w:tc>
        <w:tc>
          <w:tcPr>
            <w:tcW w:w="453" w:type="pct"/>
            <w:tcBorders>
              <w:top w:val="single" w:color="auto" w:sz="4" w:space="0"/>
              <w:left w:val="single" w:color="auto" w:sz="4" w:space="0"/>
              <w:bottom w:val="single" w:color="auto" w:sz="4" w:space="0"/>
              <w:right w:val="single" w:color="auto" w:sz="4" w:space="0"/>
            </w:tcBorders>
            <w:vAlign w:val="center"/>
          </w:tcPr>
          <w:p w14:paraId="76D1A615">
            <w:pPr>
              <w:pStyle w:val="40"/>
              <w:jc w:val="center"/>
              <w:rPr>
                <w:rFonts w:ascii="Times New Roman" w:hAnsi="Times New Roman" w:cs="Times New Roman"/>
                <w:color w:val="000000" w:themeColor="text1"/>
              </w:rPr>
            </w:pPr>
            <w:r>
              <w:rPr>
                <w:rFonts w:hint="eastAsia" w:ascii="Times New Roman" w:hAnsi="Times New Roman" w:cs="Times New Roman"/>
                <w:color w:val="000000" w:themeColor="text1"/>
                <w:lang w:eastAsia="zh-CN"/>
              </w:rPr>
              <w:t>约</w:t>
            </w:r>
            <w:r>
              <w:rPr>
                <w:rFonts w:hint="eastAsia" w:ascii="Times New Roman" w:hAnsi="Times New Roman" w:cs="Times New Roman"/>
                <w:color w:val="000000" w:themeColor="text1"/>
              </w:rPr>
              <w:t>61.01</w:t>
            </w:r>
            <w:r>
              <w:rPr>
                <w:rFonts w:hint="eastAsia" w:ascii="Times New Roman" w:hAnsi="Times New Roman" w:cs="Times New Roman"/>
                <w:color w:val="000000" w:themeColor="text1"/>
                <w:lang w:eastAsia="zh-CN"/>
              </w:rPr>
              <w:t>公顷</w:t>
            </w:r>
          </w:p>
        </w:tc>
        <w:tc>
          <w:tcPr>
            <w:tcW w:w="690" w:type="pct"/>
            <w:tcBorders>
              <w:top w:val="single" w:color="auto" w:sz="4" w:space="0"/>
              <w:left w:val="single" w:color="auto" w:sz="4" w:space="0"/>
              <w:bottom w:val="single" w:color="auto" w:sz="4" w:space="0"/>
              <w:right w:val="single" w:color="auto" w:sz="4" w:space="0"/>
            </w:tcBorders>
            <w:vAlign w:val="center"/>
          </w:tcPr>
          <w:p w14:paraId="5F189404">
            <w:pPr>
              <w:pStyle w:val="40"/>
              <w:jc w:val="center"/>
              <w:rPr>
                <w:rFonts w:ascii="Times New Roman" w:hAnsi="Times New Roman" w:cs="Times New Roman"/>
                <w:color w:val="000000" w:themeColor="text1"/>
              </w:rPr>
            </w:pPr>
            <w:r>
              <w:rPr>
                <w:rFonts w:ascii="Times New Roman" w:hAnsi="Times New Roman" w:cs="Times New Roman"/>
                <w:color w:val="000000" w:themeColor="text1"/>
              </w:rPr>
              <w:t>高新区管委会</w:t>
            </w:r>
          </w:p>
        </w:tc>
        <w:tc>
          <w:tcPr>
            <w:tcW w:w="285" w:type="pct"/>
            <w:tcBorders>
              <w:top w:val="single" w:color="auto" w:sz="4" w:space="0"/>
              <w:left w:val="single" w:color="auto" w:sz="4" w:space="0"/>
              <w:bottom w:val="single" w:color="auto" w:sz="4" w:space="0"/>
              <w:right w:val="single" w:color="auto" w:sz="4" w:space="0"/>
            </w:tcBorders>
            <w:vAlign w:val="center"/>
          </w:tcPr>
          <w:p w14:paraId="3AF54ADB">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规划</w:t>
            </w:r>
          </w:p>
        </w:tc>
      </w:tr>
      <w:tr w14:paraId="282A20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8" w:hRule="atLeast"/>
        </w:trPr>
        <w:tc>
          <w:tcPr>
            <w:tcW w:w="217" w:type="pct"/>
            <w:tcBorders>
              <w:top w:val="single" w:color="auto" w:sz="4" w:space="0"/>
              <w:left w:val="single" w:color="auto" w:sz="4" w:space="0"/>
              <w:bottom w:val="single" w:color="auto" w:sz="4" w:space="0"/>
              <w:right w:val="single" w:color="auto" w:sz="4" w:space="0"/>
            </w:tcBorders>
            <w:vAlign w:val="center"/>
          </w:tcPr>
          <w:p w14:paraId="35B22447">
            <w:pPr>
              <w:pStyle w:val="40"/>
              <w:jc w:val="center"/>
              <w:rPr>
                <w:rFonts w:ascii="Times New Roman" w:hAnsi="Times New Roman" w:cs="Times New Roman"/>
                <w:color w:val="000000" w:themeColor="text1"/>
              </w:rPr>
            </w:pPr>
            <w:r>
              <w:rPr>
                <w:rFonts w:ascii="Times New Roman" w:hAnsi="Times New Roman" w:cs="Times New Roman"/>
                <w:color w:val="000000" w:themeColor="text1"/>
              </w:rPr>
              <w:t>4</w:t>
            </w:r>
          </w:p>
        </w:tc>
        <w:tc>
          <w:tcPr>
            <w:tcW w:w="310" w:type="pct"/>
            <w:vMerge w:val="continue"/>
            <w:tcBorders>
              <w:left w:val="single" w:color="auto" w:sz="4" w:space="0"/>
              <w:right w:val="single" w:color="auto" w:sz="4" w:space="0"/>
            </w:tcBorders>
            <w:vAlign w:val="center"/>
          </w:tcPr>
          <w:p w14:paraId="36CD4069">
            <w:pPr>
              <w:pStyle w:val="40"/>
              <w:jc w:val="center"/>
              <w:rPr>
                <w:rFonts w:ascii="Times New Roman" w:hAnsi="Times New Roman" w:cs="Times New Roman"/>
                <w:color w:val="000000" w:themeColor="text1"/>
              </w:rPr>
            </w:pPr>
          </w:p>
        </w:tc>
        <w:tc>
          <w:tcPr>
            <w:tcW w:w="281" w:type="pct"/>
            <w:vMerge w:val="continue"/>
            <w:tcBorders>
              <w:left w:val="single" w:color="auto" w:sz="4" w:space="0"/>
              <w:right w:val="single" w:color="auto" w:sz="4" w:space="0"/>
            </w:tcBorders>
            <w:vAlign w:val="center"/>
          </w:tcPr>
          <w:p w14:paraId="3EB4EFF2">
            <w:pPr>
              <w:jc w:val="left"/>
              <w:rPr>
                <w:rFonts w:ascii="Times New Roman" w:hAnsi="Times New Roman" w:eastAsia="仿宋_GB2312" w:cs="Times New Roman"/>
                <w:color w:val="000000" w:themeColor="text1"/>
                <w:kern w:val="0"/>
                <w:szCs w:val="21"/>
              </w:rPr>
            </w:pPr>
          </w:p>
        </w:tc>
        <w:tc>
          <w:tcPr>
            <w:tcW w:w="377" w:type="pct"/>
            <w:tcBorders>
              <w:top w:val="single" w:color="auto" w:sz="4" w:space="0"/>
              <w:left w:val="single" w:color="auto" w:sz="4" w:space="0"/>
              <w:bottom w:val="single" w:color="auto" w:sz="4" w:space="0"/>
              <w:right w:val="single" w:color="auto" w:sz="4" w:space="0"/>
            </w:tcBorders>
            <w:vAlign w:val="center"/>
          </w:tcPr>
          <w:p w14:paraId="13C1E8B4">
            <w:pPr>
              <w:jc w:val="left"/>
              <w:rPr>
                <w:rFonts w:ascii="Times New Roman" w:hAnsi="Times New Roman" w:eastAsia="仿宋_GB2312" w:cs="Times New Roman"/>
                <w:color w:val="000000" w:themeColor="text1"/>
                <w:kern w:val="0"/>
                <w:szCs w:val="21"/>
              </w:rPr>
            </w:pPr>
            <w:r>
              <w:rPr>
                <w:rFonts w:ascii="Times New Roman" w:hAnsi="Times New Roman" w:eastAsia="仿宋_GB2312" w:cs="Times New Roman"/>
                <w:color w:val="000000" w:themeColor="text1"/>
                <w:kern w:val="0"/>
                <w:szCs w:val="21"/>
              </w:rPr>
              <w:t>江城区红树林生态修复工程</w:t>
            </w:r>
          </w:p>
        </w:tc>
        <w:tc>
          <w:tcPr>
            <w:tcW w:w="521" w:type="pct"/>
            <w:tcBorders>
              <w:top w:val="single" w:color="auto" w:sz="4" w:space="0"/>
              <w:left w:val="single" w:color="auto" w:sz="4" w:space="0"/>
              <w:bottom w:val="single" w:color="auto" w:sz="4" w:space="0"/>
              <w:right w:val="single" w:color="auto" w:sz="4" w:space="0"/>
            </w:tcBorders>
            <w:vAlign w:val="center"/>
          </w:tcPr>
          <w:p w14:paraId="694E2D16">
            <w:pPr>
              <w:pStyle w:val="40"/>
              <w:jc w:val="center"/>
              <w:rPr>
                <w:rFonts w:ascii="Times New Roman" w:hAnsi="Times New Roman" w:cs="Times New Roman"/>
                <w:color w:val="000000" w:themeColor="text1"/>
              </w:rPr>
            </w:pPr>
            <w:r>
              <w:rPr>
                <w:rFonts w:ascii="Times New Roman" w:hAnsi="Times New Roman" w:cs="Times New Roman"/>
                <w:color w:val="000000" w:themeColor="text1"/>
              </w:rPr>
              <w:t>江城区</w:t>
            </w:r>
          </w:p>
        </w:tc>
        <w:tc>
          <w:tcPr>
            <w:tcW w:w="1139" w:type="pct"/>
            <w:tcBorders>
              <w:top w:val="single" w:color="auto" w:sz="4" w:space="0"/>
              <w:left w:val="single" w:color="auto" w:sz="4" w:space="0"/>
              <w:bottom w:val="single" w:color="auto" w:sz="4" w:space="0"/>
              <w:right w:val="single" w:color="auto" w:sz="4" w:space="0"/>
            </w:tcBorders>
            <w:vAlign w:val="center"/>
          </w:tcPr>
          <w:p w14:paraId="2E9D9027">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开展红树林营造工程，以及岸线整治任务。</w:t>
            </w:r>
          </w:p>
        </w:tc>
        <w:tc>
          <w:tcPr>
            <w:tcW w:w="328" w:type="pct"/>
            <w:tcBorders>
              <w:top w:val="single" w:color="auto" w:sz="4" w:space="0"/>
              <w:left w:val="single" w:color="auto" w:sz="4" w:space="0"/>
              <w:bottom w:val="single" w:color="auto" w:sz="4" w:space="0"/>
              <w:right w:val="single" w:color="auto" w:sz="4" w:space="0"/>
            </w:tcBorders>
            <w:vAlign w:val="center"/>
          </w:tcPr>
          <w:p w14:paraId="3B53B71F">
            <w:pPr>
              <w:pStyle w:val="40"/>
              <w:jc w:val="center"/>
              <w:rPr>
                <w:rFonts w:ascii="Times New Roman" w:hAnsi="Times New Roman" w:cs="Times New Roman"/>
                <w:color w:val="000000" w:themeColor="text1"/>
              </w:rPr>
            </w:pPr>
            <w:r>
              <w:rPr>
                <w:rFonts w:ascii="Times New Roman" w:hAnsi="Times New Roman" w:cs="Times New Roman"/>
                <w:color w:val="000000" w:themeColor="text1"/>
              </w:rPr>
              <w:t>2024-202</w:t>
            </w:r>
            <w:r>
              <w:rPr>
                <w:rFonts w:ascii="Times New Roman" w:hAnsi="Times New Roman" w:cs="Times New Roman"/>
                <w:color w:val="000000" w:themeColor="text1"/>
                <w:lang w:val="en-US" w:eastAsia="zh-CN"/>
              </w:rPr>
              <w:t>5</w:t>
            </w:r>
          </w:p>
        </w:tc>
        <w:tc>
          <w:tcPr>
            <w:tcW w:w="399" w:type="pct"/>
            <w:tcBorders>
              <w:top w:val="single" w:color="auto" w:sz="4" w:space="0"/>
              <w:left w:val="single" w:color="auto" w:sz="4" w:space="0"/>
              <w:bottom w:val="single" w:color="auto" w:sz="4" w:space="0"/>
              <w:right w:val="single" w:color="auto" w:sz="4" w:space="0"/>
            </w:tcBorders>
            <w:vAlign w:val="center"/>
          </w:tcPr>
          <w:p w14:paraId="47ABEFC7">
            <w:pPr>
              <w:pStyle w:val="40"/>
              <w:jc w:val="center"/>
              <w:rPr>
                <w:rFonts w:ascii="Times New Roman" w:hAnsi="Times New Roman" w:cs="Times New Roman"/>
                <w:color w:val="000000" w:themeColor="text1"/>
              </w:rPr>
            </w:pPr>
            <w:r>
              <w:rPr>
                <w:rFonts w:ascii="Times New Roman" w:hAnsi="Times New Roman" w:cs="Times New Roman"/>
                <w:color w:val="000000" w:themeColor="text1"/>
              </w:rPr>
              <w:t>2000</w:t>
            </w:r>
          </w:p>
        </w:tc>
        <w:tc>
          <w:tcPr>
            <w:tcW w:w="453" w:type="pct"/>
            <w:tcBorders>
              <w:top w:val="single" w:color="auto" w:sz="4" w:space="0"/>
              <w:left w:val="single" w:color="auto" w:sz="4" w:space="0"/>
              <w:bottom w:val="single" w:color="auto" w:sz="4" w:space="0"/>
              <w:right w:val="single" w:color="auto" w:sz="4" w:space="0"/>
            </w:tcBorders>
            <w:vAlign w:val="center"/>
          </w:tcPr>
          <w:p w14:paraId="2BAB6891">
            <w:pPr>
              <w:pStyle w:val="40"/>
              <w:jc w:val="center"/>
              <w:rPr>
                <w:rFonts w:ascii="Times New Roman" w:hAnsi="Times New Roman" w:cs="Times New Roman"/>
                <w:color w:val="000000" w:themeColor="text1"/>
              </w:rPr>
            </w:pPr>
            <w:r>
              <w:rPr>
                <w:rFonts w:hint="eastAsia" w:ascii="Times New Roman" w:hAnsi="Times New Roman" w:cs="Times New Roman"/>
                <w:color w:val="000000" w:themeColor="text1"/>
                <w:lang w:eastAsia="zh-CN"/>
              </w:rPr>
              <w:t>约</w:t>
            </w:r>
            <w:r>
              <w:rPr>
                <w:rFonts w:ascii="Times New Roman" w:hAnsi="Times New Roman" w:cs="Times New Roman"/>
                <w:color w:val="000000" w:themeColor="text1"/>
              </w:rPr>
              <w:t>31.3</w:t>
            </w:r>
            <w:r>
              <w:rPr>
                <w:rFonts w:hint="eastAsia" w:ascii="Times New Roman" w:hAnsi="Times New Roman" w:cs="Times New Roman"/>
                <w:color w:val="000000" w:themeColor="text1"/>
              </w:rPr>
              <w:t>5</w:t>
            </w:r>
            <w:r>
              <w:rPr>
                <w:rFonts w:hint="eastAsia" w:ascii="Times New Roman" w:hAnsi="Times New Roman" w:cs="Times New Roman"/>
                <w:color w:val="000000" w:themeColor="text1"/>
                <w:lang w:eastAsia="zh-CN"/>
              </w:rPr>
              <w:t>公顷红树林营造及0.2公里岸线整治</w:t>
            </w:r>
          </w:p>
        </w:tc>
        <w:tc>
          <w:tcPr>
            <w:tcW w:w="690" w:type="pct"/>
            <w:tcBorders>
              <w:top w:val="single" w:color="auto" w:sz="4" w:space="0"/>
              <w:left w:val="single" w:color="auto" w:sz="4" w:space="0"/>
              <w:bottom w:val="single" w:color="auto" w:sz="4" w:space="0"/>
              <w:right w:val="single" w:color="auto" w:sz="4" w:space="0"/>
            </w:tcBorders>
            <w:vAlign w:val="center"/>
          </w:tcPr>
          <w:p w14:paraId="64D5311E">
            <w:pPr>
              <w:pStyle w:val="40"/>
              <w:jc w:val="center"/>
              <w:rPr>
                <w:rFonts w:ascii="Times New Roman" w:hAnsi="Times New Roman" w:cs="Times New Roman"/>
                <w:color w:val="000000" w:themeColor="text1"/>
              </w:rPr>
            </w:pPr>
            <w:r>
              <w:rPr>
                <w:rFonts w:ascii="Times New Roman" w:hAnsi="Times New Roman" w:cs="Times New Roman"/>
                <w:color w:val="000000" w:themeColor="text1"/>
              </w:rPr>
              <w:t>江城区人民政府</w:t>
            </w:r>
          </w:p>
        </w:tc>
        <w:tc>
          <w:tcPr>
            <w:tcW w:w="285" w:type="pct"/>
            <w:tcBorders>
              <w:top w:val="single" w:color="auto" w:sz="4" w:space="0"/>
              <w:left w:val="single" w:color="auto" w:sz="4" w:space="0"/>
              <w:bottom w:val="single" w:color="auto" w:sz="4" w:space="0"/>
              <w:right w:val="single" w:color="auto" w:sz="4" w:space="0"/>
            </w:tcBorders>
            <w:vAlign w:val="center"/>
          </w:tcPr>
          <w:p w14:paraId="21343302">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在建</w:t>
            </w:r>
          </w:p>
        </w:tc>
      </w:tr>
      <w:tr w14:paraId="0E8B89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5" w:hRule="atLeast"/>
        </w:trPr>
        <w:tc>
          <w:tcPr>
            <w:tcW w:w="217" w:type="pct"/>
            <w:tcBorders>
              <w:top w:val="single" w:color="auto" w:sz="4" w:space="0"/>
              <w:left w:val="single" w:color="auto" w:sz="4" w:space="0"/>
              <w:bottom w:val="single" w:color="auto" w:sz="4" w:space="0"/>
              <w:right w:val="single" w:color="auto" w:sz="4" w:space="0"/>
            </w:tcBorders>
            <w:vAlign w:val="center"/>
          </w:tcPr>
          <w:p w14:paraId="1BBE0DA0">
            <w:pPr>
              <w:pStyle w:val="40"/>
              <w:jc w:val="center"/>
              <w:rPr>
                <w:rFonts w:ascii="Times New Roman" w:hAnsi="Times New Roman" w:cs="Times New Roman"/>
                <w:color w:val="000000" w:themeColor="text1"/>
              </w:rPr>
            </w:pPr>
            <w:r>
              <w:rPr>
                <w:rFonts w:ascii="Times New Roman" w:hAnsi="Times New Roman" w:cs="Times New Roman"/>
                <w:color w:val="000000" w:themeColor="text1"/>
              </w:rPr>
              <w:t>5</w:t>
            </w:r>
          </w:p>
        </w:tc>
        <w:tc>
          <w:tcPr>
            <w:tcW w:w="310" w:type="pct"/>
            <w:vMerge w:val="continue"/>
            <w:tcBorders>
              <w:left w:val="single" w:color="auto" w:sz="4" w:space="0"/>
              <w:right w:val="single" w:color="auto" w:sz="4" w:space="0"/>
            </w:tcBorders>
            <w:vAlign w:val="center"/>
          </w:tcPr>
          <w:p w14:paraId="5F50F5F8">
            <w:pPr>
              <w:pStyle w:val="40"/>
              <w:jc w:val="center"/>
              <w:rPr>
                <w:rFonts w:ascii="Times New Roman" w:hAnsi="Times New Roman" w:cs="Times New Roman"/>
                <w:color w:val="000000" w:themeColor="text1"/>
              </w:rPr>
            </w:pPr>
          </w:p>
        </w:tc>
        <w:tc>
          <w:tcPr>
            <w:tcW w:w="281" w:type="pct"/>
            <w:vMerge w:val="continue"/>
            <w:tcBorders>
              <w:left w:val="single" w:color="auto" w:sz="4" w:space="0"/>
              <w:right w:val="single" w:color="auto" w:sz="4" w:space="0"/>
            </w:tcBorders>
            <w:vAlign w:val="center"/>
          </w:tcPr>
          <w:p w14:paraId="58248DF8">
            <w:pPr>
              <w:jc w:val="left"/>
              <w:rPr>
                <w:rFonts w:ascii="Times New Roman" w:hAnsi="Times New Roman" w:eastAsia="仿宋_GB2312" w:cs="Times New Roman"/>
                <w:color w:val="000000" w:themeColor="text1"/>
                <w:kern w:val="0"/>
                <w:szCs w:val="21"/>
                <w:lang w:val="zh-CN" w:bidi="zh-CN"/>
              </w:rPr>
            </w:pPr>
          </w:p>
        </w:tc>
        <w:tc>
          <w:tcPr>
            <w:tcW w:w="377" w:type="pct"/>
            <w:tcBorders>
              <w:top w:val="single" w:color="auto" w:sz="4" w:space="0"/>
              <w:left w:val="single" w:color="auto" w:sz="4" w:space="0"/>
              <w:bottom w:val="single" w:color="auto" w:sz="4" w:space="0"/>
              <w:right w:val="single" w:color="auto" w:sz="4" w:space="0"/>
            </w:tcBorders>
            <w:vAlign w:val="center"/>
          </w:tcPr>
          <w:p w14:paraId="56EFD47C">
            <w:pPr>
              <w:jc w:val="left"/>
              <w:rPr>
                <w:rFonts w:ascii="Times New Roman" w:hAnsi="Times New Roman" w:eastAsia="仿宋_GB2312" w:cs="Times New Roman"/>
                <w:color w:val="000000" w:themeColor="text1"/>
                <w:kern w:val="0"/>
                <w:szCs w:val="21"/>
                <w:lang w:val="zh-CN" w:bidi="zh-CN"/>
              </w:rPr>
            </w:pPr>
            <w:r>
              <w:rPr>
                <w:rFonts w:ascii="Times New Roman" w:hAnsi="Times New Roman" w:eastAsia="仿宋_GB2312" w:cs="Times New Roman"/>
                <w:color w:val="000000" w:themeColor="text1"/>
                <w:kern w:val="0"/>
                <w:szCs w:val="21"/>
                <w:lang w:val="zh-CN" w:bidi="zh-CN"/>
              </w:rPr>
              <w:t>阳东区红树林生态修复工程</w:t>
            </w:r>
          </w:p>
        </w:tc>
        <w:tc>
          <w:tcPr>
            <w:tcW w:w="521" w:type="pct"/>
            <w:tcBorders>
              <w:top w:val="single" w:color="auto" w:sz="4" w:space="0"/>
              <w:left w:val="single" w:color="auto" w:sz="4" w:space="0"/>
              <w:bottom w:val="single" w:color="auto" w:sz="4" w:space="0"/>
              <w:right w:val="single" w:color="auto" w:sz="4" w:space="0"/>
            </w:tcBorders>
            <w:vAlign w:val="center"/>
          </w:tcPr>
          <w:p w14:paraId="1A7228BD">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阳东区</w:t>
            </w:r>
          </w:p>
        </w:tc>
        <w:tc>
          <w:tcPr>
            <w:tcW w:w="1139" w:type="pct"/>
            <w:tcBorders>
              <w:top w:val="single" w:color="auto" w:sz="4" w:space="0"/>
              <w:left w:val="single" w:color="auto" w:sz="4" w:space="0"/>
              <w:bottom w:val="single" w:color="auto" w:sz="4" w:space="0"/>
              <w:right w:val="single" w:color="auto" w:sz="4" w:space="0"/>
            </w:tcBorders>
            <w:vAlign w:val="center"/>
          </w:tcPr>
          <w:p w14:paraId="12BDBFDA">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开展红树林营造工程。</w:t>
            </w:r>
          </w:p>
        </w:tc>
        <w:tc>
          <w:tcPr>
            <w:tcW w:w="328" w:type="pct"/>
            <w:tcBorders>
              <w:top w:val="single" w:color="auto" w:sz="4" w:space="0"/>
              <w:left w:val="single" w:color="auto" w:sz="4" w:space="0"/>
              <w:bottom w:val="single" w:color="auto" w:sz="4" w:space="0"/>
              <w:right w:val="single" w:color="auto" w:sz="4" w:space="0"/>
            </w:tcBorders>
            <w:vAlign w:val="center"/>
          </w:tcPr>
          <w:p w14:paraId="6FC3D3B0">
            <w:pPr>
              <w:pStyle w:val="40"/>
              <w:jc w:val="center"/>
              <w:rPr>
                <w:rFonts w:ascii="Times New Roman" w:hAnsi="Times New Roman" w:cs="Times New Roman"/>
                <w:color w:val="000000" w:themeColor="text1"/>
                <w:lang w:val="en-US" w:eastAsia="zh-CN"/>
              </w:rPr>
            </w:pPr>
            <w:r>
              <w:rPr>
                <w:rFonts w:ascii="Times New Roman" w:hAnsi="Times New Roman" w:cs="Times New Roman"/>
                <w:color w:val="000000" w:themeColor="text1"/>
                <w:lang w:eastAsia="zh-CN"/>
              </w:rPr>
              <w:t>2024-20</w:t>
            </w:r>
            <w:r>
              <w:rPr>
                <w:rFonts w:ascii="Times New Roman" w:hAnsi="Times New Roman" w:cs="Times New Roman"/>
                <w:color w:val="000000" w:themeColor="text1"/>
                <w:lang w:val="en-US" w:eastAsia="zh-CN"/>
              </w:rPr>
              <w:t>25</w:t>
            </w:r>
          </w:p>
        </w:tc>
        <w:tc>
          <w:tcPr>
            <w:tcW w:w="399" w:type="pct"/>
            <w:tcBorders>
              <w:top w:val="single" w:color="auto" w:sz="4" w:space="0"/>
              <w:left w:val="single" w:color="auto" w:sz="4" w:space="0"/>
              <w:bottom w:val="single" w:color="auto" w:sz="4" w:space="0"/>
              <w:right w:val="single" w:color="auto" w:sz="4" w:space="0"/>
            </w:tcBorders>
            <w:vAlign w:val="center"/>
          </w:tcPr>
          <w:p w14:paraId="4A628D6E">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20000</w:t>
            </w:r>
          </w:p>
        </w:tc>
        <w:tc>
          <w:tcPr>
            <w:tcW w:w="453" w:type="pct"/>
            <w:tcBorders>
              <w:top w:val="single" w:color="auto" w:sz="4" w:space="0"/>
              <w:left w:val="single" w:color="auto" w:sz="4" w:space="0"/>
              <w:bottom w:val="single" w:color="auto" w:sz="4" w:space="0"/>
              <w:right w:val="single" w:color="auto" w:sz="4" w:space="0"/>
            </w:tcBorders>
            <w:vAlign w:val="center"/>
          </w:tcPr>
          <w:p w14:paraId="1DD5C2E8">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eastAsia="zh-CN"/>
              </w:rPr>
              <w:t>约</w:t>
            </w:r>
            <w:r>
              <w:rPr>
                <w:rFonts w:ascii="Times New Roman" w:hAnsi="Times New Roman" w:cs="Times New Roman"/>
                <w:color w:val="000000" w:themeColor="text1"/>
                <w:lang w:eastAsia="zh-CN"/>
              </w:rPr>
              <w:t>95.8</w:t>
            </w:r>
            <w:r>
              <w:rPr>
                <w:rFonts w:hint="eastAsia" w:ascii="Times New Roman" w:hAnsi="Times New Roman" w:cs="Times New Roman"/>
                <w:color w:val="000000" w:themeColor="text1"/>
                <w:lang w:eastAsia="zh-CN"/>
              </w:rPr>
              <w:t>8公顷</w:t>
            </w:r>
          </w:p>
        </w:tc>
        <w:tc>
          <w:tcPr>
            <w:tcW w:w="690" w:type="pct"/>
            <w:tcBorders>
              <w:top w:val="single" w:color="auto" w:sz="4" w:space="0"/>
              <w:left w:val="single" w:color="auto" w:sz="4" w:space="0"/>
              <w:bottom w:val="single" w:color="auto" w:sz="4" w:space="0"/>
              <w:right w:val="single" w:color="auto" w:sz="4" w:space="0"/>
            </w:tcBorders>
            <w:vAlign w:val="center"/>
          </w:tcPr>
          <w:p w14:paraId="19764028">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阳东区人民政府</w:t>
            </w:r>
          </w:p>
        </w:tc>
        <w:tc>
          <w:tcPr>
            <w:tcW w:w="285" w:type="pct"/>
            <w:tcBorders>
              <w:top w:val="single" w:color="auto" w:sz="4" w:space="0"/>
              <w:left w:val="single" w:color="auto" w:sz="4" w:space="0"/>
              <w:bottom w:val="single" w:color="auto" w:sz="4" w:space="0"/>
              <w:right w:val="single" w:color="auto" w:sz="4" w:space="0"/>
            </w:tcBorders>
            <w:vAlign w:val="center"/>
          </w:tcPr>
          <w:p w14:paraId="71755F82">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在建</w:t>
            </w:r>
          </w:p>
        </w:tc>
      </w:tr>
      <w:tr w14:paraId="290B32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4" w:hRule="atLeast"/>
        </w:trPr>
        <w:tc>
          <w:tcPr>
            <w:tcW w:w="217" w:type="pct"/>
            <w:tcBorders>
              <w:top w:val="single" w:color="auto" w:sz="4" w:space="0"/>
              <w:left w:val="single" w:color="auto" w:sz="4" w:space="0"/>
              <w:bottom w:val="single" w:color="auto" w:sz="4" w:space="0"/>
              <w:right w:val="single" w:color="auto" w:sz="4" w:space="0"/>
            </w:tcBorders>
            <w:vAlign w:val="center"/>
          </w:tcPr>
          <w:p w14:paraId="2983B212">
            <w:pPr>
              <w:pStyle w:val="40"/>
              <w:jc w:val="center"/>
              <w:rPr>
                <w:rFonts w:ascii="Times New Roman" w:hAnsi="Times New Roman" w:cs="Times New Roman"/>
                <w:color w:val="000000" w:themeColor="text1"/>
              </w:rPr>
            </w:pPr>
            <w:r>
              <w:rPr>
                <w:rFonts w:ascii="Times New Roman" w:hAnsi="Times New Roman" w:cs="Times New Roman"/>
                <w:color w:val="000000" w:themeColor="text1"/>
              </w:rPr>
              <w:t>6</w:t>
            </w:r>
          </w:p>
        </w:tc>
        <w:tc>
          <w:tcPr>
            <w:tcW w:w="310" w:type="pct"/>
            <w:vMerge w:val="continue"/>
            <w:tcBorders>
              <w:left w:val="single" w:color="auto" w:sz="4" w:space="0"/>
              <w:right w:val="single" w:color="auto" w:sz="4" w:space="0"/>
            </w:tcBorders>
            <w:vAlign w:val="center"/>
          </w:tcPr>
          <w:p w14:paraId="2B1DF575">
            <w:pPr>
              <w:pStyle w:val="40"/>
              <w:jc w:val="center"/>
              <w:rPr>
                <w:rFonts w:ascii="Times New Roman" w:hAnsi="Times New Roman" w:cs="Times New Roman"/>
                <w:color w:val="000000" w:themeColor="text1"/>
              </w:rPr>
            </w:pPr>
          </w:p>
        </w:tc>
        <w:tc>
          <w:tcPr>
            <w:tcW w:w="281" w:type="pct"/>
            <w:vMerge w:val="continue"/>
            <w:tcBorders>
              <w:left w:val="single" w:color="auto" w:sz="4" w:space="0"/>
              <w:right w:val="single" w:color="auto" w:sz="4" w:space="0"/>
            </w:tcBorders>
            <w:vAlign w:val="center"/>
          </w:tcPr>
          <w:p w14:paraId="4EC68DB3">
            <w:pPr>
              <w:jc w:val="left"/>
              <w:rPr>
                <w:rFonts w:ascii="Times New Roman" w:hAnsi="Times New Roman" w:eastAsia="仿宋_GB2312" w:cs="Times New Roman"/>
                <w:color w:val="000000" w:themeColor="text1"/>
                <w:kern w:val="0"/>
                <w:szCs w:val="21"/>
              </w:rPr>
            </w:pPr>
          </w:p>
        </w:tc>
        <w:tc>
          <w:tcPr>
            <w:tcW w:w="377" w:type="pct"/>
            <w:tcBorders>
              <w:top w:val="single" w:color="auto" w:sz="4" w:space="0"/>
              <w:left w:val="single" w:color="auto" w:sz="4" w:space="0"/>
              <w:bottom w:val="single" w:color="auto" w:sz="4" w:space="0"/>
              <w:right w:val="single" w:color="auto" w:sz="4" w:space="0"/>
            </w:tcBorders>
            <w:vAlign w:val="center"/>
          </w:tcPr>
          <w:p w14:paraId="56B72CB2">
            <w:pPr>
              <w:jc w:val="left"/>
              <w:rPr>
                <w:rFonts w:ascii="Times New Roman" w:hAnsi="Times New Roman" w:eastAsia="仿宋_GB2312" w:cs="Times New Roman"/>
                <w:color w:val="000000" w:themeColor="text1"/>
                <w:kern w:val="0"/>
                <w:szCs w:val="21"/>
              </w:rPr>
            </w:pPr>
            <w:r>
              <w:rPr>
                <w:rFonts w:ascii="Times New Roman" w:hAnsi="Times New Roman" w:eastAsia="仿宋_GB2312" w:cs="Times New Roman"/>
                <w:color w:val="000000" w:themeColor="text1"/>
                <w:kern w:val="0"/>
                <w:szCs w:val="21"/>
              </w:rPr>
              <w:t>海陵岛红树林生态修复</w:t>
            </w:r>
          </w:p>
        </w:tc>
        <w:tc>
          <w:tcPr>
            <w:tcW w:w="521" w:type="pct"/>
            <w:tcBorders>
              <w:top w:val="single" w:color="auto" w:sz="4" w:space="0"/>
              <w:left w:val="single" w:color="auto" w:sz="4" w:space="0"/>
              <w:bottom w:val="single" w:color="auto" w:sz="4" w:space="0"/>
              <w:right w:val="single" w:color="auto" w:sz="4" w:space="0"/>
            </w:tcBorders>
            <w:vAlign w:val="center"/>
          </w:tcPr>
          <w:p w14:paraId="7522A176">
            <w:pPr>
              <w:pStyle w:val="40"/>
              <w:jc w:val="center"/>
              <w:rPr>
                <w:rFonts w:ascii="Times New Roman" w:hAnsi="Times New Roman" w:cs="Times New Roman"/>
                <w:color w:val="000000" w:themeColor="text1"/>
              </w:rPr>
            </w:pPr>
            <w:r>
              <w:rPr>
                <w:rFonts w:ascii="Times New Roman" w:hAnsi="Times New Roman" w:cs="Times New Roman"/>
                <w:color w:val="000000" w:themeColor="text1"/>
              </w:rPr>
              <w:t>海陵区</w:t>
            </w:r>
          </w:p>
        </w:tc>
        <w:tc>
          <w:tcPr>
            <w:tcW w:w="1139" w:type="pct"/>
            <w:tcBorders>
              <w:top w:val="single" w:color="auto" w:sz="4" w:space="0"/>
              <w:left w:val="single" w:color="auto" w:sz="4" w:space="0"/>
              <w:bottom w:val="single" w:color="auto" w:sz="4" w:space="0"/>
              <w:right w:val="single" w:color="auto" w:sz="4" w:space="0"/>
            </w:tcBorders>
            <w:vAlign w:val="center"/>
          </w:tcPr>
          <w:p w14:paraId="30893B49">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在海陵岛北部沿海滩涂进行红树林生态修复，因地制宜建立红树林生态系统，提升海岸生态减灾功能。工程主要完成生态修复，包括海域整治、海岸带整治修复、红树林营造</w:t>
            </w:r>
            <w:r>
              <w:rPr>
                <w:rFonts w:hint="eastAsia" w:ascii="Times New Roman" w:hAnsi="Times New Roman" w:cs="Times New Roman"/>
                <w:color w:val="000000" w:themeColor="text1"/>
                <w:lang w:eastAsia="zh-CN"/>
              </w:rPr>
              <w:t>、鸟类栖息地建设</w:t>
            </w:r>
            <w:r>
              <w:rPr>
                <w:rFonts w:ascii="Times New Roman" w:hAnsi="Times New Roman" w:cs="Times New Roman"/>
                <w:color w:val="000000" w:themeColor="text1"/>
                <w:lang w:eastAsia="zh-CN"/>
              </w:rPr>
              <w:t>等。</w:t>
            </w:r>
          </w:p>
        </w:tc>
        <w:tc>
          <w:tcPr>
            <w:tcW w:w="328" w:type="pct"/>
            <w:tcBorders>
              <w:top w:val="single" w:color="auto" w:sz="4" w:space="0"/>
              <w:left w:val="single" w:color="auto" w:sz="4" w:space="0"/>
              <w:bottom w:val="single" w:color="auto" w:sz="4" w:space="0"/>
              <w:right w:val="single" w:color="auto" w:sz="4" w:space="0"/>
            </w:tcBorders>
            <w:vAlign w:val="center"/>
          </w:tcPr>
          <w:p w14:paraId="1BB4135C">
            <w:pPr>
              <w:pStyle w:val="40"/>
              <w:jc w:val="center"/>
              <w:rPr>
                <w:rFonts w:ascii="Times New Roman" w:hAnsi="Times New Roman" w:cs="Times New Roman"/>
                <w:color w:val="000000" w:themeColor="text1"/>
              </w:rPr>
            </w:pPr>
            <w:r>
              <w:rPr>
                <w:rFonts w:ascii="Times New Roman" w:hAnsi="Times New Roman" w:cs="Times New Roman"/>
                <w:color w:val="000000" w:themeColor="text1"/>
              </w:rPr>
              <w:t>2024-202</w:t>
            </w:r>
            <w:r>
              <w:rPr>
                <w:rFonts w:ascii="Times New Roman" w:hAnsi="Times New Roman" w:cs="Times New Roman"/>
                <w:color w:val="000000" w:themeColor="text1"/>
                <w:lang w:val="en-US" w:eastAsia="zh-CN"/>
              </w:rPr>
              <w:t>5</w:t>
            </w:r>
          </w:p>
        </w:tc>
        <w:tc>
          <w:tcPr>
            <w:tcW w:w="399" w:type="pct"/>
            <w:tcBorders>
              <w:top w:val="single" w:color="auto" w:sz="4" w:space="0"/>
              <w:left w:val="single" w:color="auto" w:sz="4" w:space="0"/>
              <w:bottom w:val="single" w:color="auto" w:sz="4" w:space="0"/>
              <w:right w:val="single" w:color="auto" w:sz="4" w:space="0"/>
            </w:tcBorders>
            <w:vAlign w:val="center"/>
          </w:tcPr>
          <w:p w14:paraId="4FFC4CE5">
            <w:pPr>
              <w:pStyle w:val="40"/>
              <w:jc w:val="center"/>
              <w:rPr>
                <w:rFonts w:ascii="Times New Roman" w:hAnsi="Times New Roman" w:cs="Times New Roman"/>
                <w:color w:val="000000" w:themeColor="text1"/>
              </w:rPr>
            </w:pPr>
            <w:r>
              <w:rPr>
                <w:rFonts w:ascii="Times New Roman" w:hAnsi="Times New Roman" w:cs="Times New Roman"/>
                <w:color w:val="000000" w:themeColor="text1"/>
              </w:rPr>
              <w:t>18440</w:t>
            </w:r>
          </w:p>
        </w:tc>
        <w:tc>
          <w:tcPr>
            <w:tcW w:w="453" w:type="pct"/>
            <w:tcBorders>
              <w:top w:val="single" w:color="auto" w:sz="4" w:space="0"/>
              <w:left w:val="single" w:color="auto" w:sz="4" w:space="0"/>
              <w:bottom w:val="single" w:color="auto" w:sz="4" w:space="0"/>
              <w:right w:val="single" w:color="auto" w:sz="4" w:space="0"/>
            </w:tcBorders>
            <w:vAlign w:val="center"/>
          </w:tcPr>
          <w:p w14:paraId="34026CCC">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eastAsia="zh-CN"/>
              </w:rPr>
              <w:t>约</w:t>
            </w:r>
            <w:r>
              <w:rPr>
                <w:rFonts w:ascii="Times New Roman" w:hAnsi="Times New Roman" w:cs="Times New Roman"/>
                <w:color w:val="000000" w:themeColor="text1"/>
                <w:lang w:eastAsia="zh-CN"/>
              </w:rPr>
              <w:t>183.0</w:t>
            </w:r>
            <w:r>
              <w:rPr>
                <w:rFonts w:hint="eastAsia" w:ascii="Times New Roman" w:hAnsi="Times New Roman" w:cs="Times New Roman"/>
                <w:color w:val="000000" w:themeColor="text1"/>
                <w:lang w:eastAsia="zh-CN"/>
              </w:rPr>
              <w:t>0公顷</w:t>
            </w:r>
          </w:p>
        </w:tc>
        <w:tc>
          <w:tcPr>
            <w:tcW w:w="690" w:type="pct"/>
            <w:tcBorders>
              <w:top w:val="single" w:color="auto" w:sz="4" w:space="0"/>
              <w:left w:val="single" w:color="auto" w:sz="4" w:space="0"/>
              <w:bottom w:val="single" w:color="auto" w:sz="4" w:space="0"/>
              <w:right w:val="single" w:color="auto" w:sz="4" w:space="0"/>
            </w:tcBorders>
            <w:vAlign w:val="center"/>
          </w:tcPr>
          <w:p w14:paraId="00A4634C">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海陵区管委会、阳江市自然资源局海陵分局</w:t>
            </w:r>
          </w:p>
        </w:tc>
        <w:tc>
          <w:tcPr>
            <w:tcW w:w="285" w:type="pct"/>
            <w:tcBorders>
              <w:top w:val="single" w:color="auto" w:sz="4" w:space="0"/>
              <w:left w:val="single" w:color="auto" w:sz="4" w:space="0"/>
              <w:bottom w:val="single" w:color="auto" w:sz="4" w:space="0"/>
              <w:right w:val="single" w:color="auto" w:sz="4" w:space="0"/>
            </w:tcBorders>
            <w:vAlign w:val="center"/>
          </w:tcPr>
          <w:p w14:paraId="55C21A0D">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在建</w:t>
            </w:r>
          </w:p>
        </w:tc>
      </w:tr>
      <w:tr w14:paraId="65D468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4" w:hRule="atLeast"/>
        </w:trPr>
        <w:tc>
          <w:tcPr>
            <w:tcW w:w="217" w:type="pct"/>
            <w:tcBorders>
              <w:top w:val="single" w:color="auto" w:sz="4" w:space="0"/>
              <w:left w:val="single" w:color="auto" w:sz="4" w:space="0"/>
              <w:bottom w:val="single" w:color="auto" w:sz="4" w:space="0"/>
              <w:right w:val="single" w:color="auto" w:sz="4" w:space="0"/>
            </w:tcBorders>
            <w:vAlign w:val="center"/>
          </w:tcPr>
          <w:p w14:paraId="519C09E9">
            <w:pPr>
              <w:pStyle w:val="40"/>
              <w:jc w:val="center"/>
              <w:rPr>
                <w:rFonts w:ascii="Times New Roman" w:hAnsi="Times New Roman" w:cs="Times New Roman"/>
                <w:color w:val="000000" w:themeColor="text1"/>
              </w:rPr>
            </w:pPr>
            <w:r>
              <w:rPr>
                <w:rFonts w:ascii="Times New Roman" w:hAnsi="Times New Roman" w:cs="Times New Roman"/>
                <w:color w:val="000000" w:themeColor="text1"/>
              </w:rPr>
              <w:t>7</w:t>
            </w:r>
          </w:p>
        </w:tc>
        <w:tc>
          <w:tcPr>
            <w:tcW w:w="310" w:type="pct"/>
            <w:vMerge w:val="continue"/>
            <w:tcBorders>
              <w:left w:val="single" w:color="auto" w:sz="4" w:space="0"/>
              <w:right w:val="single" w:color="auto" w:sz="4" w:space="0"/>
            </w:tcBorders>
            <w:vAlign w:val="center"/>
          </w:tcPr>
          <w:p w14:paraId="66C424D7">
            <w:pPr>
              <w:pStyle w:val="40"/>
              <w:jc w:val="center"/>
              <w:rPr>
                <w:rFonts w:ascii="Times New Roman" w:hAnsi="Times New Roman" w:cs="Times New Roman"/>
                <w:color w:val="000000" w:themeColor="text1"/>
              </w:rPr>
            </w:pPr>
          </w:p>
        </w:tc>
        <w:tc>
          <w:tcPr>
            <w:tcW w:w="281" w:type="pct"/>
            <w:vMerge w:val="continue"/>
            <w:tcBorders>
              <w:left w:val="single" w:color="auto" w:sz="4" w:space="0"/>
              <w:right w:val="single" w:color="auto" w:sz="4" w:space="0"/>
            </w:tcBorders>
            <w:vAlign w:val="center"/>
          </w:tcPr>
          <w:p w14:paraId="7205BC8C">
            <w:pPr>
              <w:jc w:val="left"/>
              <w:rPr>
                <w:rFonts w:ascii="Times New Roman" w:hAnsi="Times New Roman" w:eastAsia="仿宋_GB2312" w:cs="Times New Roman"/>
                <w:color w:val="000000" w:themeColor="text1"/>
                <w:kern w:val="0"/>
                <w:szCs w:val="21"/>
              </w:rPr>
            </w:pPr>
          </w:p>
        </w:tc>
        <w:tc>
          <w:tcPr>
            <w:tcW w:w="377" w:type="pct"/>
            <w:tcBorders>
              <w:top w:val="single" w:color="auto" w:sz="4" w:space="0"/>
              <w:left w:val="single" w:color="auto" w:sz="4" w:space="0"/>
              <w:bottom w:val="single" w:color="auto" w:sz="4" w:space="0"/>
              <w:right w:val="single" w:color="auto" w:sz="4" w:space="0"/>
            </w:tcBorders>
            <w:vAlign w:val="center"/>
          </w:tcPr>
          <w:p w14:paraId="3076970E">
            <w:pPr>
              <w:jc w:val="left"/>
              <w:rPr>
                <w:rFonts w:ascii="Times New Roman" w:hAnsi="Times New Roman" w:eastAsia="仿宋_GB2312" w:cs="Times New Roman"/>
                <w:color w:val="000000" w:themeColor="text1"/>
                <w:kern w:val="0"/>
                <w:szCs w:val="21"/>
              </w:rPr>
            </w:pPr>
            <w:r>
              <w:rPr>
                <w:rFonts w:ascii="Times New Roman" w:hAnsi="Times New Roman" w:eastAsia="仿宋_GB2312" w:cs="Times New Roman"/>
                <w:color w:val="000000" w:themeColor="text1"/>
                <w:kern w:val="0"/>
                <w:szCs w:val="21"/>
              </w:rPr>
              <w:t>阳西县红树林生态修复</w:t>
            </w:r>
          </w:p>
        </w:tc>
        <w:tc>
          <w:tcPr>
            <w:tcW w:w="521" w:type="pct"/>
            <w:tcBorders>
              <w:top w:val="single" w:color="auto" w:sz="4" w:space="0"/>
              <w:left w:val="single" w:color="auto" w:sz="4" w:space="0"/>
              <w:bottom w:val="single" w:color="auto" w:sz="4" w:space="0"/>
              <w:right w:val="single" w:color="auto" w:sz="4" w:space="0"/>
            </w:tcBorders>
            <w:vAlign w:val="center"/>
          </w:tcPr>
          <w:p w14:paraId="0E82D2CF">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阳西县溪头镇</w:t>
            </w:r>
          </w:p>
        </w:tc>
        <w:tc>
          <w:tcPr>
            <w:tcW w:w="1139" w:type="pct"/>
            <w:tcBorders>
              <w:top w:val="single" w:color="auto" w:sz="4" w:space="0"/>
              <w:left w:val="single" w:color="auto" w:sz="4" w:space="0"/>
              <w:bottom w:val="single" w:color="auto" w:sz="4" w:space="0"/>
              <w:right w:val="single" w:color="auto" w:sz="4" w:space="0"/>
            </w:tcBorders>
            <w:vAlign w:val="center"/>
          </w:tcPr>
          <w:p w14:paraId="41BCD214">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开展红树林营造工程，有效发挥红树林防风消浪功能。项目工程内容主要包括互花米草治理工程、红树林营造工程。</w:t>
            </w:r>
          </w:p>
        </w:tc>
        <w:tc>
          <w:tcPr>
            <w:tcW w:w="328" w:type="pct"/>
            <w:tcBorders>
              <w:top w:val="single" w:color="auto" w:sz="4" w:space="0"/>
              <w:left w:val="single" w:color="auto" w:sz="4" w:space="0"/>
              <w:bottom w:val="single" w:color="auto" w:sz="4" w:space="0"/>
              <w:right w:val="single" w:color="auto" w:sz="4" w:space="0"/>
            </w:tcBorders>
            <w:vAlign w:val="center"/>
          </w:tcPr>
          <w:p w14:paraId="56A35869">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2024-202</w:t>
            </w:r>
            <w:r>
              <w:rPr>
                <w:rFonts w:ascii="Times New Roman" w:hAnsi="Times New Roman" w:cs="Times New Roman"/>
                <w:color w:val="000000" w:themeColor="text1"/>
                <w:lang w:val="en-US" w:eastAsia="zh-CN"/>
              </w:rPr>
              <w:t>5</w:t>
            </w:r>
          </w:p>
        </w:tc>
        <w:tc>
          <w:tcPr>
            <w:tcW w:w="399" w:type="pct"/>
            <w:tcBorders>
              <w:top w:val="single" w:color="auto" w:sz="4" w:space="0"/>
              <w:left w:val="single" w:color="auto" w:sz="4" w:space="0"/>
              <w:bottom w:val="single" w:color="auto" w:sz="4" w:space="0"/>
              <w:right w:val="single" w:color="auto" w:sz="4" w:space="0"/>
            </w:tcBorders>
            <w:vAlign w:val="center"/>
          </w:tcPr>
          <w:p w14:paraId="705C9D20">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21000</w:t>
            </w:r>
          </w:p>
        </w:tc>
        <w:tc>
          <w:tcPr>
            <w:tcW w:w="453" w:type="pct"/>
            <w:tcBorders>
              <w:top w:val="single" w:color="auto" w:sz="4" w:space="0"/>
              <w:left w:val="single" w:color="auto" w:sz="4" w:space="0"/>
              <w:bottom w:val="single" w:color="auto" w:sz="4" w:space="0"/>
              <w:right w:val="single" w:color="auto" w:sz="4" w:space="0"/>
            </w:tcBorders>
            <w:vAlign w:val="center"/>
          </w:tcPr>
          <w:p w14:paraId="07EE3905">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eastAsia="zh-CN"/>
              </w:rPr>
              <w:t>/</w:t>
            </w:r>
          </w:p>
        </w:tc>
        <w:tc>
          <w:tcPr>
            <w:tcW w:w="690" w:type="pct"/>
            <w:tcBorders>
              <w:top w:val="single" w:color="auto" w:sz="4" w:space="0"/>
              <w:left w:val="single" w:color="auto" w:sz="4" w:space="0"/>
              <w:bottom w:val="single" w:color="auto" w:sz="4" w:space="0"/>
              <w:right w:val="single" w:color="auto" w:sz="4" w:space="0"/>
            </w:tcBorders>
            <w:vAlign w:val="center"/>
          </w:tcPr>
          <w:p w14:paraId="7D8A7644">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阳西县人民政府</w:t>
            </w:r>
          </w:p>
        </w:tc>
        <w:tc>
          <w:tcPr>
            <w:tcW w:w="285" w:type="pct"/>
            <w:tcBorders>
              <w:top w:val="single" w:color="auto" w:sz="4" w:space="0"/>
              <w:left w:val="single" w:color="auto" w:sz="4" w:space="0"/>
              <w:bottom w:val="single" w:color="auto" w:sz="4" w:space="0"/>
              <w:right w:val="single" w:color="auto" w:sz="4" w:space="0"/>
            </w:tcBorders>
            <w:vAlign w:val="center"/>
          </w:tcPr>
          <w:p w14:paraId="779355BE">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在建</w:t>
            </w:r>
          </w:p>
        </w:tc>
      </w:tr>
      <w:tr w14:paraId="51891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7" w:hRule="atLeast"/>
        </w:trPr>
        <w:tc>
          <w:tcPr>
            <w:tcW w:w="217" w:type="pct"/>
            <w:tcBorders>
              <w:top w:val="single" w:color="auto" w:sz="4" w:space="0"/>
              <w:left w:val="single" w:color="auto" w:sz="4" w:space="0"/>
              <w:bottom w:val="single" w:color="auto" w:sz="4" w:space="0"/>
              <w:right w:val="single" w:color="auto" w:sz="4" w:space="0"/>
            </w:tcBorders>
            <w:vAlign w:val="center"/>
          </w:tcPr>
          <w:p w14:paraId="65DE0C5C">
            <w:pPr>
              <w:pStyle w:val="40"/>
              <w:jc w:val="center"/>
              <w:rPr>
                <w:rFonts w:ascii="Times New Roman" w:hAnsi="Times New Roman" w:cs="Times New Roman"/>
                <w:color w:val="000000" w:themeColor="text1"/>
              </w:rPr>
            </w:pPr>
            <w:r>
              <w:rPr>
                <w:rFonts w:ascii="Times New Roman" w:hAnsi="Times New Roman" w:cs="Times New Roman"/>
                <w:color w:val="000000" w:themeColor="text1"/>
              </w:rPr>
              <w:t>8</w:t>
            </w:r>
          </w:p>
        </w:tc>
        <w:tc>
          <w:tcPr>
            <w:tcW w:w="310" w:type="pct"/>
            <w:vMerge w:val="continue"/>
            <w:tcBorders>
              <w:left w:val="single" w:color="auto" w:sz="4" w:space="0"/>
              <w:right w:val="single" w:color="auto" w:sz="4" w:space="0"/>
            </w:tcBorders>
            <w:vAlign w:val="center"/>
          </w:tcPr>
          <w:p w14:paraId="6EB6746B">
            <w:pPr>
              <w:pStyle w:val="40"/>
              <w:jc w:val="center"/>
              <w:rPr>
                <w:rFonts w:ascii="Times New Roman" w:hAnsi="Times New Roman" w:cs="Times New Roman"/>
                <w:color w:val="000000" w:themeColor="text1"/>
              </w:rPr>
            </w:pPr>
          </w:p>
        </w:tc>
        <w:tc>
          <w:tcPr>
            <w:tcW w:w="281" w:type="pct"/>
            <w:vMerge w:val="continue"/>
            <w:tcBorders>
              <w:left w:val="single" w:color="auto" w:sz="4" w:space="0"/>
              <w:right w:val="single" w:color="auto" w:sz="4" w:space="0"/>
            </w:tcBorders>
            <w:vAlign w:val="center"/>
          </w:tcPr>
          <w:p w14:paraId="32F83A03">
            <w:pPr>
              <w:jc w:val="center"/>
              <w:rPr>
                <w:rFonts w:ascii="Times New Roman" w:hAnsi="Times New Roman" w:eastAsia="仿宋_GB2312" w:cs="Times New Roman"/>
                <w:color w:val="000000" w:themeColor="text1"/>
                <w:kern w:val="0"/>
                <w:szCs w:val="21"/>
              </w:rPr>
            </w:pPr>
          </w:p>
        </w:tc>
        <w:tc>
          <w:tcPr>
            <w:tcW w:w="377" w:type="pct"/>
            <w:tcBorders>
              <w:top w:val="single" w:color="auto" w:sz="4" w:space="0"/>
              <w:left w:val="single" w:color="auto" w:sz="4" w:space="0"/>
              <w:bottom w:val="single" w:color="auto" w:sz="4" w:space="0"/>
              <w:right w:val="single" w:color="auto" w:sz="4" w:space="0"/>
            </w:tcBorders>
            <w:vAlign w:val="center"/>
          </w:tcPr>
          <w:p w14:paraId="1CC35412">
            <w:pPr>
              <w:jc w:val="center"/>
              <w:rPr>
                <w:rFonts w:ascii="Times New Roman" w:hAnsi="Times New Roman" w:eastAsia="仿宋_GB2312" w:cs="Times New Roman"/>
                <w:color w:val="000000" w:themeColor="text1"/>
                <w:kern w:val="0"/>
                <w:szCs w:val="21"/>
              </w:rPr>
            </w:pPr>
            <w:r>
              <w:rPr>
                <w:rFonts w:ascii="Times New Roman" w:hAnsi="Times New Roman" w:eastAsia="仿宋_GB2312" w:cs="Times New Roman"/>
                <w:color w:val="000000" w:themeColor="text1"/>
                <w:kern w:val="0"/>
                <w:szCs w:val="21"/>
              </w:rPr>
              <w:t>广东省闸坡现代渔港建设项目生态保护修复</w:t>
            </w:r>
          </w:p>
        </w:tc>
        <w:tc>
          <w:tcPr>
            <w:tcW w:w="521" w:type="pct"/>
            <w:tcBorders>
              <w:top w:val="single" w:color="auto" w:sz="4" w:space="0"/>
              <w:left w:val="single" w:color="auto" w:sz="4" w:space="0"/>
              <w:bottom w:val="single" w:color="auto" w:sz="4" w:space="0"/>
              <w:right w:val="single" w:color="auto" w:sz="4" w:space="0"/>
            </w:tcBorders>
            <w:vAlign w:val="center"/>
          </w:tcPr>
          <w:p w14:paraId="3788CFF9">
            <w:pPr>
              <w:pStyle w:val="40"/>
              <w:jc w:val="center"/>
              <w:rPr>
                <w:rFonts w:ascii="Times New Roman" w:hAnsi="Times New Roman" w:cs="Times New Roman"/>
                <w:color w:val="000000" w:themeColor="text1"/>
              </w:rPr>
            </w:pPr>
            <w:r>
              <w:rPr>
                <w:rFonts w:ascii="Times New Roman" w:hAnsi="Times New Roman" w:cs="Times New Roman"/>
                <w:color w:val="000000" w:themeColor="text1"/>
              </w:rPr>
              <w:t>海陵区</w:t>
            </w:r>
          </w:p>
        </w:tc>
        <w:tc>
          <w:tcPr>
            <w:tcW w:w="1139" w:type="pct"/>
            <w:tcBorders>
              <w:top w:val="single" w:color="auto" w:sz="4" w:space="0"/>
              <w:left w:val="single" w:color="auto" w:sz="4" w:space="0"/>
              <w:bottom w:val="single" w:color="auto" w:sz="4" w:space="0"/>
              <w:right w:val="single" w:color="auto" w:sz="4" w:space="0"/>
            </w:tcBorders>
            <w:vAlign w:val="center"/>
          </w:tcPr>
          <w:p w14:paraId="26AD4E06">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恢复红树林自然岸线、营造红树林；增殖放流经济作物苗种440万尾。</w:t>
            </w:r>
          </w:p>
        </w:tc>
        <w:tc>
          <w:tcPr>
            <w:tcW w:w="328" w:type="pct"/>
            <w:tcBorders>
              <w:top w:val="single" w:color="auto" w:sz="4" w:space="0"/>
              <w:left w:val="single" w:color="auto" w:sz="4" w:space="0"/>
              <w:bottom w:val="single" w:color="auto" w:sz="4" w:space="0"/>
              <w:right w:val="single" w:color="auto" w:sz="4" w:space="0"/>
            </w:tcBorders>
            <w:vAlign w:val="center"/>
          </w:tcPr>
          <w:p w14:paraId="52ECFAA5">
            <w:pPr>
              <w:pStyle w:val="40"/>
              <w:jc w:val="center"/>
              <w:rPr>
                <w:rFonts w:ascii="Times New Roman" w:hAnsi="Times New Roman" w:cs="Times New Roman"/>
                <w:color w:val="000000" w:themeColor="text1"/>
              </w:rPr>
            </w:pPr>
            <w:r>
              <w:rPr>
                <w:rFonts w:ascii="Times New Roman" w:hAnsi="Times New Roman" w:cs="Times New Roman"/>
                <w:color w:val="000000" w:themeColor="text1"/>
              </w:rPr>
              <w:t>2023-2025</w:t>
            </w:r>
          </w:p>
        </w:tc>
        <w:tc>
          <w:tcPr>
            <w:tcW w:w="399" w:type="pct"/>
            <w:tcBorders>
              <w:top w:val="single" w:color="auto" w:sz="4" w:space="0"/>
              <w:left w:val="single" w:color="auto" w:sz="4" w:space="0"/>
              <w:bottom w:val="single" w:color="auto" w:sz="4" w:space="0"/>
              <w:right w:val="single" w:color="auto" w:sz="4" w:space="0"/>
            </w:tcBorders>
            <w:vAlign w:val="center"/>
          </w:tcPr>
          <w:p w14:paraId="46F68CBE">
            <w:pPr>
              <w:pStyle w:val="40"/>
              <w:jc w:val="center"/>
              <w:rPr>
                <w:rFonts w:ascii="Times New Roman" w:hAnsi="Times New Roman" w:cs="Times New Roman"/>
                <w:color w:val="000000" w:themeColor="text1"/>
              </w:rPr>
            </w:pPr>
            <w:r>
              <w:rPr>
                <w:rFonts w:ascii="Times New Roman" w:hAnsi="Times New Roman" w:cs="Times New Roman"/>
                <w:color w:val="000000" w:themeColor="text1"/>
              </w:rPr>
              <w:t>312</w:t>
            </w:r>
          </w:p>
        </w:tc>
        <w:tc>
          <w:tcPr>
            <w:tcW w:w="453" w:type="pct"/>
            <w:tcBorders>
              <w:top w:val="single" w:color="auto" w:sz="4" w:space="0"/>
              <w:left w:val="single" w:color="auto" w:sz="4" w:space="0"/>
              <w:bottom w:val="single" w:color="auto" w:sz="4" w:space="0"/>
              <w:right w:val="single" w:color="auto" w:sz="4" w:space="0"/>
            </w:tcBorders>
            <w:vAlign w:val="center"/>
          </w:tcPr>
          <w:p w14:paraId="158CDC7E">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eastAsia="zh-CN"/>
              </w:rPr>
              <w:t>恢复红树林自然岸线约0.45公里、营造红树林面积约3公顷</w:t>
            </w:r>
          </w:p>
        </w:tc>
        <w:tc>
          <w:tcPr>
            <w:tcW w:w="690" w:type="pct"/>
            <w:tcBorders>
              <w:top w:val="single" w:color="auto" w:sz="4" w:space="0"/>
              <w:left w:val="single" w:color="auto" w:sz="4" w:space="0"/>
              <w:bottom w:val="single" w:color="auto" w:sz="4" w:space="0"/>
              <w:right w:val="single" w:color="auto" w:sz="4" w:space="0"/>
            </w:tcBorders>
            <w:vAlign w:val="center"/>
          </w:tcPr>
          <w:p w14:paraId="0A52FC93">
            <w:pPr>
              <w:pStyle w:val="40"/>
              <w:jc w:val="center"/>
              <w:rPr>
                <w:rFonts w:ascii="Times New Roman" w:hAnsi="Times New Roman" w:cs="Times New Roman"/>
                <w:color w:val="000000" w:themeColor="text1"/>
              </w:rPr>
            </w:pPr>
            <w:r>
              <w:rPr>
                <w:rFonts w:ascii="Times New Roman" w:hAnsi="Times New Roman" w:cs="Times New Roman"/>
                <w:color w:val="000000" w:themeColor="text1"/>
              </w:rPr>
              <w:t>海陵试验区管委会</w:t>
            </w:r>
          </w:p>
        </w:tc>
        <w:tc>
          <w:tcPr>
            <w:tcW w:w="285" w:type="pct"/>
            <w:tcBorders>
              <w:top w:val="single" w:color="auto" w:sz="4" w:space="0"/>
              <w:left w:val="single" w:color="auto" w:sz="4" w:space="0"/>
              <w:bottom w:val="single" w:color="auto" w:sz="4" w:space="0"/>
              <w:right w:val="single" w:color="auto" w:sz="4" w:space="0"/>
            </w:tcBorders>
            <w:vAlign w:val="center"/>
          </w:tcPr>
          <w:p w14:paraId="04891131">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在建</w:t>
            </w:r>
          </w:p>
        </w:tc>
      </w:tr>
      <w:tr w14:paraId="0033C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7" w:hRule="atLeast"/>
        </w:trPr>
        <w:tc>
          <w:tcPr>
            <w:tcW w:w="217" w:type="pct"/>
            <w:tcBorders>
              <w:top w:val="single" w:color="auto" w:sz="4" w:space="0"/>
              <w:left w:val="single" w:color="auto" w:sz="4" w:space="0"/>
              <w:bottom w:val="single" w:color="auto" w:sz="4" w:space="0"/>
              <w:right w:val="single" w:color="auto" w:sz="4" w:space="0"/>
            </w:tcBorders>
            <w:vAlign w:val="center"/>
          </w:tcPr>
          <w:p w14:paraId="3C70FDB9">
            <w:pPr>
              <w:pStyle w:val="40"/>
              <w:jc w:val="center"/>
              <w:rPr>
                <w:rFonts w:ascii="Times New Roman" w:hAnsi="Times New Roman" w:cs="Times New Roman"/>
                <w:color w:val="000000" w:themeColor="text1"/>
              </w:rPr>
            </w:pPr>
            <w:r>
              <w:rPr>
                <w:rFonts w:hint="eastAsia" w:ascii="Times New Roman" w:hAnsi="Times New Roman" w:cs="Times New Roman"/>
                <w:color w:val="000000" w:themeColor="text1"/>
              </w:rPr>
              <w:t>9</w:t>
            </w:r>
          </w:p>
        </w:tc>
        <w:tc>
          <w:tcPr>
            <w:tcW w:w="310" w:type="pct"/>
            <w:vMerge w:val="continue"/>
            <w:tcBorders>
              <w:left w:val="single" w:color="auto" w:sz="4" w:space="0"/>
              <w:bottom w:val="single" w:color="auto" w:sz="4" w:space="0"/>
              <w:right w:val="single" w:color="auto" w:sz="4" w:space="0"/>
            </w:tcBorders>
            <w:vAlign w:val="center"/>
          </w:tcPr>
          <w:p w14:paraId="7D33F503">
            <w:pPr>
              <w:pStyle w:val="40"/>
              <w:jc w:val="center"/>
              <w:rPr>
                <w:rFonts w:ascii="Times New Roman" w:hAnsi="Times New Roman" w:cs="Times New Roman"/>
                <w:color w:val="000000" w:themeColor="text1"/>
              </w:rPr>
            </w:pPr>
          </w:p>
        </w:tc>
        <w:tc>
          <w:tcPr>
            <w:tcW w:w="281" w:type="pct"/>
            <w:vMerge w:val="continue"/>
            <w:tcBorders>
              <w:left w:val="single" w:color="auto" w:sz="4" w:space="0"/>
              <w:bottom w:val="single" w:color="auto" w:sz="4" w:space="0"/>
              <w:right w:val="single" w:color="auto" w:sz="4" w:space="0"/>
            </w:tcBorders>
            <w:vAlign w:val="center"/>
          </w:tcPr>
          <w:p w14:paraId="1D6A8292">
            <w:pPr>
              <w:jc w:val="center"/>
              <w:rPr>
                <w:rFonts w:ascii="Times New Roman" w:hAnsi="Times New Roman" w:eastAsia="仿宋_GB2312" w:cs="Times New Roman"/>
                <w:color w:val="000000" w:themeColor="text1"/>
                <w:kern w:val="0"/>
                <w:szCs w:val="21"/>
              </w:rPr>
            </w:pPr>
          </w:p>
        </w:tc>
        <w:tc>
          <w:tcPr>
            <w:tcW w:w="377" w:type="pct"/>
            <w:tcBorders>
              <w:top w:val="single" w:color="auto" w:sz="4" w:space="0"/>
              <w:left w:val="single" w:color="auto" w:sz="4" w:space="0"/>
              <w:bottom w:val="single" w:color="auto" w:sz="4" w:space="0"/>
              <w:right w:val="single" w:color="auto" w:sz="4" w:space="0"/>
            </w:tcBorders>
            <w:vAlign w:val="center"/>
          </w:tcPr>
          <w:p w14:paraId="4EABEB71">
            <w:pPr>
              <w:jc w:val="center"/>
              <w:rPr>
                <w:rFonts w:ascii="Times New Roman" w:hAnsi="Times New Roman" w:eastAsia="仿宋_GB2312" w:cs="Times New Roman"/>
                <w:color w:val="000000" w:themeColor="text1"/>
                <w:kern w:val="0"/>
                <w:szCs w:val="21"/>
              </w:rPr>
            </w:pPr>
            <w:r>
              <w:rPr>
                <w:rFonts w:hint="eastAsia" w:ascii="Times New Roman" w:hAnsi="Times New Roman" w:eastAsia="仿宋_GB2312" w:cs="Times New Roman"/>
                <w:color w:val="000000" w:themeColor="text1"/>
                <w:kern w:val="0"/>
                <w:szCs w:val="21"/>
              </w:rPr>
              <w:t>海陵湾西岸海洋生态保护修复</w:t>
            </w:r>
          </w:p>
        </w:tc>
        <w:tc>
          <w:tcPr>
            <w:tcW w:w="521" w:type="pct"/>
            <w:tcBorders>
              <w:top w:val="single" w:color="auto" w:sz="4" w:space="0"/>
              <w:left w:val="single" w:color="auto" w:sz="4" w:space="0"/>
              <w:bottom w:val="single" w:color="auto" w:sz="4" w:space="0"/>
              <w:right w:val="single" w:color="auto" w:sz="4" w:space="0"/>
            </w:tcBorders>
            <w:vAlign w:val="center"/>
          </w:tcPr>
          <w:p w14:paraId="3A74336A">
            <w:pPr>
              <w:pStyle w:val="40"/>
              <w:jc w:val="center"/>
              <w:rPr>
                <w:rFonts w:ascii="Times New Roman" w:hAnsi="Times New Roman" w:cs="Times New Roman"/>
                <w:color w:val="000000" w:themeColor="text1"/>
              </w:rPr>
            </w:pPr>
            <w:r>
              <w:rPr>
                <w:rFonts w:hint="eastAsia" w:ascii="Times New Roman" w:hAnsi="Times New Roman" w:cs="Times New Roman"/>
                <w:color w:val="000000" w:themeColor="text1"/>
                <w:lang w:eastAsia="zh-CN"/>
              </w:rPr>
              <w:t>海陵湾西岸</w:t>
            </w:r>
          </w:p>
        </w:tc>
        <w:tc>
          <w:tcPr>
            <w:tcW w:w="1139" w:type="pct"/>
            <w:tcBorders>
              <w:top w:val="single" w:color="auto" w:sz="4" w:space="0"/>
              <w:left w:val="single" w:color="auto" w:sz="4" w:space="0"/>
              <w:bottom w:val="single" w:color="auto" w:sz="4" w:space="0"/>
              <w:right w:val="single" w:color="auto" w:sz="4" w:space="0"/>
            </w:tcBorders>
            <w:vAlign w:val="center"/>
          </w:tcPr>
          <w:p w14:paraId="7132C1D8">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开展红树林营造工程。</w:t>
            </w:r>
          </w:p>
        </w:tc>
        <w:tc>
          <w:tcPr>
            <w:tcW w:w="328" w:type="pct"/>
            <w:tcBorders>
              <w:top w:val="single" w:color="auto" w:sz="4" w:space="0"/>
              <w:left w:val="single" w:color="auto" w:sz="4" w:space="0"/>
              <w:bottom w:val="single" w:color="auto" w:sz="4" w:space="0"/>
              <w:right w:val="single" w:color="auto" w:sz="4" w:space="0"/>
            </w:tcBorders>
            <w:vAlign w:val="center"/>
          </w:tcPr>
          <w:p w14:paraId="1054A4CD">
            <w:pPr>
              <w:pStyle w:val="40"/>
              <w:jc w:val="center"/>
              <w:rPr>
                <w:rFonts w:ascii="Times New Roman" w:hAnsi="Times New Roman" w:cs="Times New Roman"/>
                <w:color w:val="000000" w:themeColor="text1"/>
              </w:rPr>
            </w:pPr>
            <w:r>
              <w:rPr>
                <w:rFonts w:hint="eastAsia" w:ascii="Times New Roman" w:hAnsi="Times New Roman" w:cs="Times New Roman"/>
                <w:color w:val="000000" w:themeColor="text1"/>
              </w:rPr>
              <w:t>2025</w:t>
            </w:r>
            <w:r>
              <w:rPr>
                <w:rFonts w:hint="eastAsia" w:ascii="Times New Roman" w:hAnsi="Times New Roman" w:cs="Times New Roman"/>
                <w:color w:val="000000" w:themeColor="text1"/>
                <w:lang w:eastAsia="zh-CN"/>
              </w:rPr>
              <w:t>年</w:t>
            </w:r>
          </w:p>
        </w:tc>
        <w:tc>
          <w:tcPr>
            <w:tcW w:w="399" w:type="pct"/>
            <w:tcBorders>
              <w:top w:val="single" w:color="auto" w:sz="4" w:space="0"/>
              <w:left w:val="single" w:color="auto" w:sz="4" w:space="0"/>
              <w:bottom w:val="single" w:color="auto" w:sz="4" w:space="0"/>
              <w:right w:val="single" w:color="auto" w:sz="4" w:space="0"/>
            </w:tcBorders>
            <w:vAlign w:val="center"/>
          </w:tcPr>
          <w:p w14:paraId="4A787954">
            <w:pPr>
              <w:pStyle w:val="40"/>
              <w:jc w:val="center"/>
              <w:rPr>
                <w:rFonts w:ascii="Times New Roman" w:hAnsi="Times New Roman" w:cs="Times New Roman"/>
                <w:color w:val="000000" w:themeColor="text1"/>
              </w:rPr>
            </w:pPr>
            <w:r>
              <w:rPr>
                <w:rFonts w:hint="eastAsia" w:ascii="Times New Roman" w:hAnsi="Times New Roman" w:cs="Times New Roman"/>
                <w:color w:val="000000" w:themeColor="text1"/>
              </w:rPr>
              <w:t>15611.22</w:t>
            </w:r>
          </w:p>
        </w:tc>
        <w:tc>
          <w:tcPr>
            <w:tcW w:w="453" w:type="pct"/>
            <w:tcBorders>
              <w:top w:val="single" w:color="auto" w:sz="4" w:space="0"/>
              <w:left w:val="single" w:color="auto" w:sz="4" w:space="0"/>
              <w:bottom w:val="single" w:color="auto" w:sz="4" w:space="0"/>
              <w:right w:val="single" w:color="auto" w:sz="4" w:space="0"/>
            </w:tcBorders>
            <w:vAlign w:val="center"/>
          </w:tcPr>
          <w:p w14:paraId="6AF1418B">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eastAsia="zh-CN"/>
              </w:rPr>
              <w:t>约261.02公顷</w:t>
            </w:r>
          </w:p>
        </w:tc>
        <w:tc>
          <w:tcPr>
            <w:tcW w:w="690" w:type="pct"/>
            <w:tcBorders>
              <w:top w:val="single" w:color="auto" w:sz="4" w:space="0"/>
              <w:left w:val="single" w:color="auto" w:sz="4" w:space="0"/>
              <w:bottom w:val="single" w:color="auto" w:sz="4" w:space="0"/>
              <w:right w:val="single" w:color="auto" w:sz="4" w:space="0"/>
            </w:tcBorders>
            <w:vAlign w:val="center"/>
          </w:tcPr>
          <w:p w14:paraId="4B33B1E7">
            <w:pPr>
              <w:pStyle w:val="40"/>
              <w:jc w:val="center"/>
              <w:rPr>
                <w:rFonts w:ascii="Times New Roman" w:hAnsi="Times New Roman" w:cs="Times New Roman"/>
                <w:color w:val="000000" w:themeColor="text1"/>
              </w:rPr>
            </w:pPr>
            <w:r>
              <w:rPr>
                <w:rFonts w:hint="eastAsia" w:ascii="Times New Roman" w:hAnsi="Times New Roman" w:cs="Times New Roman"/>
                <w:color w:val="000000" w:themeColor="text1"/>
              </w:rPr>
              <w:t>阳江市人民政府</w:t>
            </w:r>
          </w:p>
        </w:tc>
        <w:tc>
          <w:tcPr>
            <w:tcW w:w="285" w:type="pct"/>
            <w:tcBorders>
              <w:top w:val="single" w:color="auto" w:sz="4" w:space="0"/>
              <w:left w:val="single" w:color="auto" w:sz="4" w:space="0"/>
              <w:bottom w:val="single" w:color="auto" w:sz="4" w:space="0"/>
              <w:right w:val="single" w:color="auto" w:sz="4" w:space="0"/>
            </w:tcBorders>
            <w:vAlign w:val="center"/>
          </w:tcPr>
          <w:p w14:paraId="229D30EC">
            <w:pPr>
              <w:pStyle w:val="40"/>
              <w:jc w:val="center"/>
              <w:rPr>
                <w:rFonts w:ascii="Times New Roman" w:hAnsi="Times New Roman" w:cs="Times New Roman"/>
                <w:color w:val="000000" w:themeColor="text1"/>
                <w:lang w:eastAsia="zh-CN"/>
              </w:rPr>
            </w:pPr>
          </w:p>
        </w:tc>
      </w:tr>
      <w:tr w14:paraId="07E4CF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78" w:hRule="atLeast"/>
        </w:trPr>
        <w:tc>
          <w:tcPr>
            <w:tcW w:w="217" w:type="pct"/>
            <w:tcBorders>
              <w:top w:val="single" w:color="auto" w:sz="4" w:space="0"/>
              <w:left w:val="single" w:color="auto" w:sz="4" w:space="0"/>
              <w:bottom w:val="single" w:color="auto" w:sz="4" w:space="0"/>
              <w:right w:val="single" w:color="auto" w:sz="4" w:space="0"/>
            </w:tcBorders>
            <w:vAlign w:val="center"/>
          </w:tcPr>
          <w:p w14:paraId="1F24ED47">
            <w:pPr>
              <w:pStyle w:val="40"/>
              <w:jc w:val="center"/>
              <w:rPr>
                <w:rFonts w:ascii="Times New Roman" w:hAnsi="Times New Roman" w:cs="Times New Roman"/>
                <w:color w:val="000000" w:themeColor="text1"/>
              </w:rPr>
            </w:pPr>
            <w:r>
              <w:rPr>
                <w:rFonts w:hint="eastAsia" w:ascii="Times New Roman" w:hAnsi="Times New Roman" w:cs="Times New Roman"/>
                <w:color w:val="000000" w:themeColor="text1"/>
              </w:rPr>
              <w:t>10</w:t>
            </w:r>
          </w:p>
        </w:tc>
        <w:tc>
          <w:tcPr>
            <w:tcW w:w="310" w:type="pct"/>
            <w:vMerge w:val="restart"/>
            <w:tcBorders>
              <w:top w:val="single" w:color="auto" w:sz="4" w:space="0"/>
              <w:left w:val="single" w:color="auto" w:sz="4" w:space="0"/>
              <w:right w:val="single" w:color="auto" w:sz="4" w:space="0"/>
            </w:tcBorders>
            <w:vAlign w:val="center"/>
          </w:tcPr>
          <w:p w14:paraId="690486CD">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废弃矿山及地质灾害修复治理工程</w:t>
            </w:r>
          </w:p>
        </w:tc>
        <w:tc>
          <w:tcPr>
            <w:tcW w:w="281" w:type="pct"/>
            <w:vMerge w:val="restart"/>
            <w:tcBorders>
              <w:top w:val="single" w:color="auto" w:sz="4" w:space="0"/>
              <w:left w:val="single" w:color="auto" w:sz="4" w:space="0"/>
              <w:right w:val="single" w:color="auto" w:sz="4" w:space="0"/>
            </w:tcBorders>
            <w:vAlign w:val="center"/>
          </w:tcPr>
          <w:p w14:paraId="0F9A1191">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废旧矿山修复工程</w:t>
            </w:r>
          </w:p>
        </w:tc>
        <w:tc>
          <w:tcPr>
            <w:tcW w:w="377" w:type="pct"/>
            <w:tcBorders>
              <w:top w:val="single" w:color="auto" w:sz="4" w:space="0"/>
              <w:left w:val="single" w:color="auto" w:sz="4" w:space="0"/>
              <w:bottom w:val="single" w:color="auto" w:sz="4" w:space="0"/>
              <w:right w:val="single" w:color="auto" w:sz="4" w:space="0"/>
            </w:tcBorders>
            <w:vAlign w:val="center"/>
          </w:tcPr>
          <w:p w14:paraId="5B66DA28">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阳江高新区2022年历史遗留矿山生态修复项目</w:t>
            </w:r>
          </w:p>
        </w:tc>
        <w:tc>
          <w:tcPr>
            <w:tcW w:w="521" w:type="pct"/>
            <w:tcBorders>
              <w:top w:val="single" w:color="auto" w:sz="4" w:space="0"/>
              <w:left w:val="single" w:color="auto" w:sz="4" w:space="0"/>
              <w:bottom w:val="single" w:color="auto" w:sz="4" w:space="0"/>
              <w:right w:val="single" w:color="auto" w:sz="4" w:space="0"/>
            </w:tcBorders>
            <w:vAlign w:val="center"/>
          </w:tcPr>
          <w:p w14:paraId="04B8915A">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阳江滨海新区（阳江高新区）平冈镇东一村委会</w:t>
            </w:r>
          </w:p>
        </w:tc>
        <w:tc>
          <w:tcPr>
            <w:tcW w:w="1139" w:type="pct"/>
            <w:tcBorders>
              <w:top w:val="single" w:color="auto" w:sz="4" w:space="0"/>
              <w:left w:val="single" w:color="auto" w:sz="4" w:space="0"/>
              <w:bottom w:val="single" w:color="auto" w:sz="4" w:space="0"/>
              <w:right w:val="single" w:color="auto" w:sz="4" w:space="0"/>
            </w:tcBorders>
            <w:vAlign w:val="center"/>
          </w:tcPr>
          <w:p w14:paraId="06A3DCCA">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地质安全隐患治理、重塑地貌、土壤重构、植被重建、建设排水系统、水土整治、地灾与植被监测等。</w:t>
            </w:r>
          </w:p>
        </w:tc>
        <w:tc>
          <w:tcPr>
            <w:tcW w:w="328" w:type="pct"/>
            <w:tcBorders>
              <w:top w:val="single" w:color="auto" w:sz="4" w:space="0"/>
              <w:left w:val="single" w:color="auto" w:sz="4" w:space="0"/>
              <w:bottom w:val="single" w:color="auto" w:sz="4" w:space="0"/>
              <w:right w:val="single" w:color="auto" w:sz="4" w:space="0"/>
            </w:tcBorders>
            <w:vAlign w:val="center"/>
          </w:tcPr>
          <w:p w14:paraId="175FF575">
            <w:pPr>
              <w:pStyle w:val="40"/>
              <w:jc w:val="center"/>
              <w:rPr>
                <w:rFonts w:ascii="Times New Roman" w:hAnsi="Times New Roman" w:cs="Times New Roman"/>
                <w:color w:val="000000" w:themeColor="text1"/>
              </w:rPr>
            </w:pPr>
            <w:r>
              <w:rPr>
                <w:rFonts w:ascii="Times New Roman" w:hAnsi="Times New Roman" w:cs="Times New Roman"/>
                <w:color w:val="000000" w:themeColor="text1"/>
              </w:rPr>
              <w:t>2022-2025</w:t>
            </w:r>
          </w:p>
        </w:tc>
        <w:tc>
          <w:tcPr>
            <w:tcW w:w="399" w:type="pct"/>
            <w:tcBorders>
              <w:top w:val="single" w:color="auto" w:sz="4" w:space="0"/>
              <w:left w:val="single" w:color="auto" w:sz="4" w:space="0"/>
              <w:bottom w:val="single" w:color="auto" w:sz="4" w:space="0"/>
              <w:right w:val="single" w:color="auto" w:sz="4" w:space="0"/>
            </w:tcBorders>
            <w:vAlign w:val="center"/>
          </w:tcPr>
          <w:p w14:paraId="23FC3C9C">
            <w:pPr>
              <w:pStyle w:val="40"/>
              <w:jc w:val="center"/>
              <w:rPr>
                <w:rFonts w:ascii="Times New Roman" w:hAnsi="Times New Roman" w:cs="Times New Roman"/>
                <w:color w:val="000000" w:themeColor="text1"/>
              </w:rPr>
            </w:pPr>
            <w:r>
              <w:rPr>
                <w:rFonts w:ascii="Times New Roman" w:hAnsi="Times New Roman" w:cs="Times New Roman"/>
                <w:color w:val="000000" w:themeColor="text1"/>
              </w:rPr>
              <w:t>94</w:t>
            </w:r>
          </w:p>
        </w:tc>
        <w:tc>
          <w:tcPr>
            <w:tcW w:w="453" w:type="pct"/>
            <w:tcBorders>
              <w:top w:val="single" w:color="auto" w:sz="4" w:space="0"/>
              <w:left w:val="single" w:color="auto" w:sz="4" w:space="0"/>
              <w:bottom w:val="single" w:color="auto" w:sz="4" w:space="0"/>
              <w:right w:val="single" w:color="auto" w:sz="4" w:space="0"/>
            </w:tcBorders>
            <w:vAlign w:val="center"/>
          </w:tcPr>
          <w:p w14:paraId="098D385C">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eastAsia="zh-CN"/>
              </w:rPr>
              <w:t>约4</w:t>
            </w:r>
            <w:r>
              <w:rPr>
                <w:rFonts w:ascii="Times New Roman" w:hAnsi="Times New Roman" w:cs="Times New Roman"/>
                <w:color w:val="000000" w:themeColor="text1"/>
                <w:lang w:eastAsia="zh-CN"/>
              </w:rPr>
              <w:t>.14</w:t>
            </w:r>
            <w:r>
              <w:rPr>
                <w:rFonts w:hint="eastAsia" w:ascii="Times New Roman" w:hAnsi="Times New Roman" w:cs="Times New Roman"/>
                <w:color w:val="000000" w:themeColor="text1"/>
                <w:lang w:eastAsia="zh-CN"/>
              </w:rPr>
              <w:t>公顷</w:t>
            </w:r>
          </w:p>
        </w:tc>
        <w:tc>
          <w:tcPr>
            <w:tcW w:w="690" w:type="pct"/>
            <w:tcBorders>
              <w:top w:val="single" w:color="auto" w:sz="4" w:space="0"/>
              <w:left w:val="single" w:color="auto" w:sz="4" w:space="0"/>
              <w:bottom w:val="single" w:color="auto" w:sz="4" w:space="0"/>
              <w:right w:val="single" w:color="auto" w:sz="4" w:space="0"/>
            </w:tcBorders>
            <w:vAlign w:val="center"/>
          </w:tcPr>
          <w:p w14:paraId="0E661F7A">
            <w:pPr>
              <w:pStyle w:val="40"/>
              <w:jc w:val="center"/>
              <w:rPr>
                <w:rFonts w:ascii="Times New Roman" w:hAnsi="Times New Roman" w:cs="Times New Roman"/>
                <w:color w:val="000000" w:themeColor="text1"/>
              </w:rPr>
            </w:pPr>
            <w:r>
              <w:rPr>
                <w:rFonts w:ascii="Times New Roman" w:hAnsi="Times New Roman" w:cs="Times New Roman"/>
                <w:color w:val="000000" w:themeColor="text1"/>
              </w:rPr>
              <w:t>高新区管委会</w:t>
            </w:r>
          </w:p>
        </w:tc>
        <w:tc>
          <w:tcPr>
            <w:tcW w:w="285" w:type="pct"/>
            <w:tcBorders>
              <w:top w:val="single" w:color="auto" w:sz="4" w:space="0"/>
              <w:left w:val="single" w:color="auto" w:sz="4" w:space="0"/>
              <w:bottom w:val="single" w:color="auto" w:sz="4" w:space="0"/>
              <w:right w:val="single" w:color="auto" w:sz="4" w:space="0"/>
            </w:tcBorders>
            <w:vAlign w:val="center"/>
          </w:tcPr>
          <w:p w14:paraId="23427FF4">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在建</w:t>
            </w:r>
          </w:p>
        </w:tc>
      </w:tr>
      <w:tr w14:paraId="03B16D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217" w:type="pct"/>
            <w:tcBorders>
              <w:top w:val="single" w:color="auto" w:sz="4" w:space="0"/>
              <w:left w:val="single" w:color="auto" w:sz="4" w:space="0"/>
              <w:bottom w:val="single" w:color="auto" w:sz="4" w:space="0"/>
              <w:right w:val="single" w:color="auto" w:sz="4" w:space="0"/>
            </w:tcBorders>
            <w:vAlign w:val="center"/>
          </w:tcPr>
          <w:p w14:paraId="40E06EA4">
            <w:pPr>
              <w:pStyle w:val="40"/>
              <w:jc w:val="center"/>
              <w:rPr>
                <w:rFonts w:ascii="Times New Roman" w:hAnsi="Times New Roman" w:cs="Times New Roman"/>
                <w:color w:val="000000" w:themeColor="text1"/>
              </w:rPr>
            </w:pPr>
            <w:r>
              <w:rPr>
                <w:rFonts w:ascii="Times New Roman" w:hAnsi="Times New Roman" w:cs="Times New Roman"/>
                <w:color w:val="000000" w:themeColor="text1"/>
              </w:rPr>
              <w:t>1</w:t>
            </w:r>
            <w:r>
              <w:rPr>
                <w:rFonts w:hint="eastAsia" w:ascii="Times New Roman" w:hAnsi="Times New Roman" w:cs="Times New Roman"/>
                <w:color w:val="000000" w:themeColor="text1"/>
              </w:rPr>
              <w:t>1</w:t>
            </w:r>
          </w:p>
        </w:tc>
        <w:tc>
          <w:tcPr>
            <w:tcW w:w="310" w:type="pct"/>
            <w:vMerge w:val="continue"/>
            <w:tcBorders>
              <w:left w:val="single" w:color="auto" w:sz="4" w:space="0"/>
              <w:right w:val="single" w:color="auto" w:sz="4" w:space="0"/>
            </w:tcBorders>
            <w:vAlign w:val="center"/>
          </w:tcPr>
          <w:p w14:paraId="5DC1BDA5">
            <w:pPr>
              <w:pStyle w:val="40"/>
              <w:jc w:val="center"/>
              <w:rPr>
                <w:rFonts w:ascii="Times New Roman" w:hAnsi="Times New Roman" w:cs="Times New Roman"/>
                <w:color w:val="000000" w:themeColor="text1"/>
              </w:rPr>
            </w:pPr>
          </w:p>
        </w:tc>
        <w:tc>
          <w:tcPr>
            <w:tcW w:w="281" w:type="pct"/>
            <w:vMerge w:val="continue"/>
            <w:tcBorders>
              <w:left w:val="single" w:color="auto" w:sz="4" w:space="0"/>
              <w:right w:val="single" w:color="auto" w:sz="4" w:space="0"/>
            </w:tcBorders>
            <w:vAlign w:val="center"/>
          </w:tcPr>
          <w:p w14:paraId="79511CB1">
            <w:pPr>
              <w:pStyle w:val="40"/>
              <w:rPr>
                <w:rFonts w:ascii="Times New Roman" w:hAnsi="Times New Roman" w:cs="Times New Roman"/>
                <w:color w:val="000000" w:themeColor="text1"/>
                <w:lang w:eastAsia="zh-CN"/>
              </w:rPr>
            </w:pPr>
          </w:p>
        </w:tc>
        <w:tc>
          <w:tcPr>
            <w:tcW w:w="377" w:type="pct"/>
            <w:tcBorders>
              <w:top w:val="single" w:color="auto" w:sz="4" w:space="0"/>
              <w:left w:val="single" w:color="auto" w:sz="4" w:space="0"/>
              <w:bottom w:val="single" w:color="auto" w:sz="4" w:space="0"/>
              <w:right w:val="single" w:color="auto" w:sz="4" w:space="0"/>
            </w:tcBorders>
            <w:vAlign w:val="center"/>
          </w:tcPr>
          <w:p w14:paraId="09F9CDD8">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江城区废旧矿山生态修复</w:t>
            </w:r>
          </w:p>
        </w:tc>
        <w:tc>
          <w:tcPr>
            <w:tcW w:w="521" w:type="pct"/>
            <w:tcBorders>
              <w:top w:val="single" w:color="auto" w:sz="4" w:space="0"/>
              <w:left w:val="single" w:color="auto" w:sz="4" w:space="0"/>
              <w:bottom w:val="single" w:color="auto" w:sz="4" w:space="0"/>
              <w:right w:val="single" w:color="auto" w:sz="4" w:space="0"/>
            </w:tcBorders>
            <w:vAlign w:val="center"/>
          </w:tcPr>
          <w:p w14:paraId="25237F91">
            <w:pPr>
              <w:pStyle w:val="40"/>
              <w:jc w:val="center"/>
              <w:rPr>
                <w:rFonts w:ascii="Times New Roman" w:hAnsi="Times New Roman" w:cs="Times New Roman"/>
                <w:color w:val="000000" w:themeColor="text1"/>
              </w:rPr>
            </w:pPr>
            <w:r>
              <w:rPr>
                <w:rFonts w:ascii="Times New Roman" w:hAnsi="Times New Roman" w:cs="Times New Roman"/>
                <w:color w:val="000000" w:themeColor="text1"/>
              </w:rPr>
              <w:t>双捷镇等</w:t>
            </w:r>
          </w:p>
        </w:tc>
        <w:tc>
          <w:tcPr>
            <w:tcW w:w="1139" w:type="pct"/>
            <w:tcBorders>
              <w:top w:val="single" w:color="auto" w:sz="4" w:space="0"/>
              <w:left w:val="single" w:color="auto" w:sz="4" w:space="0"/>
              <w:bottom w:val="single" w:color="auto" w:sz="4" w:space="0"/>
              <w:right w:val="single" w:color="auto" w:sz="4" w:space="0"/>
            </w:tcBorders>
            <w:vAlign w:val="center"/>
          </w:tcPr>
          <w:p w14:paraId="0994D89E">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采用自然恢复、转型利用、辅助再生、生态重建等方式对区域内的废旧矿山开展修复治理工程</w:t>
            </w:r>
          </w:p>
        </w:tc>
        <w:tc>
          <w:tcPr>
            <w:tcW w:w="328" w:type="pct"/>
            <w:tcBorders>
              <w:top w:val="single" w:color="auto" w:sz="4" w:space="0"/>
              <w:left w:val="single" w:color="auto" w:sz="4" w:space="0"/>
              <w:bottom w:val="single" w:color="auto" w:sz="4" w:space="0"/>
              <w:right w:val="single" w:color="auto" w:sz="4" w:space="0"/>
            </w:tcBorders>
            <w:vAlign w:val="center"/>
          </w:tcPr>
          <w:p w14:paraId="2CBA7C12">
            <w:pPr>
              <w:pStyle w:val="40"/>
              <w:jc w:val="center"/>
              <w:rPr>
                <w:rFonts w:ascii="Times New Roman" w:hAnsi="Times New Roman" w:cs="Times New Roman"/>
                <w:color w:val="000000" w:themeColor="text1"/>
              </w:rPr>
            </w:pPr>
            <w:r>
              <w:rPr>
                <w:rFonts w:ascii="Times New Roman" w:hAnsi="Times New Roman" w:cs="Times New Roman"/>
                <w:color w:val="000000" w:themeColor="text1"/>
              </w:rPr>
              <w:t>2021-20</w:t>
            </w:r>
            <w:r>
              <w:rPr>
                <w:rFonts w:hint="eastAsia" w:ascii="Times New Roman" w:hAnsi="Times New Roman" w:cs="Times New Roman"/>
                <w:color w:val="000000" w:themeColor="text1"/>
              </w:rPr>
              <w:t>24</w:t>
            </w:r>
          </w:p>
        </w:tc>
        <w:tc>
          <w:tcPr>
            <w:tcW w:w="399" w:type="pct"/>
            <w:tcBorders>
              <w:top w:val="single" w:color="auto" w:sz="4" w:space="0"/>
              <w:left w:val="single" w:color="auto" w:sz="4" w:space="0"/>
              <w:bottom w:val="single" w:color="auto" w:sz="4" w:space="0"/>
              <w:right w:val="single" w:color="auto" w:sz="4" w:space="0"/>
            </w:tcBorders>
            <w:vAlign w:val="center"/>
          </w:tcPr>
          <w:p w14:paraId="36A30EBA">
            <w:pPr>
              <w:pStyle w:val="40"/>
              <w:jc w:val="center"/>
              <w:rPr>
                <w:rFonts w:ascii="Times New Roman" w:hAnsi="Times New Roman" w:cs="Times New Roman"/>
                <w:color w:val="000000" w:themeColor="text1"/>
              </w:rPr>
            </w:pPr>
            <w:r>
              <w:rPr>
                <w:rFonts w:ascii="Times New Roman" w:hAnsi="Times New Roman" w:cs="Times New Roman"/>
                <w:color w:val="000000" w:themeColor="text1"/>
              </w:rPr>
              <w:t>15</w:t>
            </w:r>
          </w:p>
        </w:tc>
        <w:tc>
          <w:tcPr>
            <w:tcW w:w="453" w:type="pct"/>
            <w:tcBorders>
              <w:top w:val="single" w:color="auto" w:sz="4" w:space="0"/>
              <w:left w:val="single" w:color="auto" w:sz="4" w:space="0"/>
              <w:bottom w:val="single" w:color="auto" w:sz="4" w:space="0"/>
              <w:right w:val="single" w:color="auto" w:sz="4" w:space="0"/>
            </w:tcBorders>
            <w:vAlign w:val="center"/>
          </w:tcPr>
          <w:p w14:paraId="68D52C29">
            <w:pPr>
              <w:pStyle w:val="40"/>
              <w:jc w:val="center"/>
              <w:rPr>
                <w:rFonts w:ascii="Times New Roman" w:hAnsi="Times New Roman" w:cs="Times New Roman"/>
                <w:color w:val="000000" w:themeColor="text1"/>
              </w:rPr>
            </w:pPr>
            <w:r>
              <w:rPr>
                <w:rFonts w:hint="eastAsia" w:ascii="Times New Roman" w:hAnsi="Times New Roman" w:cs="Times New Roman"/>
                <w:color w:val="000000" w:themeColor="text1"/>
                <w:lang w:eastAsia="zh-CN"/>
              </w:rPr>
              <w:t>/</w:t>
            </w:r>
          </w:p>
        </w:tc>
        <w:tc>
          <w:tcPr>
            <w:tcW w:w="690" w:type="pct"/>
            <w:tcBorders>
              <w:top w:val="single" w:color="auto" w:sz="4" w:space="0"/>
              <w:left w:val="single" w:color="auto" w:sz="4" w:space="0"/>
              <w:bottom w:val="single" w:color="auto" w:sz="4" w:space="0"/>
              <w:right w:val="single" w:color="auto" w:sz="4" w:space="0"/>
            </w:tcBorders>
            <w:vAlign w:val="center"/>
          </w:tcPr>
          <w:p w14:paraId="705C3D8A">
            <w:pPr>
              <w:pStyle w:val="40"/>
              <w:jc w:val="center"/>
              <w:rPr>
                <w:rFonts w:ascii="Times New Roman" w:hAnsi="Times New Roman" w:cs="Times New Roman"/>
                <w:color w:val="000000" w:themeColor="text1"/>
              </w:rPr>
            </w:pPr>
            <w:r>
              <w:rPr>
                <w:rFonts w:ascii="Times New Roman" w:hAnsi="Times New Roman" w:cs="Times New Roman"/>
                <w:color w:val="000000" w:themeColor="text1"/>
              </w:rPr>
              <w:t>江城区人民政府</w:t>
            </w:r>
          </w:p>
        </w:tc>
        <w:tc>
          <w:tcPr>
            <w:tcW w:w="285" w:type="pct"/>
            <w:tcBorders>
              <w:top w:val="single" w:color="auto" w:sz="4" w:space="0"/>
              <w:left w:val="single" w:color="auto" w:sz="4" w:space="0"/>
              <w:bottom w:val="single" w:color="auto" w:sz="4" w:space="0"/>
              <w:right w:val="single" w:color="auto" w:sz="4" w:space="0"/>
            </w:tcBorders>
            <w:vAlign w:val="center"/>
          </w:tcPr>
          <w:p w14:paraId="3FEC357F">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在建</w:t>
            </w:r>
          </w:p>
        </w:tc>
      </w:tr>
      <w:tr w14:paraId="211FE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217" w:type="pct"/>
            <w:tcBorders>
              <w:top w:val="single" w:color="auto" w:sz="4" w:space="0"/>
              <w:left w:val="single" w:color="auto" w:sz="4" w:space="0"/>
              <w:bottom w:val="single" w:color="auto" w:sz="4" w:space="0"/>
              <w:right w:val="single" w:color="auto" w:sz="4" w:space="0"/>
            </w:tcBorders>
            <w:vAlign w:val="center"/>
          </w:tcPr>
          <w:p w14:paraId="229CCDE3">
            <w:pPr>
              <w:pStyle w:val="40"/>
              <w:jc w:val="center"/>
              <w:rPr>
                <w:rFonts w:ascii="Times New Roman" w:hAnsi="Times New Roman" w:cs="Times New Roman"/>
                <w:color w:val="000000" w:themeColor="text1"/>
              </w:rPr>
            </w:pPr>
            <w:r>
              <w:rPr>
                <w:rFonts w:hint="eastAsia" w:ascii="Times New Roman" w:hAnsi="Times New Roman" w:cs="Times New Roman"/>
                <w:color w:val="000000" w:themeColor="text1"/>
              </w:rPr>
              <w:t>12</w:t>
            </w:r>
          </w:p>
        </w:tc>
        <w:tc>
          <w:tcPr>
            <w:tcW w:w="310" w:type="pct"/>
            <w:vMerge w:val="continue"/>
            <w:tcBorders>
              <w:left w:val="single" w:color="auto" w:sz="4" w:space="0"/>
              <w:right w:val="single" w:color="auto" w:sz="4" w:space="0"/>
            </w:tcBorders>
            <w:vAlign w:val="center"/>
          </w:tcPr>
          <w:p w14:paraId="4B20D9A9">
            <w:pPr>
              <w:pStyle w:val="40"/>
              <w:jc w:val="center"/>
              <w:rPr>
                <w:rFonts w:ascii="Times New Roman" w:hAnsi="Times New Roman" w:cs="Times New Roman"/>
                <w:color w:val="000000" w:themeColor="text1"/>
              </w:rPr>
            </w:pPr>
          </w:p>
        </w:tc>
        <w:tc>
          <w:tcPr>
            <w:tcW w:w="281" w:type="pct"/>
            <w:vMerge w:val="continue"/>
            <w:tcBorders>
              <w:left w:val="single" w:color="auto" w:sz="4" w:space="0"/>
              <w:right w:val="single" w:color="auto" w:sz="4" w:space="0"/>
            </w:tcBorders>
            <w:vAlign w:val="center"/>
          </w:tcPr>
          <w:p w14:paraId="4D2305ED">
            <w:pPr>
              <w:pStyle w:val="40"/>
              <w:rPr>
                <w:rFonts w:ascii="Times New Roman" w:hAnsi="Times New Roman" w:cs="Times New Roman"/>
                <w:color w:val="000000" w:themeColor="text1"/>
                <w:lang w:eastAsia="zh-CN"/>
              </w:rPr>
            </w:pPr>
          </w:p>
        </w:tc>
        <w:tc>
          <w:tcPr>
            <w:tcW w:w="377" w:type="pct"/>
            <w:tcBorders>
              <w:top w:val="single" w:color="auto" w:sz="4" w:space="0"/>
              <w:left w:val="single" w:color="auto" w:sz="4" w:space="0"/>
              <w:bottom w:val="single" w:color="auto" w:sz="4" w:space="0"/>
              <w:right w:val="single" w:color="auto" w:sz="4" w:space="0"/>
            </w:tcBorders>
            <w:vAlign w:val="center"/>
          </w:tcPr>
          <w:p w14:paraId="5720D1F8">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阳春市废旧矿山生态修复</w:t>
            </w:r>
          </w:p>
        </w:tc>
        <w:tc>
          <w:tcPr>
            <w:tcW w:w="521" w:type="pct"/>
            <w:tcBorders>
              <w:top w:val="single" w:color="auto" w:sz="4" w:space="0"/>
              <w:left w:val="single" w:color="auto" w:sz="4" w:space="0"/>
              <w:bottom w:val="single" w:color="auto" w:sz="4" w:space="0"/>
              <w:right w:val="single" w:color="auto" w:sz="4" w:space="0"/>
            </w:tcBorders>
            <w:vAlign w:val="center"/>
          </w:tcPr>
          <w:p w14:paraId="628901EF">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河西街道、陂面镇、岗美镇、八甲镇等</w:t>
            </w:r>
          </w:p>
        </w:tc>
        <w:tc>
          <w:tcPr>
            <w:tcW w:w="1139" w:type="pct"/>
            <w:tcBorders>
              <w:top w:val="single" w:color="auto" w:sz="4" w:space="0"/>
              <w:left w:val="single" w:color="auto" w:sz="4" w:space="0"/>
              <w:bottom w:val="single" w:color="auto" w:sz="4" w:space="0"/>
              <w:right w:val="single" w:color="auto" w:sz="4" w:space="0"/>
            </w:tcBorders>
            <w:vAlign w:val="center"/>
          </w:tcPr>
          <w:p w14:paraId="112B6C09">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采用自然恢复、转型利用、辅助再生、生态重建等方式对区域内的废旧矿山开展修复治理工程</w:t>
            </w:r>
          </w:p>
        </w:tc>
        <w:tc>
          <w:tcPr>
            <w:tcW w:w="328" w:type="pct"/>
            <w:tcBorders>
              <w:top w:val="single" w:color="auto" w:sz="4" w:space="0"/>
              <w:left w:val="single" w:color="auto" w:sz="4" w:space="0"/>
              <w:bottom w:val="single" w:color="auto" w:sz="4" w:space="0"/>
              <w:right w:val="single" w:color="auto" w:sz="4" w:space="0"/>
            </w:tcBorders>
            <w:vAlign w:val="center"/>
          </w:tcPr>
          <w:p w14:paraId="2961F506">
            <w:pPr>
              <w:pStyle w:val="40"/>
              <w:jc w:val="center"/>
              <w:rPr>
                <w:rFonts w:ascii="Times New Roman" w:hAnsi="Times New Roman" w:cs="Times New Roman"/>
                <w:color w:val="000000" w:themeColor="text1"/>
              </w:rPr>
            </w:pPr>
            <w:r>
              <w:rPr>
                <w:rFonts w:ascii="Times New Roman" w:hAnsi="Times New Roman" w:cs="Times New Roman"/>
                <w:color w:val="000000" w:themeColor="text1"/>
              </w:rPr>
              <w:t>2021-20</w:t>
            </w:r>
            <w:r>
              <w:rPr>
                <w:rFonts w:hint="eastAsia" w:ascii="Times New Roman" w:hAnsi="Times New Roman" w:cs="Times New Roman"/>
                <w:color w:val="000000" w:themeColor="text1"/>
              </w:rPr>
              <w:t>24</w:t>
            </w:r>
          </w:p>
        </w:tc>
        <w:tc>
          <w:tcPr>
            <w:tcW w:w="399" w:type="pct"/>
            <w:tcBorders>
              <w:top w:val="single" w:color="auto" w:sz="4" w:space="0"/>
              <w:left w:val="single" w:color="auto" w:sz="4" w:space="0"/>
              <w:bottom w:val="single" w:color="auto" w:sz="4" w:space="0"/>
              <w:right w:val="single" w:color="auto" w:sz="4" w:space="0"/>
            </w:tcBorders>
            <w:vAlign w:val="center"/>
          </w:tcPr>
          <w:p w14:paraId="171BFCE5">
            <w:pPr>
              <w:pStyle w:val="40"/>
              <w:jc w:val="center"/>
              <w:rPr>
                <w:rFonts w:ascii="Times New Roman" w:hAnsi="Times New Roman" w:cs="Times New Roman"/>
                <w:color w:val="000000" w:themeColor="text1"/>
              </w:rPr>
            </w:pPr>
            <w:r>
              <w:rPr>
                <w:rFonts w:ascii="Times New Roman" w:hAnsi="Times New Roman" w:cs="Times New Roman"/>
                <w:color w:val="000000" w:themeColor="text1"/>
              </w:rPr>
              <w:t>144</w:t>
            </w:r>
          </w:p>
        </w:tc>
        <w:tc>
          <w:tcPr>
            <w:tcW w:w="453" w:type="pct"/>
            <w:tcBorders>
              <w:top w:val="single" w:color="auto" w:sz="4" w:space="0"/>
              <w:left w:val="single" w:color="auto" w:sz="4" w:space="0"/>
              <w:bottom w:val="single" w:color="auto" w:sz="4" w:space="0"/>
              <w:right w:val="single" w:color="auto" w:sz="4" w:space="0"/>
            </w:tcBorders>
            <w:vAlign w:val="center"/>
          </w:tcPr>
          <w:p w14:paraId="3513796E">
            <w:pPr>
              <w:pStyle w:val="40"/>
              <w:jc w:val="center"/>
              <w:rPr>
                <w:rFonts w:ascii="Times New Roman" w:hAnsi="Times New Roman" w:cs="Times New Roman"/>
                <w:color w:val="000000" w:themeColor="text1"/>
              </w:rPr>
            </w:pPr>
            <w:r>
              <w:rPr>
                <w:rFonts w:ascii="Times New Roman" w:hAnsi="Times New Roman" w:cs="Times New Roman"/>
                <w:color w:val="000000" w:themeColor="text1"/>
              </w:rPr>
              <w:t>21.4</w:t>
            </w:r>
            <w:r>
              <w:rPr>
                <w:rFonts w:hint="eastAsia" w:ascii="Times New Roman" w:hAnsi="Times New Roman" w:cs="Times New Roman"/>
                <w:color w:val="000000" w:themeColor="text1"/>
              </w:rPr>
              <w:t>5</w:t>
            </w:r>
            <w:r>
              <w:rPr>
                <w:rFonts w:hint="eastAsia" w:ascii="Times New Roman" w:hAnsi="Times New Roman" w:cs="Times New Roman"/>
                <w:color w:val="000000" w:themeColor="text1"/>
                <w:lang w:eastAsia="zh-CN"/>
              </w:rPr>
              <w:t>公顷</w:t>
            </w:r>
          </w:p>
        </w:tc>
        <w:tc>
          <w:tcPr>
            <w:tcW w:w="690" w:type="pct"/>
            <w:tcBorders>
              <w:top w:val="single" w:color="auto" w:sz="4" w:space="0"/>
              <w:left w:val="single" w:color="auto" w:sz="4" w:space="0"/>
              <w:bottom w:val="single" w:color="auto" w:sz="4" w:space="0"/>
              <w:right w:val="single" w:color="auto" w:sz="4" w:space="0"/>
            </w:tcBorders>
            <w:vAlign w:val="center"/>
          </w:tcPr>
          <w:p w14:paraId="45FD0957">
            <w:pPr>
              <w:pStyle w:val="40"/>
              <w:jc w:val="center"/>
              <w:rPr>
                <w:rFonts w:ascii="Times New Roman" w:hAnsi="Times New Roman" w:cs="Times New Roman"/>
                <w:color w:val="000000" w:themeColor="text1"/>
              </w:rPr>
            </w:pPr>
            <w:r>
              <w:rPr>
                <w:rFonts w:ascii="Times New Roman" w:hAnsi="Times New Roman" w:cs="Times New Roman"/>
                <w:color w:val="000000" w:themeColor="text1"/>
              </w:rPr>
              <w:t>阳春市人民政府</w:t>
            </w:r>
          </w:p>
        </w:tc>
        <w:tc>
          <w:tcPr>
            <w:tcW w:w="285" w:type="pct"/>
            <w:tcBorders>
              <w:top w:val="single" w:color="auto" w:sz="4" w:space="0"/>
              <w:left w:val="single" w:color="auto" w:sz="4" w:space="0"/>
              <w:bottom w:val="single" w:color="auto" w:sz="4" w:space="0"/>
              <w:right w:val="single" w:color="auto" w:sz="4" w:space="0"/>
            </w:tcBorders>
            <w:vAlign w:val="center"/>
          </w:tcPr>
          <w:p w14:paraId="273200BA">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在建</w:t>
            </w:r>
          </w:p>
        </w:tc>
      </w:tr>
      <w:tr w14:paraId="4F714B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217" w:type="pct"/>
            <w:tcBorders>
              <w:top w:val="single" w:color="auto" w:sz="4" w:space="0"/>
              <w:left w:val="single" w:color="auto" w:sz="4" w:space="0"/>
              <w:bottom w:val="single" w:color="auto" w:sz="4" w:space="0"/>
              <w:right w:val="single" w:color="auto" w:sz="4" w:space="0"/>
            </w:tcBorders>
            <w:vAlign w:val="center"/>
          </w:tcPr>
          <w:p w14:paraId="70AD8778">
            <w:pPr>
              <w:pStyle w:val="40"/>
              <w:jc w:val="center"/>
              <w:rPr>
                <w:rFonts w:ascii="Times New Roman" w:hAnsi="Times New Roman" w:cs="Times New Roman"/>
                <w:color w:val="000000" w:themeColor="text1"/>
                <w:lang w:val="en-US" w:eastAsia="zh-CN"/>
              </w:rPr>
            </w:pPr>
            <w:r>
              <w:rPr>
                <w:rFonts w:hint="eastAsia" w:ascii="Times New Roman" w:hAnsi="Times New Roman" w:cs="Times New Roman"/>
                <w:color w:val="000000" w:themeColor="text1"/>
                <w:lang w:val="en-US" w:eastAsia="zh-CN"/>
              </w:rPr>
              <w:t>13</w:t>
            </w:r>
          </w:p>
        </w:tc>
        <w:tc>
          <w:tcPr>
            <w:tcW w:w="310" w:type="pct"/>
            <w:vMerge w:val="continue"/>
            <w:tcBorders>
              <w:left w:val="single" w:color="auto" w:sz="4" w:space="0"/>
              <w:right w:val="single" w:color="auto" w:sz="4" w:space="0"/>
            </w:tcBorders>
            <w:vAlign w:val="center"/>
          </w:tcPr>
          <w:p w14:paraId="66AC63C3">
            <w:pPr>
              <w:pStyle w:val="40"/>
              <w:jc w:val="center"/>
              <w:rPr>
                <w:rFonts w:ascii="Times New Roman" w:hAnsi="Times New Roman" w:cs="Times New Roman"/>
                <w:color w:val="000000" w:themeColor="text1"/>
              </w:rPr>
            </w:pPr>
          </w:p>
        </w:tc>
        <w:tc>
          <w:tcPr>
            <w:tcW w:w="281" w:type="pct"/>
            <w:vMerge w:val="continue"/>
            <w:tcBorders>
              <w:left w:val="single" w:color="auto" w:sz="4" w:space="0"/>
              <w:bottom w:val="single" w:color="auto" w:sz="4" w:space="0"/>
              <w:right w:val="single" w:color="auto" w:sz="4" w:space="0"/>
            </w:tcBorders>
            <w:vAlign w:val="center"/>
          </w:tcPr>
          <w:p w14:paraId="0D559526">
            <w:pPr>
              <w:pStyle w:val="40"/>
              <w:rPr>
                <w:rFonts w:ascii="Times New Roman" w:hAnsi="Times New Roman" w:cs="Times New Roman"/>
                <w:color w:val="000000" w:themeColor="text1"/>
                <w:lang w:eastAsia="zh-CN"/>
              </w:rPr>
            </w:pPr>
          </w:p>
        </w:tc>
        <w:tc>
          <w:tcPr>
            <w:tcW w:w="377" w:type="pct"/>
            <w:tcBorders>
              <w:top w:val="single" w:color="auto" w:sz="4" w:space="0"/>
              <w:left w:val="single" w:color="auto" w:sz="4" w:space="0"/>
              <w:bottom w:val="single" w:color="auto" w:sz="4" w:space="0"/>
              <w:right w:val="single" w:color="auto" w:sz="4" w:space="0"/>
            </w:tcBorders>
            <w:vAlign w:val="center"/>
          </w:tcPr>
          <w:p w14:paraId="78A91CA6">
            <w:pPr>
              <w:pStyle w:val="40"/>
              <w:rPr>
                <w:rFonts w:ascii="Times New Roman" w:hAnsi="Times New Roman" w:cs="Times New Roman"/>
                <w:color w:val="000000" w:themeColor="text1"/>
                <w:lang w:val="en-US" w:eastAsia="zh-CN"/>
              </w:rPr>
            </w:pPr>
            <w:r>
              <w:rPr>
                <w:rFonts w:ascii="Times New Roman" w:hAnsi="Times New Roman" w:cs="Times New Roman"/>
                <w:color w:val="000000" w:themeColor="text1"/>
                <w:lang w:eastAsia="zh-CN"/>
              </w:rPr>
              <w:t>阳西县废旧矿山生态修复</w:t>
            </w:r>
          </w:p>
        </w:tc>
        <w:tc>
          <w:tcPr>
            <w:tcW w:w="521" w:type="pct"/>
            <w:tcBorders>
              <w:top w:val="single" w:color="auto" w:sz="4" w:space="0"/>
              <w:left w:val="single" w:color="auto" w:sz="4" w:space="0"/>
              <w:bottom w:val="single" w:color="auto" w:sz="4" w:space="0"/>
              <w:right w:val="single" w:color="auto" w:sz="4" w:space="0"/>
            </w:tcBorders>
            <w:vAlign w:val="center"/>
          </w:tcPr>
          <w:p w14:paraId="78A3F0C5">
            <w:pPr>
              <w:pStyle w:val="40"/>
              <w:rPr>
                <w:rFonts w:ascii="Times New Roman" w:hAnsi="Times New Roman" w:cs="Times New Roman"/>
                <w:color w:val="000000" w:themeColor="text1"/>
                <w:lang w:val="en-US" w:eastAsia="zh-CN"/>
              </w:rPr>
            </w:pPr>
            <w:r>
              <w:rPr>
                <w:rFonts w:ascii="Times New Roman" w:hAnsi="Times New Roman" w:cs="Times New Roman"/>
                <w:color w:val="000000" w:themeColor="text1"/>
                <w:lang w:eastAsia="zh-CN"/>
              </w:rPr>
              <w:t>新墟镇、塘口镇、程村镇、儒洞镇等</w:t>
            </w:r>
          </w:p>
        </w:tc>
        <w:tc>
          <w:tcPr>
            <w:tcW w:w="1139" w:type="pct"/>
            <w:tcBorders>
              <w:top w:val="single" w:color="auto" w:sz="4" w:space="0"/>
              <w:left w:val="single" w:color="auto" w:sz="4" w:space="0"/>
              <w:bottom w:val="single" w:color="auto" w:sz="4" w:space="0"/>
              <w:right w:val="single" w:color="auto" w:sz="4" w:space="0"/>
            </w:tcBorders>
            <w:vAlign w:val="center"/>
          </w:tcPr>
          <w:p w14:paraId="604FED7B">
            <w:pPr>
              <w:pStyle w:val="40"/>
              <w:rPr>
                <w:rFonts w:ascii="Times New Roman" w:hAnsi="Times New Roman" w:cs="Times New Roman"/>
                <w:color w:val="000000" w:themeColor="text1"/>
                <w:lang w:val="en-US" w:eastAsia="zh-CN"/>
              </w:rPr>
            </w:pPr>
            <w:r>
              <w:rPr>
                <w:rFonts w:ascii="Times New Roman" w:hAnsi="Times New Roman" w:cs="Times New Roman"/>
                <w:color w:val="000000" w:themeColor="text1"/>
                <w:lang w:eastAsia="zh-CN"/>
              </w:rPr>
              <w:t>采用自然恢复、转型利用、辅助再生、生态重建等方式对区域内的废旧矿山开展修复治理工程</w:t>
            </w:r>
          </w:p>
        </w:tc>
        <w:tc>
          <w:tcPr>
            <w:tcW w:w="328" w:type="pct"/>
            <w:tcBorders>
              <w:top w:val="single" w:color="auto" w:sz="4" w:space="0"/>
              <w:left w:val="single" w:color="auto" w:sz="4" w:space="0"/>
              <w:bottom w:val="single" w:color="auto" w:sz="4" w:space="0"/>
              <w:right w:val="single" w:color="auto" w:sz="4" w:space="0"/>
            </w:tcBorders>
            <w:vAlign w:val="center"/>
          </w:tcPr>
          <w:p w14:paraId="44B59BE5">
            <w:pPr>
              <w:pStyle w:val="40"/>
              <w:jc w:val="center"/>
              <w:rPr>
                <w:rFonts w:ascii="Times New Roman" w:hAnsi="Times New Roman" w:cs="Times New Roman"/>
                <w:color w:val="000000" w:themeColor="text1"/>
                <w:lang w:val="en-US" w:eastAsia="zh-CN"/>
              </w:rPr>
            </w:pPr>
            <w:r>
              <w:rPr>
                <w:rFonts w:ascii="Times New Roman" w:hAnsi="Times New Roman" w:cs="Times New Roman"/>
                <w:color w:val="000000" w:themeColor="text1"/>
                <w:lang w:val="en-US" w:eastAsia="zh-CN"/>
              </w:rPr>
              <w:t>2021-20</w:t>
            </w:r>
            <w:r>
              <w:rPr>
                <w:rFonts w:hint="eastAsia" w:ascii="Times New Roman" w:hAnsi="Times New Roman" w:cs="Times New Roman"/>
                <w:color w:val="000000" w:themeColor="text1"/>
                <w:lang w:val="en-US" w:eastAsia="zh-CN"/>
              </w:rPr>
              <w:t>24</w:t>
            </w:r>
          </w:p>
        </w:tc>
        <w:tc>
          <w:tcPr>
            <w:tcW w:w="399" w:type="pct"/>
            <w:tcBorders>
              <w:top w:val="single" w:color="auto" w:sz="4" w:space="0"/>
              <w:left w:val="single" w:color="auto" w:sz="4" w:space="0"/>
              <w:bottom w:val="single" w:color="auto" w:sz="4" w:space="0"/>
              <w:right w:val="single" w:color="auto" w:sz="4" w:space="0"/>
            </w:tcBorders>
            <w:vAlign w:val="center"/>
          </w:tcPr>
          <w:p w14:paraId="66B154F4">
            <w:pPr>
              <w:pStyle w:val="40"/>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453" w:type="pct"/>
            <w:tcBorders>
              <w:top w:val="single" w:color="auto" w:sz="4" w:space="0"/>
              <w:left w:val="single" w:color="auto" w:sz="4" w:space="0"/>
              <w:bottom w:val="single" w:color="auto" w:sz="4" w:space="0"/>
              <w:right w:val="single" w:color="auto" w:sz="4" w:space="0"/>
            </w:tcBorders>
            <w:vAlign w:val="center"/>
          </w:tcPr>
          <w:p w14:paraId="20CE1957">
            <w:pPr>
              <w:pStyle w:val="40"/>
              <w:jc w:val="center"/>
              <w:rPr>
                <w:rFonts w:ascii="Times New Roman" w:hAnsi="Times New Roman" w:cs="Times New Roman"/>
              </w:rPr>
            </w:pPr>
            <w:r>
              <w:rPr>
                <w:rFonts w:hint="eastAsia" w:ascii="Times New Roman" w:hAnsi="Times New Roman" w:cs="Times New Roman"/>
              </w:rPr>
              <w:t>/</w:t>
            </w:r>
          </w:p>
        </w:tc>
        <w:tc>
          <w:tcPr>
            <w:tcW w:w="690" w:type="pct"/>
            <w:tcBorders>
              <w:top w:val="single" w:color="auto" w:sz="4" w:space="0"/>
              <w:left w:val="single" w:color="auto" w:sz="4" w:space="0"/>
              <w:bottom w:val="single" w:color="auto" w:sz="4" w:space="0"/>
              <w:right w:val="single" w:color="auto" w:sz="4" w:space="0"/>
            </w:tcBorders>
            <w:vAlign w:val="center"/>
          </w:tcPr>
          <w:p w14:paraId="664026D6">
            <w:pPr>
              <w:pStyle w:val="40"/>
              <w:jc w:val="center"/>
              <w:rPr>
                <w:rFonts w:ascii="Times New Roman" w:hAnsi="Times New Roman" w:cs="Times New Roman"/>
                <w:color w:val="000000" w:themeColor="text1"/>
              </w:rPr>
            </w:pPr>
            <w:r>
              <w:rPr>
                <w:rFonts w:ascii="Times New Roman" w:hAnsi="Times New Roman" w:cs="Times New Roman"/>
              </w:rPr>
              <w:t>阳西县人民政府</w:t>
            </w:r>
          </w:p>
        </w:tc>
        <w:tc>
          <w:tcPr>
            <w:tcW w:w="285" w:type="pct"/>
            <w:tcBorders>
              <w:top w:val="single" w:color="auto" w:sz="4" w:space="0"/>
              <w:left w:val="single" w:color="auto" w:sz="4" w:space="0"/>
              <w:bottom w:val="single" w:color="auto" w:sz="4" w:space="0"/>
              <w:right w:val="single" w:color="auto" w:sz="4" w:space="0"/>
            </w:tcBorders>
            <w:vAlign w:val="center"/>
          </w:tcPr>
          <w:p w14:paraId="170E3DA6">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在建</w:t>
            </w:r>
          </w:p>
        </w:tc>
      </w:tr>
      <w:tr w14:paraId="15426C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1" w:hRule="atLeast"/>
        </w:trPr>
        <w:tc>
          <w:tcPr>
            <w:tcW w:w="217" w:type="pct"/>
            <w:tcBorders>
              <w:top w:val="single" w:color="auto" w:sz="4" w:space="0"/>
              <w:left w:val="single" w:color="auto" w:sz="4" w:space="0"/>
              <w:bottom w:val="single" w:color="auto" w:sz="4" w:space="0"/>
              <w:right w:val="single" w:color="auto" w:sz="4" w:space="0"/>
            </w:tcBorders>
            <w:vAlign w:val="center"/>
          </w:tcPr>
          <w:p w14:paraId="7A86659E">
            <w:pPr>
              <w:pStyle w:val="40"/>
              <w:jc w:val="center"/>
              <w:rPr>
                <w:rFonts w:ascii="Times New Roman" w:hAnsi="Times New Roman" w:cs="Times New Roman"/>
                <w:color w:val="000000" w:themeColor="text1"/>
                <w:lang w:val="en-US" w:eastAsia="zh-CN"/>
              </w:rPr>
            </w:pPr>
            <w:r>
              <w:rPr>
                <w:rFonts w:hint="eastAsia" w:ascii="Times New Roman" w:hAnsi="Times New Roman" w:cs="Times New Roman"/>
                <w:color w:val="000000" w:themeColor="text1"/>
                <w:lang w:val="en-US" w:eastAsia="zh-CN"/>
              </w:rPr>
              <w:t>14</w:t>
            </w:r>
          </w:p>
        </w:tc>
        <w:tc>
          <w:tcPr>
            <w:tcW w:w="310" w:type="pct"/>
            <w:vMerge w:val="continue"/>
            <w:tcBorders>
              <w:left w:val="single" w:color="auto" w:sz="4" w:space="0"/>
              <w:right w:val="single" w:color="auto" w:sz="4" w:space="0"/>
            </w:tcBorders>
            <w:vAlign w:val="center"/>
          </w:tcPr>
          <w:p w14:paraId="0DCD6EA5">
            <w:pPr>
              <w:pStyle w:val="40"/>
              <w:jc w:val="center"/>
              <w:rPr>
                <w:rFonts w:ascii="Times New Roman" w:hAnsi="Times New Roman" w:cs="Times New Roman"/>
                <w:color w:val="000000" w:themeColor="text1"/>
              </w:rPr>
            </w:pPr>
          </w:p>
        </w:tc>
        <w:tc>
          <w:tcPr>
            <w:tcW w:w="281" w:type="pct"/>
            <w:vMerge w:val="restart"/>
            <w:tcBorders>
              <w:top w:val="single" w:color="auto" w:sz="4" w:space="0"/>
              <w:left w:val="single" w:color="auto" w:sz="4" w:space="0"/>
              <w:right w:val="single" w:color="auto" w:sz="4" w:space="0"/>
            </w:tcBorders>
            <w:vAlign w:val="center"/>
          </w:tcPr>
          <w:p w14:paraId="2F51860A">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地质灾害治理工程</w:t>
            </w:r>
          </w:p>
        </w:tc>
        <w:tc>
          <w:tcPr>
            <w:tcW w:w="377" w:type="pct"/>
            <w:tcBorders>
              <w:top w:val="single" w:color="auto" w:sz="4" w:space="0"/>
              <w:left w:val="single" w:color="auto" w:sz="4" w:space="0"/>
              <w:bottom w:val="single" w:color="auto" w:sz="4" w:space="0"/>
              <w:right w:val="single" w:color="auto" w:sz="4" w:space="0"/>
            </w:tcBorders>
            <w:vAlign w:val="center"/>
          </w:tcPr>
          <w:p w14:paraId="6D7EE1F2">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海陵区地质灾害治理工程</w:t>
            </w:r>
          </w:p>
        </w:tc>
        <w:tc>
          <w:tcPr>
            <w:tcW w:w="521" w:type="pct"/>
            <w:tcBorders>
              <w:top w:val="single" w:color="auto" w:sz="4" w:space="0"/>
              <w:left w:val="single" w:color="auto" w:sz="4" w:space="0"/>
              <w:bottom w:val="single" w:color="auto" w:sz="4" w:space="0"/>
              <w:right w:val="single" w:color="auto" w:sz="4" w:space="0"/>
            </w:tcBorders>
            <w:vAlign w:val="center"/>
          </w:tcPr>
          <w:p w14:paraId="07426315">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新星社区、南兴社区</w:t>
            </w:r>
            <w:r>
              <w:rPr>
                <w:rFonts w:hint="eastAsia" w:ascii="Times New Roman" w:hAnsi="Times New Roman" w:cs="Times New Roman"/>
                <w:color w:val="000000" w:themeColor="text1"/>
                <w:lang w:eastAsia="zh-CN"/>
              </w:rPr>
              <w:t>、北环社区</w:t>
            </w:r>
            <w:r>
              <w:rPr>
                <w:rFonts w:ascii="Times New Roman" w:hAnsi="Times New Roman" w:cs="Times New Roman"/>
                <w:color w:val="000000" w:themeColor="text1"/>
                <w:lang w:eastAsia="zh-CN"/>
              </w:rPr>
              <w:t>等</w:t>
            </w:r>
          </w:p>
        </w:tc>
        <w:tc>
          <w:tcPr>
            <w:tcW w:w="1139" w:type="pct"/>
            <w:tcBorders>
              <w:top w:val="single" w:color="auto" w:sz="4" w:space="0"/>
              <w:left w:val="single" w:color="auto" w:sz="4" w:space="0"/>
              <w:bottom w:val="single" w:color="auto" w:sz="4" w:space="0"/>
              <w:right w:val="single" w:color="auto" w:sz="4" w:space="0"/>
            </w:tcBorders>
            <w:vAlign w:val="center"/>
          </w:tcPr>
          <w:p w14:paraId="4BE2954C">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通过工程治理、专业监测等综合治理措施，针对区域内滑坡、泥石流、崩塌、地面塌陷等地质灾害隐患开展治理工程</w:t>
            </w:r>
          </w:p>
        </w:tc>
        <w:tc>
          <w:tcPr>
            <w:tcW w:w="328" w:type="pct"/>
            <w:tcBorders>
              <w:top w:val="single" w:color="auto" w:sz="4" w:space="0"/>
              <w:left w:val="single" w:color="auto" w:sz="4" w:space="0"/>
              <w:bottom w:val="single" w:color="auto" w:sz="4" w:space="0"/>
              <w:right w:val="single" w:color="auto" w:sz="4" w:space="0"/>
            </w:tcBorders>
            <w:vAlign w:val="center"/>
          </w:tcPr>
          <w:p w14:paraId="434C82D8">
            <w:pPr>
              <w:pStyle w:val="40"/>
              <w:jc w:val="center"/>
              <w:rPr>
                <w:rFonts w:ascii="Times New Roman" w:hAnsi="Times New Roman" w:cs="Times New Roman"/>
                <w:color w:val="000000" w:themeColor="text1"/>
              </w:rPr>
            </w:pPr>
            <w:r>
              <w:rPr>
                <w:rFonts w:ascii="Times New Roman" w:hAnsi="Times New Roman" w:cs="Times New Roman"/>
                <w:color w:val="000000" w:themeColor="text1"/>
              </w:rPr>
              <w:t>2021-2025</w:t>
            </w:r>
          </w:p>
        </w:tc>
        <w:tc>
          <w:tcPr>
            <w:tcW w:w="399" w:type="pct"/>
            <w:tcBorders>
              <w:top w:val="single" w:color="auto" w:sz="4" w:space="0"/>
              <w:left w:val="single" w:color="auto" w:sz="4" w:space="0"/>
              <w:bottom w:val="single" w:color="auto" w:sz="4" w:space="0"/>
              <w:right w:val="single" w:color="auto" w:sz="4" w:space="0"/>
            </w:tcBorders>
            <w:vAlign w:val="center"/>
          </w:tcPr>
          <w:p w14:paraId="6CA2ED7C">
            <w:pPr>
              <w:pStyle w:val="40"/>
              <w:jc w:val="center"/>
              <w:rPr>
                <w:rFonts w:ascii="Times New Roman" w:hAnsi="Times New Roman" w:cs="Times New Roman"/>
                <w:color w:val="000000" w:themeColor="text1"/>
              </w:rPr>
            </w:pPr>
            <w:r>
              <w:rPr>
                <w:rFonts w:ascii="Times New Roman" w:hAnsi="Times New Roman" w:cs="Times New Roman"/>
                <w:color w:val="000000" w:themeColor="text1"/>
              </w:rPr>
              <w:t>890</w:t>
            </w:r>
          </w:p>
        </w:tc>
        <w:tc>
          <w:tcPr>
            <w:tcW w:w="453" w:type="pct"/>
            <w:tcBorders>
              <w:top w:val="single" w:color="auto" w:sz="4" w:space="0"/>
              <w:left w:val="single" w:color="auto" w:sz="4" w:space="0"/>
              <w:bottom w:val="single" w:color="auto" w:sz="4" w:space="0"/>
              <w:right w:val="single" w:color="auto" w:sz="4" w:space="0"/>
            </w:tcBorders>
            <w:vAlign w:val="center"/>
          </w:tcPr>
          <w:p w14:paraId="0EAC7B4C">
            <w:pPr>
              <w:pStyle w:val="40"/>
              <w:jc w:val="center"/>
              <w:rPr>
                <w:rFonts w:ascii="Times New Roman" w:hAnsi="Times New Roman" w:cs="Times New Roman"/>
                <w:color w:val="000000" w:themeColor="text1"/>
              </w:rPr>
            </w:pPr>
            <w:r>
              <w:rPr>
                <w:rFonts w:hint="eastAsia" w:ascii="Times New Roman" w:hAnsi="Times New Roman" w:cs="Times New Roman"/>
                <w:color w:val="000000" w:themeColor="text1"/>
              </w:rPr>
              <w:t>/</w:t>
            </w:r>
          </w:p>
        </w:tc>
        <w:tc>
          <w:tcPr>
            <w:tcW w:w="690" w:type="pct"/>
            <w:tcBorders>
              <w:top w:val="single" w:color="auto" w:sz="4" w:space="0"/>
              <w:left w:val="single" w:color="auto" w:sz="4" w:space="0"/>
              <w:bottom w:val="single" w:color="auto" w:sz="4" w:space="0"/>
              <w:right w:val="single" w:color="auto" w:sz="4" w:space="0"/>
            </w:tcBorders>
            <w:vAlign w:val="center"/>
          </w:tcPr>
          <w:p w14:paraId="1BB49223">
            <w:pPr>
              <w:pStyle w:val="40"/>
              <w:jc w:val="center"/>
              <w:rPr>
                <w:rFonts w:ascii="Times New Roman" w:hAnsi="Times New Roman" w:cs="Times New Roman"/>
                <w:color w:val="000000" w:themeColor="text1"/>
              </w:rPr>
            </w:pPr>
            <w:r>
              <w:rPr>
                <w:rFonts w:ascii="Times New Roman" w:hAnsi="Times New Roman" w:cs="Times New Roman"/>
                <w:color w:val="000000" w:themeColor="text1"/>
              </w:rPr>
              <w:t>海陵试验区管委会</w:t>
            </w:r>
          </w:p>
        </w:tc>
        <w:tc>
          <w:tcPr>
            <w:tcW w:w="285" w:type="pct"/>
            <w:tcBorders>
              <w:top w:val="single" w:color="auto" w:sz="4" w:space="0"/>
              <w:left w:val="single" w:color="auto" w:sz="4" w:space="0"/>
              <w:bottom w:val="single" w:color="auto" w:sz="4" w:space="0"/>
              <w:right w:val="single" w:color="auto" w:sz="4" w:space="0"/>
            </w:tcBorders>
            <w:vAlign w:val="center"/>
          </w:tcPr>
          <w:p w14:paraId="5C7C3F07">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在建</w:t>
            </w:r>
          </w:p>
        </w:tc>
      </w:tr>
      <w:tr w14:paraId="5CD3D3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1" w:hRule="atLeast"/>
        </w:trPr>
        <w:tc>
          <w:tcPr>
            <w:tcW w:w="217" w:type="pct"/>
            <w:tcBorders>
              <w:top w:val="single" w:color="auto" w:sz="4" w:space="0"/>
              <w:left w:val="single" w:color="auto" w:sz="4" w:space="0"/>
              <w:bottom w:val="single" w:color="auto" w:sz="4" w:space="0"/>
              <w:right w:val="single" w:color="auto" w:sz="4" w:space="0"/>
            </w:tcBorders>
            <w:vAlign w:val="center"/>
          </w:tcPr>
          <w:p w14:paraId="150348E6">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val="en-US" w:eastAsia="zh-CN"/>
              </w:rPr>
              <w:t>15</w:t>
            </w:r>
          </w:p>
        </w:tc>
        <w:tc>
          <w:tcPr>
            <w:tcW w:w="310" w:type="pct"/>
            <w:vMerge w:val="continue"/>
            <w:tcBorders>
              <w:left w:val="single" w:color="auto" w:sz="4" w:space="0"/>
              <w:right w:val="single" w:color="auto" w:sz="4" w:space="0"/>
            </w:tcBorders>
            <w:vAlign w:val="center"/>
          </w:tcPr>
          <w:p w14:paraId="11E68C4B">
            <w:pPr>
              <w:pStyle w:val="40"/>
              <w:jc w:val="center"/>
              <w:rPr>
                <w:rFonts w:ascii="Times New Roman" w:hAnsi="Times New Roman" w:cs="Times New Roman"/>
                <w:color w:val="000000" w:themeColor="text1"/>
              </w:rPr>
            </w:pPr>
          </w:p>
        </w:tc>
        <w:tc>
          <w:tcPr>
            <w:tcW w:w="281" w:type="pct"/>
            <w:vMerge w:val="continue"/>
            <w:tcBorders>
              <w:left w:val="single" w:color="auto" w:sz="4" w:space="0"/>
              <w:right w:val="single" w:color="auto" w:sz="4" w:space="0"/>
            </w:tcBorders>
            <w:vAlign w:val="center"/>
          </w:tcPr>
          <w:p w14:paraId="1C67FA92">
            <w:pPr>
              <w:pStyle w:val="40"/>
              <w:rPr>
                <w:rFonts w:ascii="Times New Roman" w:hAnsi="Times New Roman" w:cs="Times New Roman"/>
                <w:color w:val="000000" w:themeColor="text1"/>
                <w:lang w:eastAsia="zh-CN"/>
              </w:rPr>
            </w:pPr>
          </w:p>
        </w:tc>
        <w:tc>
          <w:tcPr>
            <w:tcW w:w="377" w:type="pct"/>
            <w:tcBorders>
              <w:top w:val="single" w:color="auto" w:sz="4" w:space="0"/>
              <w:left w:val="single" w:color="auto" w:sz="4" w:space="0"/>
              <w:bottom w:val="single" w:color="auto" w:sz="4" w:space="0"/>
              <w:right w:val="single" w:color="auto" w:sz="4" w:space="0"/>
            </w:tcBorders>
            <w:vAlign w:val="center"/>
          </w:tcPr>
          <w:p w14:paraId="50C51D8D">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阳东区地质灾害治理工程</w:t>
            </w:r>
          </w:p>
        </w:tc>
        <w:tc>
          <w:tcPr>
            <w:tcW w:w="521" w:type="pct"/>
            <w:tcBorders>
              <w:top w:val="single" w:color="auto" w:sz="4" w:space="0"/>
              <w:left w:val="single" w:color="auto" w:sz="4" w:space="0"/>
              <w:bottom w:val="single" w:color="auto" w:sz="4" w:space="0"/>
              <w:right w:val="single" w:color="auto" w:sz="4" w:space="0"/>
            </w:tcBorders>
            <w:vAlign w:val="center"/>
          </w:tcPr>
          <w:p w14:paraId="02A52830">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东平镇等</w:t>
            </w:r>
          </w:p>
        </w:tc>
        <w:tc>
          <w:tcPr>
            <w:tcW w:w="1139" w:type="pct"/>
            <w:tcBorders>
              <w:top w:val="single" w:color="auto" w:sz="4" w:space="0"/>
              <w:left w:val="single" w:color="auto" w:sz="4" w:space="0"/>
              <w:bottom w:val="single" w:color="auto" w:sz="4" w:space="0"/>
              <w:right w:val="single" w:color="auto" w:sz="4" w:space="0"/>
            </w:tcBorders>
            <w:vAlign w:val="center"/>
          </w:tcPr>
          <w:p w14:paraId="549144BA">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通过工程治理、专业监测、搬迁等综合治理措施，针对区域内滑坡、泥石流、崩塌、地面塌陷等地质灾害隐患开展治理工程。</w:t>
            </w:r>
          </w:p>
        </w:tc>
        <w:tc>
          <w:tcPr>
            <w:tcW w:w="328" w:type="pct"/>
            <w:tcBorders>
              <w:top w:val="single" w:color="auto" w:sz="4" w:space="0"/>
              <w:left w:val="single" w:color="auto" w:sz="4" w:space="0"/>
              <w:bottom w:val="single" w:color="auto" w:sz="4" w:space="0"/>
              <w:right w:val="single" w:color="auto" w:sz="4" w:space="0"/>
            </w:tcBorders>
            <w:vAlign w:val="center"/>
          </w:tcPr>
          <w:p w14:paraId="6F1BD5A6">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2021-2025</w:t>
            </w:r>
          </w:p>
        </w:tc>
        <w:tc>
          <w:tcPr>
            <w:tcW w:w="399" w:type="pct"/>
            <w:tcBorders>
              <w:top w:val="single" w:color="auto" w:sz="4" w:space="0"/>
              <w:left w:val="single" w:color="auto" w:sz="4" w:space="0"/>
              <w:bottom w:val="single" w:color="auto" w:sz="4" w:space="0"/>
              <w:right w:val="single" w:color="auto" w:sz="4" w:space="0"/>
            </w:tcBorders>
            <w:vAlign w:val="center"/>
          </w:tcPr>
          <w:p w14:paraId="18FED108">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441</w:t>
            </w:r>
          </w:p>
        </w:tc>
        <w:tc>
          <w:tcPr>
            <w:tcW w:w="453" w:type="pct"/>
            <w:tcBorders>
              <w:top w:val="single" w:color="auto" w:sz="4" w:space="0"/>
              <w:left w:val="single" w:color="auto" w:sz="4" w:space="0"/>
              <w:bottom w:val="single" w:color="auto" w:sz="4" w:space="0"/>
              <w:right w:val="single" w:color="auto" w:sz="4" w:space="0"/>
            </w:tcBorders>
            <w:vAlign w:val="center"/>
          </w:tcPr>
          <w:p w14:paraId="32AF2FE6">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eastAsia="zh-CN"/>
              </w:rPr>
              <w:t>/</w:t>
            </w:r>
          </w:p>
        </w:tc>
        <w:tc>
          <w:tcPr>
            <w:tcW w:w="690" w:type="pct"/>
            <w:tcBorders>
              <w:top w:val="single" w:color="auto" w:sz="4" w:space="0"/>
              <w:left w:val="single" w:color="auto" w:sz="4" w:space="0"/>
              <w:bottom w:val="single" w:color="auto" w:sz="4" w:space="0"/>
              <w:right w:val="single" w:color="auto" w:sz="4" w:space="0"/>
            </w:tcBorders>
            <w:vAlign w:val="center"/>
          </w:tcPr>
          <w:p w14:paraId="21512DE9">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阳东区人民政府</w:t>
            </w:r>
          </w:p>
        </w:tc>
        <w:tc>
          <w:tcPr>
            <w:tcW w:w="285" w:type="pct"/>
            <w:tcBorders>
              <w:top w:val="single" w:color="auto" w:sz="4" w:space="0"/>
              <w:left w:val="single" w:color="auto" w:sz="4" w:space="0"/>
              <w:bottom w:val="single" w:color="auto" w:sz="4" w:space="0"/>
              <w:right w:val="single" w:color="auto" w:sz="4" w:space="0"/>
            </w:tcBorders>
            <w:vAlign w:val="center"/>
          </w:tcPr>
          <w:p w14:paraId="1EDE88AC">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在建</w:t>
            </w:r>
          </w:p>
        </w:tc>
      </w:tr>
      <w:tr w14:paraId="2B7195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1" w:hRule="atLeast"/>
        </w:trPr>
        <w:tc>
          <w:tcPr>
            <w:tcW w:w="217" w:type="pct"/>
            <w:tcBorders>
              <w:top w:val="single" w:color="auto" w:sz="4" w:space="0"/>
              <w:left w:val="single" w:color="auto" w:sz="4" w:space="0"/>
              <w:bottom w:val="single" w:color="auto" w:sz="4" w:space="0"/>
              <w:right w:val="single" w:color="auto" w:sz="4" w:space="0"/>
            </w:tcBorders>
            <w:vAlign w:val="center"/>
          </w:tcPr>
          <w:p w14:paraId="36FC61E7">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val="en-US" w:eastAsia="zh-CN"/>
              </w:rPr>
              <w:t>16</w:t>
            </w:r>
          </w:p>
        </w:tc>
        <w:tc>
          <w:tcPr>
            <w:tcW w:w="310" w:type="pct"/>
            <w:vMerge w:val="continue"/>
            <w:tcBorders>
              <w:left w:val="single" w:color="auto" w:sz="4" w:space="0"/>
              <w:right w:val="single" w:color="auto" w:sz="4" w:space="0"/>
            </w:tcBorders>
            <w:vAlign w:val="center"/>
          </w:tcPr>
          <w:p w14:paraId="4DFC3C99">
            <w:pPr>
              <w:pStyle w:val="40"/>
              <w:jc w:val="center"/>
              <w:rPr>
                <w:rFonts w:ascii="Times New Roman" w:hAnsi="Times New Roman" w:cs="Times New Roman"/>
                <w:color w:val="000000" w:themeColor="text1"/>
              </w:rPr>
            </w:pPr>
          </w:p>
        </w:tc>
        <w:tc>
          <w:tcPr>
            <w:tcW w:w="281" w:type="pct"/>
            <w:vMerge w:val="continue"/>
            <w:tcBorders>
              <w:left w:val="single" w:color="auto" w:sz="4" w:space="0"/>
              <w:right w:val="single" w:color="auto" w:sz="4" w:space="0"/>
            </w:tcBorders>
            <w:vAlign w:val="center"/>
          </w:tcPr>
          <w:p w14:paraId="237A23BA">
            <w:pPr>
              <w:pStyle w:val="40"/>
              <w:rPr>
                <w:rFonts w:ascii="Times New Roman" w:hAnsi="Times New Roman" w:cs="Times New Roman"/>
                <w:color w:val="000000" w:themeColor="text1"/>
                <w:lang w:eastAsia="zh-CN"/>
              </w:rPr>
            </w:pPr>
          </w:p>
        </w:tc>
        <w:tc>
          <w:tcPr>
            <w:tcW w:w="377" w:type="pct"/>
            <w:tcBorders>
              <w:top w:val="single" w:color="auto" w:sz="4" w:space="0"/>
              <w:left w:val="single" w:color="auto" w:sz="4" w:space="0"/>
              <w:bottom w:val="single" w:color="auto" w:sz="4" w:space="0"/>
              <w:right w:val="single" w:color="auto" w:sz="4" w:space="0"/>
            </w:tcBorders>
            <w:vAlign w:val="center"/>
          </w:tcPr>
          <w:p w14:paraId="726AF501">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江城区地质灾害治理工程</w:t>
            </w:r>
          </w:p>
        </w:tc>
        <w:tc>
          <w:tcPr>
            <w:tcW w:w="521" w:type="pct"/>
            <w:tcBorders>
              <w:top w:val="single" w:color="auto" w:sz="4" w:space="0"/>
              <w:left w:val="single" w:color="auto" w:sz="4" w:space="0"/>
              <w:bottom w:val="single" w:color="auto" w:sz="4" w:space="0"/>
              <w:right w:val="single" w:color="auto" w:sz="4" w:space="0"/>
            </w:tcBorders>
            <w:vAlign w:val="center"/>
          </w:tcPr>
          <w:p w14:paraId="43E4D057">
            <w:pPr>
              <w:pStyle w:val="40"/>
              <w:jc w:val="center"/>
              <w:rPr>
                <w:rFonts w:ascii="Times New Roman" w:hAnsi="Times New Roman" w:cs="Times New Roman"/>
                <w:color w:val="000000" w:themeColor="text1"/>
              </w:rPr>
            </w:pPr>
            <w:r>
              <w:rPr>
                <w:rFonts w:ascii="Times New Roman" w:hAnsi="Times New Roman" w:cs="Times New Roman"/>
                <w:color w:val="000000" w:themeColor="text1"/>
              </w:rPr>
              <w:t>城南街道、双捷镇等</w:t>
            </w:r>
          </w:p>
        </w:tc>
        <w:tc>
          <w:tcPr>
            <w:tcW w:w="1139" w:type="pct"/>
            <w:tcBorders>
              <w:top w:val="single" w:color="auto" w:sz="4" w:space="0"/>
              <w:left w:val="single" w:color="auto" w:sz="4" w:space="0"/>
              <w:bottom w:val="single" w:color="auto" w:sz="4" w:space="0"/>
              <w:right w:val="single" w:color="auto" w:sz="4" w:space="0"/>
            </w:tcBorders>
            <w:vAlign w:val="center"/>
          </w:tcPr>
          <w:p w14:paraId="02D4490B">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通过工程治理、专业监测等综合治理措施，针对区域内滑坡、泥石流、崩塌、地面塌陷等地质灾害隐患开展治理工程。</w:t>
            </w:r>
          </w:p>
        </w:tc>
        <w:tc>
          <w:tcPr>
            <w:tcW w:w="328" w:type="pct"/>
            <w:tcBorders>
              <w:top w:val="single" w:color="auto" w:sz="4" w:space="0"/>
              <w:left w:val="single" w:color="auto" w:sz="4" w:space="0"/>
              <w:bottom w:val="single" w:color="auto" w:sz="4" w:space="0"/>
              <w:right w:val="single" w:color="auto" w:sz="4" w:space="0"/>
            </w:tcBorders>
            <w:vAlign w:val="center"/>
          </w:tcPr>
          <w:p w14:paraId="37D10A03">
            <w:pPr>
              <w:pStyle w:val="40"/>
              <w:jc w:val="center"/>
              <w:rPr>
                <w:rFonts w:ascii="Times New Roman" w:hAnsi="Times New Roman" w:cs="Times New Roman"/>
                <w:color w:val="000000" w:themeColor="text1"/>
              </w:rPr>
            </w:pPr>
            <w:r>
              <w:rPr>
                <w:rFonts w:ascii="Times New Roman" w:hAnsi="Times New Roman" w:cs="Times New Roman"/>
                <w:color w:val="000000" w:themeColor="text1"/>
              </w:rPr>
              <w:t>2021-2025</w:t>
            </w:r>
          </w:p>
        </w:tc>
        <w:tc>
          <w:tcPr>
            <w:tcW w:w="399" w:type="pct"/>
            <w:tcBorders>
              <w:top w:val="single" w:color="auto" w:sz="4" w:space="0"/>
              <w:left w:val="single" w:color="auto" w:sz="4" w:space="0"/>
              <w:bottom w:val="single" w:color="auto" w:sz="4" w:space="0"/>
              <w:right w:val="single" w:color="auto" w:sz="4" w:space="0"/>
            </w:tcBorders>
            <w:vAlign w:val="center"/>
          </w:tcPr>
          <w:p w14:paraId="50E6DB6F">
            <w:pPr>
              <w:pStyle w:val="40"/>
              <w:jc w:val="center"/>
              <w:rPr>
                <w:rFonts w:ascii="Times New Roman" w:hAnsi="Times New Roman" w:cs="Times New Roman"/>
                <w:color w:val="000000" w:themeColor="text1"/>
              </w:rPr>
            </w:pPr>
            <w:r>
              <w:rPr>
                <w:rFonts w:ascii="Times New Roman" w:hAnsi="Times New Roman" w:cs="Times New Roman"/>
                <w:color w:val="000000" w:themeColor="text1"/>
              </w:rPr>
              <w:t>500</w:t>
            </w:r>
          </w:p>
        </w:tc>
        <w:tc>
          <w:tcPr>
            <w:tcW w:w="453" w:type="pct"/>
            <w:tcBorders>
              <w:top w:val="single" w:color="auto" w:sz="4" w:space="0"/>
              <w:left w:val="single" w:color="auto" w:sz="4" w:space="0"/>
              <w:bottom w:val="single" w:color="auto" w:sz="4" w:space="0"/>
              <w:right w:val="single" w:color="auto" w:sz="4" w:space="0"/>
            </w:tcBorders>
            <w:vAlign w:val="center"/>
          </w:tcPr>
          <w:p w14:paraId="127A637E">
            <w:pPr>
              <w:pStyle w:val="40"/>
              <w:jc w:val="center"/>
              <w:rPr>
                <w:rFonts w:ascii="Times New Roman" w:hAnsi="Times New Roman" w:cs="Times New Roman"/>
                <w:color w:val="000000" w:themeColor="text1"/>
              </w:rPr>
            </w:pPr>
            <w:r>
              <w:rPr>
                <w:rFonts w:hint="eastAsia" w:ascii="Times New Roman" w:hAnsi="Times New Roman" w:cs="Times New Roman"/>
                <w:color w:val="000000" w:themeColor="text1"/>
              </w:rPr>
              <w:t>/</w:t>
            </w:r>
          </w:p>
        </w:tc>
        <w:tc>
          <w:tcPr>
            <w:tcW w:w="690" w:type="pct"/>
            <w:tcBorders>
              <w:top w:val="single" w:color="auto" w:sz="4" w:space="0"/>
              <w:left w:val="single" w:color="auto" w:sz="4" w:space="0"/>
              <w:bottom w:val="single" w:color="auto" w:sz="4" w:space="0"/>
              <w:right w:val="single" w:color="auto" w:sz="4" w:space="0"/>
            </w:tcBorders>
            <w:vAlign w:val="center"/>
          </w:tcPr>
          <w:p w14:paraId="1EE92583">
            <w:pPr>
              <w:pStyle w:val="40"/>
              <w:jc w:val="center"/>
              <w:rPr>
                <w:rFonts w:ascii="Times New Roman" w:hAnsi="Times New Roman" w:cs="Times New Roman"/>
                <w:color w:val="000000" w:themeColor="text1"/>
              </w:rPr>
            </w:pPr>
            <w:r>
              <w:rPr>
                <w:rFonts w:ascii="Times New Roman" w:hAnsi="Times New Roman" w:cs="Times New Roman"/>
                <w:color w:val="000000" w:themeColor="text1"/>
              </w:rPr>
              <w:t>江城区人民政府</w:t>
            </w:r>
          </w:p>
        </w:tc>
        <w:tc>
          <w:tcPr>
            <w:tcW w:w="285" w:type="pct"/>
            <w:tcBorders>
              <w:top w:val="single" w:color="auto" w:sz="4" w:space="0"/>
              <w:left w:val="single" w:color="auto" w:sz="4" w:space="0"/>
              <w:bottom w:val="single" w:color="auto" w:sz="4" w:space="0"/>
              <w:right w:val="single" w:color="auto" w:sz="4" w:space="0"/>
            </w:tcBorders>
            <w:vAlign w:val="center"/>
          </w:tcPr>
          <w:p w14:paraId="53A8B508">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在建</w:t>
            </w:r>
          </w:p>
        </w:tc>
      </w:tr>
      <w:tr w14:paraId="733B6F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2" w:hRule="atLeast"/>
        </w:trPr>
        <w:tc>
          <w:tcPr>
            <w:tcW w:w="217" w:type="pct"/>
            <w:tcBorders>
              <w:top w:val="single" w:color="auto" w:sz="4" w:space="0"/>
              <w:left w:val="single" w:color="auto" w:sz="4" w:space="0"/>
              <w:bottom w:val="single" w:color="auto" w:sz="4" w:space="0"/>
              <w:right w:val="single" w:color="auto" w:sz="4" w:space="0"/>
            </w:tcBorders>
            <w:vAlign w:val="center"/>
          </w:tcPr>
          <w:p w14:paraId="7461D576">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val="en-US" w:eastAsia="zh-CN"/>
              </w:rPr>
              <w:t>17</w:t>
            </w:r>
          </w:p>
        </w:tc>
        <w:tc>
          <w:tcPr>
            <w:tcW w:w="310" w:type="pct"/>
            <w:vMerge w:val="continue"/>
            <w:tcBorders>
              <w:left w:val="single" w:color="auto" w:sz="4" w:space="0"/>
              <w:bottom w:val="single" w:color="auto" w:sz="4" w:space="0"/>
              <w:right w:val="single" w:color="auto" w:sz="4" w:space="0"/>
            </w:tcBorders>
            <w:vAlign w:val="center"/>
          </w:tcPr>
          <w:p w14:paraId="20B01953">
            <w:pPr>
              <w:pStyle w:val="40"/>
              <w:jc w:val="center"/>
              <w:rPr>
                <w:rFonts w:ascii="Times New Roman" w:hAnsi="Times New Roman" w:cs="Times New Roman"/>
                <w:color w:val="000000" w:themeColor="text1"/>
              </w:rPr>
            </w:pPr>
          </w:p>
        </w:tc>
        <w:tc>
          <w:tcPr>
            <w:tcW w:w="281" w:type="pct"/>
            <w:vMerge w:val="continue"/>
            <w:tcBorders>
              <w:left w:val="single" w:color="auto" w:sz="4" w:space="0"/>
              <w:bottom w:val="single" w:color="auto" w:sz="4" w:space="0"/>
              <w:right w:val="single" w:color="auto" w:sz="4" w:space="0"/>
            </w:tcBorders>
            <w:vAlign w:val="center"/>
          </w:tcPr>
          <w:p w14:paraId="0F636119">
            <w:pPr>
              <w:pStyle w:val="40"/>
              <w:rPr>
                <w:rFonts w:ascii="Times New Roman" w:hAnsi="Times New Roman" w:cs="Times New Roman"/>
                <w:color w:val="000000" w:themeColor="text1"/>
                <w:lang w:eastAsia="zh-CN"/>
              </w:rPr>
            </w:pPr>
          </w:p>
        </w:tc>
        <w:tc>
          <w:tcPr>
            <w:tcW w:w="377" w:type="pct"/>
            <w:tcBorders>
              <w:top w:val="single" w:color="auto" w:sz="4" w:space="0"/>
              <w:left w:val="single" w:color="auto" w:sz="4" w:space="0"/>
              <w:bottom w:val="single" w:color="auto" w:sz="4" w:space="0"/>
              <w:right w:val="single" w:color="auto" w:sz="4" w:space="0"/>
            </w:tcBorders>
            <w:vAlign w:val="center"/>
          </w:tcPr>
          <w:p w14:paraId="6FE0C590">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阳春市地质灾害治理工程</w:t>
            </w:r>
          </w:p>
        </w:tc>
        <w:tc>
          <w:tcPr>
            <w:tcW w:w="521" w:type="pct"/>
            <w:tcBorders>
              <w:top w:val="single" w:color="auto" w:sz="4" w:space="0"/>
              <w:left w:val="single" w:color="auto" w:sz="4" w:space="0"/>
              <w:bottom w:val="single" w:color="auto" w:sz="4" w:space="0"/>
              <w:right w:val="single" w:color="auto" w:sz="4" w:space="0"/>
            </w:tcBorders>
            <w:vAlign w:val="center"/>
          </w:tcPr>
          <w:p w14:paraId="1518B26A">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双</w:t>
            </w:r>
            <w:r>
              <w:rPr>
                <w:rFonts w:hint="eastAsia" w:ascii="Times New Roman" w:hAnsi="Times New Roman" w:cs="Times New Roman"/>
                <w:color w:val="000000" w:themeColor="text1"/>
                <w:lang w:eastAsia="zh-CN"/>
              </w:rPr>
              <w:t>滘</w:t>
            </w:r>
            <w:r>
              <w:rPr>
                <w:rFonts w:ascii="Times New Roman" w:hAnsi="Times New Roman" w:cs="Times New Roman"/>
                <w:color w:val="000000" w:themeColor="text1"/>
                <w:lang w:eastAsia="zh-CN"/>
              </w:rPr>
              <w:t>镇、八甲镇、河</w:t>
            </w:r>
            <w:r>
              <w:rPr>
                <w:rFonts w:hint="eastAsia" w:ascii="Times New Roman" w:hAnsi="Times New Roman" w:cs="Times New Roman"/>
                <w:color w:val="000000" w:themeColor="text1"/>
                <w:lang w:eastAsia="zh-CN"/>
              </w:rPr>
              <w:t>㙟</w:t>
            </w:r>
            <w:r>
              <w:rPr>
                <w:rFonts w:ascii="Times New Roman" w:hAnsi="Times New Roman" w:cs="Times New Roman"/>
                <w:color w:val="000000" w:themeColor="text1"/>
                <w:lang w:eastAsia="zh-CN"/>
              </w:rPr>
              <w:t>镇、三甲镇、春湾镇、圭岗镇、春城街道、合水镇、马水镇、陂面镇等</w:t>
            </w:r>
          </w:p>
        </w:tc>
        <w:tc>
          <w:tcPr>
            <w:tcW w:w="1139" w:type="pct"/>
            <w:tcBorders>
              <w:top w:val="single" w:color="auto" w:sz="4" w:space="0"/>
              <w:left w:val="single" w:color="auto" w:sz="4" w:space="0"/>
              <w:bottom w:val="single" w:color="auto" w:sz="4" w:space="0"/>
              <w:right w:val="single" w:color="auto" w:sz="4" w:space="0"/>
            </w:tcBorders>
            <w:vAlign w:val="center"/>
          </w:tcPr>
          <w:p w14:paraId="3220EE5E">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通过工程治理、专业监测等综合治理措施，针对区域内滑坡、泥石流、崩塌、地面塌陷等地质灾害隐患开展治理工程。</w:t>
            </w:r>
          </w:p>
        </w:tc>
        <w:tc>
          <w:tcPr>
            <w:tcW w:w="328" w:type="pct"/>
            <w:tcBorders>
              <w:top w:val="single" w:color="auto" w:sz="4" w:space="0"/>
              <w:left w:val="single" w:color="auto" w:sz="4" w:space="0"/>
              <w:bottom w:val="single" w:color="auto" w:sz="4" w:space="0"/>
              <w:right w:val="single" w:color="auto" w:sz="4" w:space="0"/>
            </w:tcBorders>
            <w:vAlign w:val="center"/>
          </w:tcPr>
          <w:p w14:paraId="39F21E58">
            <w:pPr>
              <w:pStyle w:val="40"/>
              <w:jc w:val="center"/>
              <w:rPr>
                <w:rFonts w:ascii="Times New Roman" w:hAnsi="Times New Roman" w:cs="Times New Roman"/>
                <w:color w:val="000000" w:themeColor="text1"/>
              </w:rPr>
            </w:pPr>
            <w:r>
              <w:rPr>
                <w:rFonts w:ascii="Times New Roman" w:hAnsi="Times New Roman" w:cs="Times New Roman"/>
                <w:color w:val="000000" w:themeColor="text1"/>
              </w:rPr>
              <w:t>2021-2025</w:t>
            </w:r>
          </w:p>
        </w:tc>
        <w:tc>
          <w:tcPr>
            <w:tcW w:w="399" w:type="pct"/>
            <w:tcBorders>
              <w:top w:val="single" w:color="auto" w:sz="4" w:space="0"/>
              <w:left w:val="single" w:color="auto" w:sz="4" w:space="0"/>
              <w:bottom w:val="single" w:color="auto" w:sz="4" w:space="0"/>
              <w:right w:val="single" w:color="auto" w:sz="4" w:space="0"/>
            </w:tcBorders>
            <w:vAlign w:val="center"/>
          </w:tcPr>
          <w:p w14:paraId="235C9BEC">
            <w:pPr>
              <w:pStyle w:val="40"/>
              <w:jc w:val="center"/>
              <w:rPr>
                <w:rFonts w:ascii="Times New Roman" w:hAnsi="Times New Roman" w:cs="Times New Roman"/>
                <w:color w:val="000000" w:themeColor="text1"/>
              </w:rPr>
            </w:pPr>
            <w:r>
              <w:rPr>
                <w:rFonts w:ascii="Times New Roman" w:hAnsi="Times New Roman" w:cs="Times New Roman"/>
                <w:color w:val="000000" w:themeColor="text1"/>
              </w:rPr>
              <w:t>2773</w:t>
            </w:r>
          </w:p>
        </w:tc>
        <w:tc>
          <w:tcPr>
            <w:tcW w:w="453" w:type="pct"/>
            <w:tcBorders>
              <w:top w:val="single" w:color="auto" w:sz="4" w:space="0"/>
              <w:left w:val="single" w:color="auto" w:sz="4" w:space="0"/>
              <w:bottom w:val="single" w:color="auto" w:sz="4" w:space="0"/>
              <w:right w:val="single" w:color="auto" w:sz="4" w:space="0"/>
            </w:tcBorders>
            <w:vAlign w:val="center"/>
          </w:tcPr>
          <w:p w14:paraId="4C5F6D3A">
            <w:pPr>
              <w:pStyle w:val="40"/>
              <w:jc w:val="center"/>
              <w:rPr>
                <w:rFonts w:ascii="Times New Roman" w:hAnsi="Times New Roman" w:cs="Times New Roman"/>
                <w:color w:val="000000" w:themeColor="text1"/>
              </w:rPr>
            </w:pPr>
            <w:r>
              <w:rPr>
                <w:rFonts w:hint="eastAsia" w:ascii="Times New Roman" w:hAnsi="Times New Roman" w:cs="Times New Roman"/>
                <w:color w:val="000000" w:themeColor="text1"/>
              </w:rPr>
              <w:t>/</w:t>
            </w:r>
          </w:p>
        </w:tc>
        <w:tc>
          <w:tcPr>
            <w:tcW w:w="690" w:type="pct"/>
            <w:tcBorders>
              <w:top w:val="single" w:color="auto" w:sz="4" w:space="0"/>
              <w:left w:val="single" w:color="auto" w:sz="4" w:space="0"/>
              <w:bottom w:val="single" w:color="auto" w:sz="4" w:space="0"/>
              <w:right w:val="single" w:color="auto" w:sz="4" w:space="0"/>
            </w:tcBorders>
            <w:vAlign w:val="center"/>
          </w:tcPr>
          <w:p w14:paraId="4E823932">
            <w:pPr>
              <w:pStyle w:val="40"/>
              <w:jc w:val="center"/>
              <w:rPr>
                <w:rFonts w:ascii="Times New Roman" w:hAnsi="Times New Roman" w:cs="Times New Roman"/>
                <w:color w:val="000000" w:themeColor="text1"/>
              </w:rPr>
            </w:pPr>
            <w:r>
              <w:rPr>
                <w:rFonts w:ascii="Times New Roman" w:hAnsi="Times New Roman" w:cs="Times New Roman"/>
                <w:color w:val="000000" w:themeColor="text1"/>
              </w:rPr>
              <w:t>阳春市人民政府</w:t>
            </w:r>
          </w:p>
        </w:tc>
        <w:tc>
          <w:tcPr>
            <w:tcW w:w="285" w:type="pct"/>
            <w:tcBorders>
              <w:top w:val="single" w:color="auto" w:sz="4" w:space="0"/>
              <w:left w:val="single" w:color="auto" w:sz="4" w:space="0"/>
              <w:bottom w:val="single" w:color="auto" w:sz="4" w:space="0"/>
              <w:right w:val="single" w:color="auto" w:sz="4" w:space="0"/>
            </w:tcBorders>
            <w:vAlign w:val="center"/>
          </w:tcPr>
          <w:p w14:paraId="4FCB1CCF">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在建</w:t>
            </w:r>
          </w:p>
        </w:tc>
      </w:tr>
      <w:tr w14:paraId="091C59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1" w:hRule="atLeast"/>
        </w:trPr>
        <w:tc>
          <w:tcPr>
            <w:tcW w:w="217" w:type="pct"/>
            <w:tcBorders>
              <w:top w:val="single" w:color="auto" w:sz="4" w:space="0"/>
              <w:left w:val="single" w:color="auto" w:sz="4" w:space="0"/>
              <w:bottom w:val="single" w:color="auto" w:sz="4" w:space="0"/>
              <w:right w:val="single" w:color="auto" w:sz="4" w:space="0"/>
            </w:tcBorders>
            <w:vAlign w:val="center"/>
          </w:tcPr>
          <w:p w14:paraId="7FCE615E">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val="en-US" w:eastAsia="zh-CN"/>
              </w:rPr>
              <w:t>18</w:t>
            </w:r>
          </w:p>
        </w:tc>
        <w:tc>
          <w:tcPr>
            <w:tcW w:w="310" w:type="pct"/>
            <w:vMerge w:val="restart"/>
            <w:tcBorders>
              <w:top w:val="single" w:color="auto" w:sz="4" w:space="0"/>
              <w:left w:val="single" w:color="auto" w:sz="4" w:space="0"/>
              <w:right w:val="single" w:color="auto" w:sz="4" w:space="0"/>
            </w:tcBorders>
            <w:vAlign w:val="center"/>
          </w:tcPr>
          <w:p w14:paraId="1583E3BA">
            <w:pPr>
              <w:widowControl/>
              <w:jc w:val="center"/>
              <w:rPr>
                <w:rFonts w:ascii="Times New Roman" w:hAnsi="Times New Roman" w:eastAsia="仿宋_GB2312" w:cs="Times New Roman"/>
                <w:color w:val="000000" w:themeColor="text1"/>
                <w:szCs w:val="21"/>
              </w:rPr>
            </w:pPr>
            <w:r>
              <w:rPr>
                <w:rFonts w:ascii="Times New Roman" w:hAnsi="Times New Roman" w:eastAsia="仿宋_GB2312" w:cs="Times New Roman"/>
                <w:color w:val="000000"/>
                <w:kern w:val="0"/>
                <w:szCs w:val="21"/>
              </w:rPr>
              <w:t>农</w:t>
            </w:r>
            <w:r>
              <w:rPr>
                <w:rFonts w:ascii="Times New Roman" w:hAnsi="Times New Roman" w:eastAsia="仿宋_GB2312" w:cs="Times New Roman"/>
                <w:color w:val="000000" w:themeColor="text1"/>
                <w:kern w:val="0"/>
                <w:szCs w:val="21"/>
                <w:lang w:val="zh-CN" w:bidi="zh-CN"/>
              </w:rPr>
              <w:t>业</w:t>
            </w:r>
            <w:r>
              <w:rPr>
                <w:rFonts w:hint="eastAsia" w:ascii="Times New Roman" w:hAnsi="Times New Roman" w:eastAsia="仿宋_GB2312" w:cs="Times New Roman"/>
                <w:color w:val="000000" w:themeColor="text1"/>
                <w:kern w:val="0"/>
                <w:szCs w:val="21"/>
                <w:lang w:val="zh-CN" w:bidi="zh-CN"/>
              </w:rPr>
              <w:t>农村生态</w:t>
            </w:r>
            <w:r>
              <w:rPr>
                <w:rFonts w:ascii="Times New Roman" w:hAnsi="Times New Roman" w:eastAsia="仿宋_GB2312" w:cs="Times New Roman"/>
                <w:color w:val="000000" w:themeColor="text1"/>
                <w:kern w:val="0"/>
                <w:szCs w:val="21"/>
                <w:lang w:val="zh-CN" w:bidi="zh-CN"/>
              </w:rPr>
              <w:t>保护和修复重点工程</w:t>
            </w:r>
          </w:p>
        </w:tc>
        <w:tc>
          <w:tcPr>
            <w:tcW w:w="281" w:type="pct"/>
            <w:tcBorders>
              <w:top w:val="single" w:color="auto" w:sz="4" w:space="0"/>
              <w:left w:val="single" w:color="auto" w:sz="4" w:space="0"/>
              <w:right w:val="single" w:color="auto" w:sz="4" w:space="0"/>
            </w:tcBorders>
            <w:vAlign w:val="center"/>
          </w:tcPr>
          <w:p w14:paraId="6C10CAFE">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高标准农田建设工程</w:t>
            </w:r>
          </w:p>
        </w:tc>
        <w:tc>
          <w:tcPr>
            <w:tcW w:w="377" w:type="pct"/>
            <w:tcBorders>
              <w:top w:val="single" w:color="auto" w:sz="4" w:space="0"/>
              <w:left w:val="single" w:color="auto" w:sz="4" w:space="0"/>
              <w:bottom w:val="single" w:color="auto" w:sz="4" w:space="0"/>
              <w:right w:val="single" w:color="auto" w:sz="4" w:space="0"/>
            </w:tcBorders>
            <w:vAlign w:val="center"/>
          </w:tcPr>
          <w:p w14:paraId="330A99B8">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阳江市高标准农田建设项目</w:t>
            </w:r>
          </w:p>
        </w:tc>
        <w:tc>
          <w:tcPr>
            <w:tcW w:w="521" w:type="pct"/>
            <w:tcBorders>
              <w:top w:val="single" w:color="auto" w:sz="4" w:space="0"/>
              <w:left w:val="single" w:color="auto" w:sz="4" w:space="0"/>
              <w:bottom w:val="single" w:color="auto" w:sz="4" w:space="0"/>
              <w:right w:val="single" w:color="auto" w:sz="4" w:space="0"/>
            </w:tcBorders>
            <w:vAlign w:val="center"/>
          </w:tcPr>
          <w:p w14:paraId="2E834EF4">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阳江市域</w:t>
            </w:r>
          </w:p>
        </w:tc>
        <w:tc>
          <w:tcPr>
            <w:tcW w:w="1139" w:type="pct"/>
            <w:tcBorders>
              <w:top w:val="single" w:color="auto" w:sz="4" w:space="0"/>
              <w:left w:val="single" w:color="auto" w:sz="4" w:space="0"/>
              <w:bottom w:val="single" w:color="auto" w:sz="4" w:space="0"/>
              <w:right w:val="single" w:color="auto" w:sz="4" w:space="0"/>
            </w:tcBorders>
            <w:vAlign w:val="center"/>
          </w:tcPr>
          <w:p w14:paraId="7F557539">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到2030 年累计建成高标准农田不低于138.87万亩；到2030 年累计改造提升高标准农田不低于19万亩。</w:t>
            </w:r>
          </w:p>
        </w:tc>
        <w:tc>
          <w:tcPr>
            <w:tcW w:w="328" w:type="pct"/>
            <w:tcBorders>
              <w:top w:val="single" w:color="auto" w:sz="4" w:space="0"/>
              <w:left w:val="single" w:color="auto" w:sz="4" w:space="0"/>
              <w:bottom w:val="single" w:color="auto" w:sz="4" w:space="0"/>
              <w:right w:val="single" w:color="auto" w:sz="4" w:space="0"/>
            </w:tcBorders>
            <w:vAlign w:val="center"/>
          </w:tcPr>
          <w:p w14:paraId="3879486F">
            <w:pPr>
              <w:pStyle w:val="40"/>
              <w:jc w:val="center"/>
              <w:rPr>
                <w:rFonts w:ascii="Times New Roman" w:hAnsi="Times New Roman" w:cs="Times New Roman"/>
                <w:color w:val="000000" w:themeColor="text1"/>
              </w:rPr>
            </w:pPr>
            <w:r>
              <w:rPr>
                <w:rFonts w:ascii="Times New Roman" w:hAnsi="Times New Roman" w:cs="Times New Roman"/>
                <w:color w:val="000000" w:themeColor="text1"/>
              </w:rPr>
              <w:t>2021-2030</w:t>
            </w:r>
          </w:p>
        </w:tc>
        <w:tc>
          <w:tcPr>
            <w:tcW w:w="399" w:type="pct"/>
            <w:tcBorders>
              <w:top w:val="single" w:color="auto" w:sz="4" w:space="0"/>
              <w:left w:val="single" w:color="auto" w:sz="4" w:space="0"/>
              <w:bottom w:val="single" w:color="auto" w:sz="4" w:space="0"/>
              <w:right w:val="single" w:color="auto" w:sz="4" w:space="0"/>
            </w:tcBorders>
            <w:vAlign w:val="center"/>
          </w:tcPr>
          <w:p w14:paraId="19683B1B">
            <w:pPr>
              <w:pStyle w:val="40"/>
              <w:jc w:val="center"/>
              <w:rPr>
                <w:rFonts w:ascii="Times New Roman" w:hAnsi="Times New Roman" w:cs="Times New Roman"/>
                <w:color w:val="000000" w:themeColor="text1"/>
              </w:rPr>
            </w:pPr>
            <w:r>
              <w:rPr>
                <w:rFonts w:ascii="Times New Roman" w:hAnsi="Times New Roman" w:cs="Times New Roman"/>
                <w:color w:val="000000" w:themeColor="text1"/>
              </w:rPr>
              <w:t>86790</w:t>
            </w:r>
          </w:p>
        </w:tc>
        <w:tc>
          <w:tcPr>
            <w:tcW w:w="453" w:type="pct"/>
            <w:tcBorders>
              <w:top w:val="single" w:color="auto" w:sz="4" w:space="0"/>
              <w:left w:val="single" w:color="auto" w:sz="4" w:space="0"/>
              <w:bottom w:val="single" w:color="auto" w:sz="4" w:space="0"/>
              <w:right w:val="single" w:color="auto" w:sz="4" w:space="0"/>
            </w:tcBorders>
            <w:vAlign w:val="center"/>
          </w:tcPr>
          <w:p w14:paraId="73AFD716">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eastAsia="zh-CN"/>
              </w:rPr>
              <w:t>/</w:t>
            </w:r>
          </w:p>
        </w:tc>
        <w:tc>
          <w:tcPr>
            <w:tcW w:w="690" w:type="pct"/>
            <w:tcBorders>
              <w:top w:val="single" w:color="auto" w:sz="4" w:space="0"/>
              <w:left w:val="single" w:color="auto" w:sz="4" w:space="0"/>
              <w:bottom w:val="single" w:color="auto" w:sz="4" w:space="0"/>
              <w:right w:val="single" w:color="auto" w:sz="4" w:space="0"/>
            </w:tcBorders>
            <w:vAlign w:val="center"/>
          </w:tcPr>
          <w:p w14:paraId="2B9CA183">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所在区县人民政府/管委会</w:t>
            </w:r>
          </w:p>
        </w:tc>
        <w:tc>
          <w:tcPr>
            <w:tcW w:w="285" w:type="pct"/>
            <w:tcBorders>
              <w:top w:val="single" w:color="auto" w:sz="4" w:space="0"/>
              <w:left w:val="single" w:color="auto" w:sz="4" w:space="0"/>
              <w:bottom w:val="single" w:color="auto" w:sz="4" w:space="0"/>
              <w:right w:val="single" w:color="auto" w:sz="4" w:space="0"/>
            </w:tcBorders>
            <w:vAlign w:val="center"/>
          </w:tcPr>
          <w:p w14:paraId="419BA415">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在建</w:t>
            </w:r>
          </w:p>
        </w:tc>
      </w:tr>
      <w:tr w14:paraId="56E359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22" w:hRule="atLeast"/>
        </w:trPr>
        <w:tc>
          <w:tcPr>
            <w:tcW w:w="217" w:type="pct"/>
            <w:tcBorders>
              <w:top w:val="single" w:color="auto" w:sz="4" w:space="0"/>
              <w:left w:val="single" w:color="auto" w:sz="4" w:space="0"/>
              <w:bottom w:val="single" w:color="auto" w:sz="4" w:space="0"/>
              <w:right w:val="single" w:color="auto" w:sz="4" w:space="0"/>
            </w:tcBorders>
            <w:vAlign w:val="center"/>
          </w:tcPr>
          <w:p w14:paraId="645F0F85">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val="en-US" w:eastAsia="zh-CN"/>
              </w:rPr>
              <w:t>19</w:t>
            </w:r>
          </w:p>
        </w:tc>
        <w:tc>
          <w:tcPr>
            <w:tcW w:w="310" w:type="pct"/>
            <w:vMerge w:val="continue"/>
            <w:tcBorders>
              <w:left w:val="single" w:color="auto" w:sz="4" w:space="0"/>
              <w:right w:val="single" w:color="auto" w:sz="4" w:space="0"/>
            </w:tcBorders>
            <w:vAlign w:val="center"/>
          </w:tcPr>
          <w:p w14:paraId="59CC3E32">
            <w:pPr>
              <w:pStyle w:val="40"/>
              <w:jc w:val="center"/>
              <w:rPr>
                <w:rFonts w:ascii="Times New Roman" w:hAnsi="Times New Roman" w:cs="Times New Roman"/>
                <w:color w:val="000000" w:themeColor="text1"/>
              </w:rPr>
            </w:pPr>
          </w:p>
        </w:tc>
        <w:tc>
          <w:tcPr>
            <w:tcW w:w="281" w:type="pct"/>
            <w:tcBorders>
              <w:top w:val="single" w:color="auto" w:sz="4" w:space="0"/>
              <w:left w:val="single" w:color="auto" w:sz="4" w:space="0"/>
              <w:bottom w:val="single" w:color="auto" w:sz="4" w:space="0"/>
              <w:right w:val="single" w:color="auto" w:sz="4" w:space="0"/>
            </w:tcBorders>
            <w:vAlign w:val="center"/>
          </w:tcPr>
          <w:p w14:paraId="4C24FBE9">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节水灌溉建设工程</w:t>
            </w:r>
          </w:p>
        </w:tc>
        <w:tc>
          <w:tcPr>
            <w:tcW w:w="377" w:type="pct"/>
            <w:tcBorders>
              <w:top w:val="single" w:color="auto" w:sz="4" w:space="0"/>
              <w:left w:val="single" w:color="auto" w:sz="4" w:space="0"/>
              <w:bottom w:val="single" w:color="auto" w:sz="4" w:space="0"/>
              <w:right w:val="single" w:color="auto" w:sz="4" w:space="0"/>
            </w:tcBorders>
            <w:vAlign w:val="center"/>
          </w:tcPr>
          <w:p w14:paraId="12346AD9">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阳江市高效节水灌溉建设工程</w:t>
            </w:r>
          </w:p>
        </w:tc>
        <w:tc>
          <w:tcPr>
            <w:tcW w:w="521" w:type="pct"/>
            <w:tcBorders>
              <w:top w:val="single" w:color="auto" w:sz="4" w:space="0"/>
              <w:left w:val="single" w:color="auto" w:sz="4" w:space="0"/>
              <w:bottom w:val="single" w:color="auto" w:sz="4" w:space="0"/>
              <w:right w:val="single" w:color="auto" w:sz="4" w:space="0"/>
            </w:tcBorders>
            <w:vAlign w:val="center"/>
          </w:tcPr>
          <w:p w14:paraId="439A6329">
            <w:pPr>
              <w:pStyle w:val="40"/>
              <w:jc w:val="center"/>
              <w:rPr>
                <w:rFonts w:ascii="Times New Roman" w:hAnsi="Times New Roman" w:cs="Times New Roman"/>
                <w:color w:val="000000" w:themeColor="text1"/>
              </w:rPr>
            </w:pPr>
            <w:r>
              <w:rPr>
                <w:rFonts w:ascii="Times New Roman" w:hAnsi="Times New Roman" w:cs="Times New Roman"/>
                <w:color w:val="000000" w:themeColor="text1"/>
              </w:rPr>
              <w:t>阳江市</w:t>
            </w:r>
          </w:p>
        </w:tc>
        <w:tc>
          <w:tcPr>
            <w:tcW w:w="1139" w:type="pct"/>
            <w:tcBorders>
              <w:top w:val="single" w:color="auto" w:sz="4" w:space="0"/>
              <w:left w:val="single" w:color="auto" w:sz="4" w:space="0"/>
              <w:bottom w:val="single" w:color="auto" w:sz="4" w:space="0"/>
              <w:right w:val="single" w:color="auto" w:sz="4" w:space="0"/>
            </w:tcBorders>
            <w:vAlign w:val="center"/>
          </w:tcPr>
          <w:p w14:paraId="4F93F74E">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推广喷灌、微灌、滴灌、管道输水等高效节水灌溉技术，提高农田灌溉水的有效利用率，减少农业用水总量，提升农作物产量和品质。</w:t>
            </w:r>
          </w:p>
        </w:tc>
        <w:tc>
          <w:tcPr>
            <w:tcW w:w="328" w:type="pct"/>
            <w:tcBorders>
              <w:top w:val="single" w:color="auto" w:sz="4" w:space="0"/>
              <w:left w:val="single" w:color="auto" w:sz="4" w:space="0"/>
              <w:bottom w:val="single" w:color="auto" w:sz="4" w:space="0"/>
              <w:right w:val="single" w:color="auto" w:sz="4" w:space="0"/>
            </w:tcBorders>
            <w:vAlign w:val="center"/>
          </w:tcPr>
          <w:p w14:paraId="01F96838">
            <w:pPr>
              <w:pStyle w:val="40"/>
              <w:jc w:val="center"/>
              <w:rPr>
                <w:rFonts w:ascii="Times New Roman" w:hAnsi="Times New Roman" w:cs="Times New Roman"/>
                <w:color w:val="000000" w:themeColor="text1"/>
              </w:rPr>
            </w:pPr>
            <w:r>
              <w:rPr>
                <w:rFonts w:ascii="Times New Roman" w:hAnsi="Times New Roman" w:cs="Times New Roman"/>
                <w:color w:val="000000" w:themeColor="text1"/>
              </w:rPr>
              <w:t>2021-2030</w:t>
            </w:r>
          </w:p>
        </w:tc>
        <w:tc>
          <w:tcPr>
            <w:tcW w:w="399" w:type="pct"/>
            <w:tcBorders>
              <w:top w:val="single" w:color="auto" w:sz="4" w:space="0"/>
              <w:left w:val="single" w:color="auto" w:sz="4" w:space="0"/>
              <w:bottom w:val="single" w:color="auto" w:sz="4" w:space="0"/>
              <w:right w:val="single" w:color="auto" w:sz="4" w:space="0"/>
            </w:tcBorders>
            <w:vAlign w:val="center"/>
          </w:tcPr>
          <w:p w14:paraId="329B19CD">
            <w:pPr>
              <w:pStyle w:val="40"/>
              <w:jc w:val="center"/>
              <w:rPr>
                <w:rFonts w:ascii="Times New Roman" w:hAnsi="Times New Roman" w:cs="Times New Roman"/>
                <w:color w:val="000000" w:themeColor="text1"/>
              </w:rPr>
            </w:pPr>
            <w:r>
              <w:rPr>
                <w:rFonts w:ascii="Times New Roman" w:hAnsi="Times New Roman" w:cs="Times New Roman"/>
                <w:color w:val="000000" w:themeColor="text1"/>
              </w:rPr>
              <w:t>1650</w:t>
            </w:r>
          </w:p>
        </w:tc>
        <w:tc>
          <w:tcPr>
            <w:tcW w:w="453" w:type="pct"/>
            <w:tcBorders>
              <w:top w:val="single" w:color="auto" w:sz="4" w:space="0"/>
              <w:left w:val="single" w:color="auto" w:sz="4" w:space="0"/>
              <w:bottom w:val="single" w:color="auto" w:sz="4" w:space="0"/>
              <w:right w:val="single" w:color="auto" w:sz="4" w:space="0"/>
            </w:tcBorders>
            <w:vAlign w:val="center"/>
          </w:tcPr>
          <w:p w14:paraId="295ED8B0">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eastAsia="zh-CN"/>
              </w:rPr>
              <w:t>新增高效节水灌溉面积3.3万亩</w:t>
            </w:r>
          </w:p>
        </w:tc>
        <w:tc>
          <w:tcPr>
            <w:tcW w:w="690" w:type="pct"/>
            <w:tcBorders>
              <w:top w:val="single" w:color="auto" w:sz="4" w:space="0"/>
              <w:left w:val="single" w:color="auto" w:sz="4" w:space="0"/>
              <w:bottom w:val="single" w:color="auto" w:sz="4" w:space="0"/>
              <w:right w:val="single" w:color="auto" w:sz="4" w:space="0"/>
            </w:tcBorders>
            <w:vAlign w:val="center"/>
          </w:tcPr>
          <w:p w14:paraId="23F8F30E">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所在区县人民政府/管委会</w:t>
            </w:r>
          </w:p>
        </w:tc>
        <w:tc>
          <w:tcPr>
            <w:tcW w:w="285" w:type="pct"/>
            <w:tcBorders>
              <w:top w:val="single" w:color="auto" w:sz="4" w:space="0"/>
              <w:left w:val="single" w:color="auto" w:sz="4" w:space="0"/>
              <w:bottom w:val="single" w:color="auto" w:sz="4" w:space="0"/>
              <w:right w:val="single" w:color="auto" w:sz="4" w:space="0"/>
            </w:tcBorders>
            <w:vAlign w:val="center"/>
          </w:tcPr>
          <w:p w14:paraId="571DCFA9">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在建</w:t>
            </w:r>
          </w:p>
        </w:tc>
      </w:tr>
      <w:tr w14:paraId="421BB0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22" w:hRule="atLeast"/>
        </w:trPr>
        <w:tc>
          <w:tcPr>
            <w:tcW w:w="217" w:type="pct"/>
            <w:tcBorders>
              <w:top w:val="single" w:color="auto" w:sz="4" w:space="0"/>
              <w:left w:val="single" w:color="auto" w:sz="4" w:space="0"/>
              <w:bottom w:val="single" w:color="auto" w:sz="4" w:space="0"/>
              <w:right w:val="single" w:color="auto" w:sz="4" w:space="0"/>
            </w:tcBorders>
            <w:vAlign w:val="center"/>
          </w:tcPr>
          <w:p w14:paraId="1D81265E">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val="en-US" w:eastAsia="zh-CN"/>
              </w:rPr>
              <w:t>20</w:t>
            </w:r>
          </w:p>
        </w:tc>
        <w:tc>
          <w:tcPr>
            <w:tcW w:w="310" w:type="pct"/>
            <w:vMerge w:val="continue"/>
            <w:tcBorders>
              <w:left w:val="single" w:color="auto" w:sz="4" w:space="0"/>
              <w:right w:val="single" w:color="auto" w:sz="4" w:space="0"/>
            </w:tcBorders>
            <w:vAlign w:val="center"/>
          </w:tcPr>
          <w:p w14:paraId="2928BDE3">
            <w:pPr>
              <w:pStyle w:val="40"/>
              <w:jc w:val="center"/>
              <w:rPr>
                <w:rFonts w:ascii="Times New Roman" w:hAnsi="Times New Roman" w:cs="Times New Roman"/>
                <w:color w:val="000000" w:themeColor="text1"/>
              </w:rPr>
            </w:pPr>
          </w:p>
        </w:tc>
        <w:tc>
          <w:tcPr>
            <w:tcW w:w="281" w:type="pct"/>
            <w:vMerge w:val="restart"/>
            <w:tcBorders>
              <w:top w:val="single" w:color="auto" w:sz="4" w:space="0"/>
              <w:left w:val="single" w:color="auto" w:sz="4" w:space="0"/>
              <w:right w:val="single" w:color="auto" w:sz="4" w:space="0"/>
            </w:tcBorders>
            <w:vAlign w:val="center"/>
          </w:tcPr>
          <w:p w14:paraId="39360E35">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乡村人居环境整治工程</w:t>
            </w:r>
          </w:p>
        </w:tc>
        <w:tc>
          <w:tcPr>
            <w:tcW w:w="377" w:type="pct"/>
            <w:tcBorders>
              <w:top w:val="single" w:color="auto" w:sz="4" w:space="0"/>
              <w:left w:val="single" w:color="auto" w:sz="4" w:space="0"/>
              <w:bottom w:val="single" w:color="auto" w:sz="4" w:space="0"/>
              <w:right w:val="single" w:color="auto" w:sz="4" w:space="0"/>
            </w:tcBorders>
            <w:vAlign w:val="center"/>
          </w:tcPr>
          <w:p w14:paraId="618A7A94">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阳江滨海新区（阳江高新区）全域推进农村人居环境整治项目</w:t>
            </w:r>
          </w:p>
        </w:tc>
        <w:tc>
          <w:tcPr>
            <w:tcW w:w="521" w:type="pct"/>
            <w:tcBorders>
              <w:top w:val="single" w:color="auto" w:sz="4" w:space="0"/>
              <w:left w:val="single" w:color="auto" w:sz="4" w:space="0"/>
              <w:bottom w:val="single" w:color="auto" w:sz="4" w:space="0"/>
              <w:right w:val="single" w:color="auto" w:sz="4" w:space="0"/>
            </w:tcBorders>
            <w:vAlign w:val="center"/>
          </w:tcPr>
          <w:p w14:paraId="1CF81A19">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阳江滨海新区（阳江高新区）</w:t>
            </w:r>
          </w:p>
        </w:tc>
        <w:tc>
          <w:tcPr>
            <w:tcW w:w="1139" w:type="pct"/>
            <w:tcBorders>
              <w:top w:val="single" w:color="auto" w:sz="4" w:space="0"/>
              <w:left w:val="single" w:color="auto" w:sz="4" w:space="0"/>
              <w:bottom w:val="single" w:color="auto" w:sz="4" w:space="0"/>
              <w:right w:val="single" w:color="auto" w:sz="4" w:space="0"/>
            </w:tcBorders>
            <w:vAlign w:val="center"/>
          </w:tcPr>
          <w:p w14:paraId="703B88E5">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建设全区22条行政村的污水处理、巷道硬化、公厕等农村人居环境整治项目，补齐农村基础设施短板，全域推进农村人居环境整治建设生态宜居美丽乡村。</w:t>
            </w:r>
          </w:p>
        </w:tc>
        <w:tc>
          <w:tcPr>
            <w:tcW w:w="328" w:type="pct"/>
            <w:tcBorders>
              <w:top w:val="single" w:color="auto" w:sz="4" w:space="0"/>
              <w:left w:val="single" w:color="auto" w:sz="4" w:space="0"/>
              <w:bottom w:val="single" w:color="auto" w:sz="4" w:space="0"/>
              <w:right w:val="single" w:color="auto" w:sz="4" w:space="0"/>
            </w:tcBorders>
            <w:vAlign w:val="center"/>
          </w:tcPr>
          <w:p w14:paraId="618AA6B3">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2021-2025</w:t>
            </w:r>
          </w:p>
        </w:tc>
        <w:tc>
          <w:tcPr>
            <w:tcW w:w="399" w:type="pct"/>
            <w:tcBorders>
              <w:top w:val="single" w:color="auto" w:sz="4" w:space="0"/>
              <w:left w:val="single" w:color="auto" w:sz="4" w:space="0"/>
              <w:bottom w:val="single" w:color="auto" w:sz="4" w:space="0"/>
              <w:right w:val="single" w:color="auto" w:sz="4" w:space="0"/>
            </w:tcBorders>
            <w:vAlign w:val="center"/>
          </w:tcPr>
          <w:p w14:paraId="3DE0B796">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22000</w:t>
            </w:r>
          </w:p>
        </w:tc>
        <w:tc>
          <w:tcPr>
            <w:tcW w:w="453" w:type="pct"/>
            <w:tcBorders>
              <w:top w:val="single" w:color="auto" w:sz="4" w:space="0"/>
              <w:left w:val="single" w:color="auto" w:sz="4" w:space="0"/>
              <w:bottom w:val="single" w:color="auto" w:sz="4" w:space="0"/>
              <w:right w:val="single" w:color="auto" w:sz="4" w:space="0"/>
            </w:tcBorders>
            <w:vAlign w:val="center"/>
          </w:tcPr>
          <w:p w14:paraId="75213FCE">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eastAsia="zh-CN"/>
              </w:rPr>
              <w:t>/</w:t>
            </w:r>
          </w:p>
        </w:tc>
        <w:tc>
          <w:tcPr>
            <w:tcW w:w="690" w:type="pct"/>
            <w:tcBorders>
              <w:top w:val="single" w:color="auto" w:sz="4" w:space="0"/>
              <w:left w:val="single" w:color="auto" w:sz="4" w:space="0"/>
              <w:bottom w:val="single" w:color="auto" w:sz="4" w:space="0"/>
              <w:right w:val="single" w:color="auto" w:sz="4" w:space="0"/>
            </w:tcBorders>
            <w:vAlign w:val="center"/>
          </w:tcPr>
          <w:p w14:paraId="11D93B6D">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阳江市高新区管委会</w:t>
            </w:r>
          </w:p>
        </w:tc>
        <w:tc>
          <w:tcPr>
            <w:tcW w:w="285" w:type="pct"/>
            <w:tcBorders>
              <w:top w:val="single" w:color="auto" w:sz="4" w:space="0"/>
              <w:left w:val="single" w:color="auto" w:sz="4" w:space="0"/>
              <w:bottom w:val="single" w:color="auto" w:sz="4" w:space="0"/>
              <w:right w:val="single" w:color="auto" w:sz="4" w:space="0"/>
            </w:tcBorders>
            <w:vAlign w:val="center"/>
          </w:tcPr>
          <w:p w14:paraId="0539907E">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在建</w:t>
            </w:r>
          </w:p>
        </w:tc>
      </w:tr>
      <w:tr w14:paraId="521300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22" w:hRule="atLeast"/>
        </w:trPr>
        <w:tc>
          <w:tcPr>
            <w:tcW w:w="217" w:type="pct"/>
            <w:tcBorders>
              <w:top w:val="single" w:color="auto" w:sz="4" w:space="0"/>
              <w:left w:val="single" w:color="auto" w:sz="4" w:space="0"/>
              <w:bottom w:val="single" w:color="auto" w:sz="4" w:space="0"/>
              <w:right w:val="single" w:color="auto" w:sz="4" w:space="0"/>
            </w:tcBorders>
            <w:vAlign w:val="center"/>
          </w:tcPr>
          <w:p w14:paraId="006A20BA">
            <w:pPr>
              <w:pStyle w:val="40"/>
              <w:jc w:val="center"/>
              <w:rPr>
                <w:rFonts w:ascii="Times New Roman" w:hAnsi="Times New Roman" w:cs="Times New Roman"/>
                <w:color w:val="000000" w:themeColor="text1"/>
                <w:lang w:val="en-US" w:eastAsia="zh-CN"/>
              </w:rPr>
            </w:pPr>
            <w:r>
              <w:rPr>
                <w:rFonts w:hint="eastAsia" w:ascii="Times New Roman" w:hAnsi="Times New Roman" w:cs="Times New Roman"/>
                <w:color w:val="000000" w:themeColor="text1"/>
                <w:lang w:val="en-US" w:eastAsia="zh-CN"/>
              </w:rPr>
              <w:t>21</w:t>
            </w:r>
          </w:p>
        </w:tc>
        <w:tc>
          <w:tcPr>
            <w:tcW w:w="310" w:type="pct"/>
            <w:vMerge w:val="continue"/>
            <w:tcBorders>
              <w:left w:val="single" w:color="auto" w:sz="4" w:space="0"/>
              <w:bottom w:val="single" w:color="auto" w:sz="4" w:space="0"/>
              <w:right w:val="single" w:color="auto" w:sz="4" w:space="0"/>
            </w:tcBorders>
            <w:vAlign w:val="center"/>
          </w:tcPr>
          <w:p w14:paraId="1FAB6BC5">
            <w:pPr>
              <w:pStyle w:val="40"/>
              <w:jc w:val="center"/>
              <w:rPr>
                <w:rFonts w:ascii="Times New Roman" w:hAnsi="Times New Roman" w:cs="Times New Roman"/>
                <w:color w:val="000000" w:themeColor="text1"/>
              </w:rPr>
            </w:pPr>
          </w:p>
        </w:tc>
        <w:tc>
          <w:tcPr>
            <w:tcW w:w="281" w:type="pct"/>
            <w:vMerge w:val="continue"/>
            <w:tcBorders>
              <w:left w:val="single" w:color="auto" w:sz="4" w:space="0"/>
              <w:bottom w:val="single" w:color="auto" w:sz="4" w:space="0"/>
              <w:right w:val="single" w:color="auto" w:sz="4" w:space="0"/>
            </w:tcBorders>
            <w:vAlign w:val="center"/>
          </w:tcPr>
          <w:p w14:paraId="0DA7EC4B">
            <w:pPr>
              <w:pStyle w:val="40"/>
              <w:jc w:val="center"/>
              <w:rPr>
                <w:rFonts w:ascii="Times New Roman" w:hAnsi="Times New Roman" w:cs="Times New Roman"/>
                <w:color w:val="000000" w:themeColor="text1"/>
                <w:lang w:eastAsia="zh-CN"/>
              </w:rPr>
            </w:pPr>
          </w:p>
        </w:tc>
        <w:tc>
          <w:tcPr>
            <w:tcW w:w="377" w:type="pct"/>
            <w:tcBorders>
              <w:top w:val="single" w:color="auto" w:sz="4" w:space="0"/>
              <w:left w:val="single" w:color="auto" w:sz="4" w:space="0"/>
              <w:bottom w:val="single" w:color="auto" w:sz="4" w:space="0"/>
              <w:right w:val="single" w:color="auto" w:sz="4" w:space="0"/>
            </w:tcBorders>
            <w:vAlign w:val="center"/>
          </w:tcPr>
          <w:p w14:paraId="04D2EA99">
            <w:pPr>
              <w:pStyle w:val="40"/>
              <w:jc w:val="center"/>
              <w:rPr>
                <w:rFonts w:ascii="Times New Roman" w:hAnsi="Times New Roman" w:cs="Times New Roman"/>
                <w:color w:val="000000" w:themeColor="text1"/>
                <w:lang w:val="en-US" w:eastAsia="zh-CN"/>
              </w:rPr>
            </w:pPr>
            <w:r>
              <w:rPr>
                <w:rFonts w:ascii="Times New Roman" w:hAnsi="Times New Roman" w:cs="Times New Roman"/>
                <w:color w:val="000000" w:themeColor="text1"/>
                <w:lang w:eastAsia="zh-CN"/>
              </w:rPr>
              <w:t>阳西县新农村建设项目</w:t>
            </w:r>
          </w:p>
        </w:tc>
        <w:tc>
          <w:tcPr>
            <w:tcW w:w="521" w:type="pct"/>
            <w:tcBorders>
              <w:top w:val="single" w:color="auto" w:sz="4" w:space="0"/>
              <w:left w:val="single" w:color="auto" w:sz="4" w:space="0"/>
              <w:bottom w:val="single" w:color="auto" w:sz="4" w:space="0"/>
              <w:right w:val="single" w:color="auto" w:sz="4" w:space="0"/>
            </w:tcBorders>
            <w:vAlign w:val="center"/>
          </w:tcPr>
          <w:p w14:paraId="49171C92">
            <w:pPr>
              <w:pStyle w:val="40"/>
              <w:jc w:val="center"/>
              <w:rPr>
                <w:rFonts w:ascii="Times New Roman" w:hAnsi="Times New Roman" w:cs="Times New Roman"/>
                <w:color w:val="000000" w:themeColor="text1"/>
                <w:lang w:val="en-US" w:eastAsia="zh-CN"/>
              </w:rPr>
            </w:pPr>
            <w:r>
              <w:rPr>
                <w:rFonts w:ascii="Times New Roman" w:hAnsi="Times New Roman" w:cs="Times New Roman"/>
                <w:color w:val="000000" w:themeColor="text1"/>
                <w:lang w:eastAsia="zh-CN"/>
              </w:rPr>
              <w:t>阳西县</w:t>
            </w:r>
          </w:p>
        </w:tc>
        <w:tc>
          <w:tcPr>
            <w:tcW w:w="1139" w:type="pct"/>
            <w:tcBorders>
              <w:top w:val="single" w:color="auto" w:sz="4" w:space="0"/>
              <w:left w:val="single" w:color="auto" w:sz="4" w:space="0"/>
              <w:bottom w:val="single" w:color="auto" w:sz="4" w:space="0"/>
              <w:right w:val="single" w:color="auto" w:sz="4" w:space="0"/>
            </w:tcBorders>
            <w:vAlign w:val="center"/>
          </w:tcPr>
          <w:p w14:paraId="30A2A6B8">
            <w:pPr>
              <w:pStyle w:val="40"/>
              <w:rPr>
                <w:rFonts w:ascii="Times New Roman" w:hAnsi="Times New Roman" w:cs="Times New Roman"/>
                <w:color w:val="000000" w:themeColor="text1"/>
                <w:lang w:val="en-US" w:eastAsia="zh-CN"/>
              </w:rPr>
            </w:pPr>
            <w:r>
              <w:rPr>
                <w:rFonts w:ascii="Times New Roman" w:hAnsi="Times New Roman" w:cs="Times New Roman"/>
                <w:color w:val="000000" w:themeColor="text1"/>
                <w:lang w:eastAsia="zh-CN"/>
              </w:rPr>
              <w:t>推进村庄道路硬化、集中供水、污水处理、垃圾处理、公厕等基础设施建设，建设村庄绿化美化，提升村容村貌</w:t>
            </w:r>
          </w:p>
        </w:tc>
        <w:tc>
          <w:tcPr>
            <w:tcW w:w="328" w:type="pct"/>
            <w:tcBorders>
              <w:top w:val="single" w:color="auto" w:sz="4" w:space="0"/>
              <w:left w:val="single" w:color="auto" w:sz="4" w:space="0"/>
              <w:bottom w:val="single" w:color="auto" w:sz="4" w:space="0"/>
              <w:right w:val="single" w:color="auto" w:sz="4" w:space="0"/>
            </w:tcBorders>
            <w:vAlign w:val="center"/>
          </w:tcPr>
          <w:p w14:paraId="36687276">
            <w:pPr>
              <w:pStyle w:val="40"/>
              <w:jc w:val="center"/>
              <w:rPr>
                <w:rFonts w:ascii="Times New Roman" w:hAnsi="Times New Roman" w:cs="Times New Roman"/>
                <w:color w:val="000000" w:themeColor="text1"/>
                <w:lang w:val="en-US" w:eastAsia="zh-CN"/>
              </w:rPr>
            </w:pPr>
            <w:r>
              <w:rPr>
                <w:rFonts w:ascii="Times New Roman" w:hAnsi="Times New Roman" w:cs="Times New Roman"/>
                <w:color w:val="000000" w:themeColor="text1"/>
                <w:lang w:eastAsia="zh-CN"/>
              </w:rPr>
              <w:t>2021-2025</w:t>
            </w:r>
          </w:p>
        </w:tc>
        <w:tc>
          <w:tcPr>
            <w:tcW w:w="399" w:type="pct"/>
            <w:tcBorders>
              <w:top w:val="single" w:color="auto" w:sz="4" w:space="0"/>
              <w:left w:val="single" w:color="auto" w:sz="4" w:space="0"/>
              <w:bottom w:val="single" w:color="auto" w:sz="4" w:space="0"/>
              <w:right w:val="single" w:color="auto" w:sz="4" w:space="0"/>
            </w:tcBorders>
            <w:vAlign w:val="center"/>
          </w:tcPr>
          <w:p w14:paraId="6879FC50">
            <w:pPr>
              <w:pStyle w:val="40"/>
              <w:jc w:val="center"/>
              <w:rPr>
                <w:rFonts w:ascii="Times New Roman" w:hAnsi="Times New Roman" w:cs="Times New Roman"/>
                <w:color w:val="000000" w:themeColor="text1"/>
                <w:lang w:val="en-US" w:eastAsia="zh-CN"/>
              </w:rPr>
            </w:pPr>
            <w:r>
              <w:rPr>
                <w:rFonts w:ascii="Times New Roman" w:hAnsi="Times New Roman" w:cs="Times New Roman"/>
                <w:color w:val="000000" w:themeColor="text1"/>
                <w:lang w:val="en-US" w:eastAsia="zh-CN"/>
              </w:rPr>
              <w:t>60000</w:t>
            </w:r>
          </w:p>
        </w:tc>
        <w:tc>
          <w:tcPr>
            <w:tcW w:w="453" w:type="pct"/>
            <w:tcBorders>
              <w:top w:val="single" w:color="auto" w:sz="4" w:space="0"/>
              <w:left w:val="single" w:color="auto" w:sz="4" w:space="0"/>
              <w:bottom w:val="single" w:color="auto" w:sz="4" w:space="0"/>
              <w:right w:val="single" w:color="auto" w:sz="4" w:space="0"/>
            </w:tcBorders>
            <w:vAlign w:val="center"/>
          </w:tcPr>
          <w:p w14:paraId="161BFFC9">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eastAsia="zh-CN"/>
              </w:rPr>
              <w:t>/</w:t>
            </w:r>
          </w:p>
        </w:tc>
        <w:tc>
          <w:tcPr>
            <w:tcW w:w="690" w:type="pct"/>
            <w:tcBorders>
              <w:top w:val="single" w:color="auto" w:sz="4" w:space="0"/>
              <w:left w:val="single" w:color="auto" w:sz="4" w:space="0"/>
              <w:bottom w:val="single" w:color="auto" w:sz="4" w:space="0"/>
              <w:right w:val="single" w:color="auto" w:sz="4" w:space="0"/>
            </w:tcBorders>
            <w:vAlign w:val="center"/>
          </w:tcPr>
          <w:p w14:paraId="068E1708">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阳西县人民政府</w:t>
            </w:r>
          </w:p>
        </w:tc>
        <w:tc>
          <w:tcPr>
            <w:tcW w:w="285" w:type="pct"/>
            <w:tcBorders>
              <w:top w:val="single" w:color="auto" w:sz="4" w:space="0"/>
              <w:left w:val="single" w:color="auto" w:sz="4" w:space="0"/>
              <w:bottom w:val="single" w:color="auto" w:sz="4" w:space="0"/>
              <w:right w:val="single" w:color="auto" w:sz="4" w:space="0"/>
            </w:tcBorders>
            <w:vAlign w:val="center"/>
          </w:tcPr>
          <w:p w14:paraId="10F8BDFC">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在建</w:t>
            </w:r>
          </w:p>
        </w:tc>
      </w:tr>
      <w:tr w14:paraId="612DAB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1" w:hRule="atLeast"/>
        </w:trPr>
        <w:tc>
          <w:tcPr>
            <w:tcW w:w="217" w:type="pct"/>
            <w:tcBorders>
              <w:top w:val="single" w:color="auto" w:sz="4" w:space="0"/>
              <w:left w:val="single" w:color="auto" w:sz="4" w:space="0"/>
              <w:bottom w:val="single" w:color="auto" w:sz="4" w:space="0"/>
              <w:right w:val="single" w:color="auto" w:sz="4" w:space="0"/>
            </w:tcBorders>
            <w:vAlign w:val="center"/>
          </w:tcPr>
          <w:p w14:paraId="44D78C35">
            <w:pPr>
              <w:pStyle w:val="40"/>
              <w:jc w:val="center"/>
              <w:rPr>
                <w:rFonts w:ascii="Times New Roman" w:hAnsi="Times New Roman" w:cs="Times New Roman"/>
                <w:color w:val="000000" w:themeColor="text1"/>
                <w:lang w:val="en-US" w:eastAsia="zh-CN"/>
              </w:rPr>
            </w:pPr>
            <w:r>
              <w:rPr>
                <w:rFonts w:hint="eastAsia" w:ascii="Times New Roman" w:hAnsi="Times New Roman" w:cs="Times New Roman"/>
                <w:color w:val="000000" w:themeColor="text1"/>
                <w:lang w:val="en-US" w:eastAsia="zh-CN"/>
              </w:rPr>
              <w:t>22</w:t>
            </w:r>
          </w:p>
        </w:tc>
        <w:tc>
          <w:tcPr>
            <w:tcW w:w="310" w:type="pct"/>
            <w:vMerge w:val="restart"/>
            <w:tcBorders>
              <w:top w:val="single" w:color="auto" w:sz="4" w:space="0"/>
              <w:left w:val="single" w:color="auto" w:sz="4" w:space="0"/>
              <w:right w:val="single" w:color="auto" w:sz="4" w:space="0"/>
            </w:tcBorders>
            <w:vAlign w:val="center"/>
          </w:tcPr>
          <w:p w14:paraId="0351B44B">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eastAsia="zh-CN"/>
              </w:rPr>
              <w:t>江河流域</w:t>
            </w:r>
            <w:r>
              <w:rPr>
                <w:rFonts w:ascii="Times New Roman" w:hAnsi="Times New Roman" w:cs="Times New Roman"/>
                <w:color w:val="000000" w:themeColor="text1"/>
                <w:lang w:eastAsia="zh-CN"/>
              </w:rPr>
              <w:t>生态保护修复工程</w:t>
            </w:r>
          </w:p>
        </w:tc>
        <w:tc>
          <w:tcPr>
            <w:tcW w:w="281" w:type="pct"/>
            <w:vMerge w:val="restart"/>
            <w:tcBorders>
              <w:top w:val="single" w:color="auto" w:sz="4" w:space="0"/>
              <w:left w:val="single" w:color="auto" w:sz="4" w:space="0"/>
              <w:right w:val="single" w:color="auto" w:sz="4" w:space="0"/>
            </w:tcBorders>
            <w:vAlign w:val="center"/>
          </w:tcPr>
          <w:p w14:paraId="2721B19B">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漠阳江出海口综合整治工程</w:t>
            </w:r>
          </w:p>
        </w:tc>
        <w:tc>
          <w:tcPr>
            <w:tcW w:w="377" w:type="pct"/>
            <w:tcBorders>
              <w:top w:val="single" w:color="auto" w:sz="4" w:space="0"/>
              <w:left w:val="single" w:color="auto" w:sz="4" w:space="0"/>
              <w:bottom w:val="single" w:color="auto" w:sz="4" w:space="0"/>
              <w:right w:val="single" w:color="auto" w:sz="4" w:space="0"/>
            </w:tcBorders>
            <w:vAlign w:val="center"/>
          </w:tcPr>
          <w:p w14:paraId="11EA643B">
            <w:pPr>
              <w:pStyle w:val="40"/>
              <w:rPr>
                <w:rFonts w:hAnsi="Times New Roman" w:cs="Times New Roman"/>
                <w:color w:val="000000" w:themeColor="text1"/>
                <w:lang w:eastAsia="zh-CN"/>
              </w:rPr>
            </w:pPr>
            <w:r>
              <w:rPr>
                <w:rFonts w:hint="eastAsia" w:hAnsi="Times New Roman" w:cs="Times New Roman"/>
                <w:color w:val="000000" w:themeColor="text1"/>
                <w:lang w:eastAsia="zh-CN"/>
              </w:rPr>
              <w:t>漠阳江出海口综合整治工程(新洲控导工程)</w:t>
            </w:r>
          </w:p>
        </w:tc>
        <w:tc>
          <w:tcPr>
            <w:tcW w:w="521" w:type="pct"/>
            <w:tcBorders>
              <w:top w:val="single" w:color="auto" w:sz="4" w:space="0"/>
              <w:left w:val="single" w:color="auto" w:sz="4" w:space="0"/>
              <w:bottom w:val="single" w:color="auto" w:sz="4" w:space="0"/>
              <w:right w:val="single" w:color="auto" w:sz="4" w:space="0"/>
            </w:tcBorders>
            <w:vAlign w:val="center"/>
          </w:tcPr>
          <w:p w14:paraId="45F9F719">
            <w:pPr>
              <w:jc w:val="center"/>
              <w:rPr>
                <w:rFonts w:ascii="Times New Roman" w:hAnsi="Times New Roman" w:eastAsia="仿宋_GB2312" w:cs="Times New Roman"/>
                <w:color w:val="000000" w:themeColor="text1"/>
                <w:kern w:val="0"/>
                <w:szCs w:val="21"/>
              </w:rPr>
            </w:pPr>
            <w:r>
              <w:rPr>
                <w:rFonts w:ascii="Times New Roman" w:hAnsi="Times New Roman" w:eastAsia="仿宋_GB2312" w:cs="Times New Roman"/>
                <w:color w:val="000000" w:themeColor="text1"/>
                <w:kern w:val="0"/>
                <w:szCs w:val="21"/>
              </w:rPr>
              <w:t>阳东区</w:t>
            </w:r>
          </w:p>
        </w:tc>
        <w:tc>
          <w:tcPr>
            <w:tcW w:w="1139" w:type="pct"/>
            <w:tcBorders>
              <w:top w:val="single" w:color="auto" w:sz="4" w:space="0"/>
              <w:left w:val="single" w:color="auto" w:sz="4" w:space="0"/>
              <w:bottom w:val="single" w:color="auto" w:sz="4" w:space="0"/>
              <w:right w:val="single" w:color="auto" w:sz="4" w:space="0"/>
            </w:tcBorders>
            <w:vAlign w:val="center"/>
          </w:tcPr>
          <w:p w14:paraId="3A8D3E0F">
            <w:pPr>
              <w:rPr>
                <w:rFonts w:ascii="Times New Roman" w:hAnsi="Times New Roman" w:eastAsia="仿宋_GB2312" w:cs="Times New Roman"/>
                <w:color w:val="000000" w:themeColor="text1"/>
                <w:kern w:val="0"/>
                <w:szCs w:val="21"/>
                <w:lang w:val="zh-CN" w:bidi="zh-CN"/>
              </w:rPr>
            </w:pPr>
            <w:r>
              <w:rPr>
                <w:rFonts w:ascii="Times New Roman" w:hAnsi="Times New Roman" w:eastAsia="仿宋_GB2312" w:cs="Times New Roman"/>
                <w:color w:val="000000" w:themeColor="text1"/>
                <w:kern w:val="0"/>
                <w:szCs w:val="21"/>
                <w:lang w:val="zh-CN" w:bidi="zh-CN"/>
              </w:rPr>
              <w:t>通过抬高东支汊口两侧边滩，束窄高水位时的过流面积，降低洪水时期东支分流量，从而降低东支设计洪水位。</w:t>
            </w:r>
          </w:p>
        </w:tc>
        <w:tc>
          <w:tcPr>
            <w:tcW w:w="328" w:type="pct"/>
            <w:vMerge w:val="restart"/>
            <w:tcBorders>
              <w:top w:val="single" w:color="auto" w:sz="4" w:space="0"/>
              <w:left w:val="single" w:color="auto" w:sz="4" w:space="0"/>
              <w:bottom w:val="single" w:color="auto" w:sz="4" w:space="0"/>
              <w:right w:val="single" w:color="auto" w:sz="4" w:space="0"/>
            </w:tcBorders>
            <w:vAlign w:val="center"/>
          </w:tcPr>
          <w:p w14:paraId="03C38AFC">
            <w:pPr>
              <w:pStyle w:val="40"/>
              <w:jc w:val="center"/>
              <w:rPr>
                <w:rFonts w:ascii="Times New Roman" w:hAnsi="Times New Roman" w:cs="Times New Roman"/>
                <w:color w:val="000000" w:themeColor="text1"/>
              </w:rPr>
            </w:pPr>
            <w:r>
              <w:rPr>
                <w:rFonts w:ascii="Times New Roman" w:hAnsi="Times New Roman" w:cs="Times New Roman"/>
                <w:color w:val="000000" w:themeColor="text1"/>
              </w:rPr>
              <w:t>2024-2028</w:t>
            </w:r>
          </w:p>
        </w:tc>
        <w:tc>
          <w:tcPr>
            <w:tcW w:w="399" w:type="pct"/>
            <w:vMerge w:val="restart"/>
            <w:tcBorders>
              <w:top w:val="single" w:color="auto" w:sz="4" w:space="0"/>
              <w:left w:val="single" w:color="auto" w:sz="4" w:space="0"/>
              <w:bottom w:val="single" w:color="auto" w:sz="4" w:space="0"/>
              <w:right w:val="single" w:color="auto" w:sz="4" w:space="0"/>
            </w:tcBorders>
            <w:vAlign w:val="center"/>
          </w:tcPr>
          <w:p w14:paraId="72031124">
            <w:pPr>
              <w:pStyle w:val="40"/>
              <w:jc w:val="center"/>
              <w:rPr>
                <w:rFonts w:ascii="Times New Roman" w:hAnsi="Times New Roman" w:cs="Times New Roman"/>
                <w:color w:val="000000" w:themeColor="text1"/>
              </w:rPr>
            </w:pPr>
            <w:r>
              <w:rPr>
                <w:rFonts w:ascii="Times New Roman" w:hAnsi="Times New Roman" w:cs="Times New Roman"/>
                <w:color w:val="000000" w:themeColor="text1"/>
              </w:rPr>
              <w:t>433978</w:t>
            </w:r>
          </w:p>
        </w:tc>
        <w:tc>
          <w:tcPr>
            <w:tcW w:w="453" w:type="pct"/>
            <w:vMerge w:val="restart"/>
            <w:tcBorders>
              <w:top w:val="single" w:color="auto" w:sz="4" w:space="0"/>
              <w:left w:val="single" w:color="auto" w:sz="4" w:space="0"/>
              <w:right w:val="single" w:color="auto" w:sz="4" w:space="0"/>
            </w:tcBorders>
            <w:vAlign w:val="center"/>
          </w:tcPr>
          <w:p w14:paraId="78885729">
            <w:pPr>
              <w:pStyle w:val="40"/>
              <w:jc w:val="center"/>
              <w:rPr>
                <w:rFonts w:ascii="Times New Roman" w:hAnsi="Times New Roman" w:cs="Times New Roman"/>
                <w:color w:val="000000" w:themeColor="text1"/>
              </w:rPr>
            </w:pPr>
            <w:r>
              <w:rPr>
                <w:rFonts w:hint="eastAsia" w:ascii="Times New Roman" w:hAnsi="Times New Roman" w:cs="Times New Roman"/>
                <w:color w:val="000000" w:themeColor="text1"/>
                <w:lang w:eastAsia="zh-CN"/>
              </w:rPr>
              <w:t>约</w:t>
            </w:r>
            <w:r>
              <w:rPr>
                <w:rFonts w:ascii="Times New Roman" w:hAnsi="Times New Roman" w:cs="Times New Roman"/>
                <w:color w:val="000000" w:themeColor="text1"/>
              </w:rPr>
              <w:t>21</w:t>
            </w:r>
            <w:r>
              <w:rPr>
                <w:rFonts w:hint="eastAsia" w:ascii="Times New Roman" w:hAnsi="Times New Roman" w:cs="Times New Roman"/>
                <w:color w:val="000000" w:themeColor="text1"/>
              </w:rPr>
              <w:t>.</w:t>
            </w:r>
            <w:r>
              <w:rPr>
                <w:rFonts w:ascii="Times New Roman" w:hAnsi="Times New Roman" w:cs="Times New Roman"/>
                <w:color w:val="000000" w:themeColor="text1"/>
              </w:rPr>
              <w:t>48</w:t>
            </w:r>
            <w:r>
              <w:rPr>
                <w:rFonts w:hint="eastAsia" w:ascii="Times New Roman" w:hAnsi="Times New Roman" w:cs="Times New Roman"/>
                <w:color w:val="000000" w:themeColor="text1"/>
                <w:lang w:eastAsia="zh-CN"/>
              </w:rPr>
              <w:t>公里出海口沿线周边区域</w:t>
            </w:r>
          </w:p>
        </w:tc>
        <w:tc>
          <w:tcPr>
            <w:tcW w:w="690" w:type="pct"/>
            <w:vMerge w:val="restart"/>
            <w:tcBorders>
              <w:top w:val="single" w:color="auto" w:sz="4" w:space="0"/>
              <w:left w:val="single" w:color="auto" w:sz="4" w:space="0"/>
              <w:bottom w:val="single" w:color="auto" w:sz="4" w:space="0"/>
              <w:right w:val="single" w:color="auto" w:sz="4" w:space="0"/>
            </w:tcBorders>
            <w:vAlign w:val="center"/>
          </w:tcPr>
          <w:p w14:paraId="2E2F5B39">
            <w:pPr>
              <w:pStyle w:val="40"/>
              <w:jc w:val="center"/>
              <w:rPr>
                <w:rFonts w:ascii="Times New Roman" w:hAnsi="Times New Roman" w:cs="Times New Roman"/>
                <w:color w:val="000000" w:themeColor="text1"/>
              </w:rPr>
            </w:pPr>
            <w:r>
              <w:rPr>
                <w:rFonts w:ascii="Times New Roman" w:hAnsi="Times New Roman" w:cs="Times New Roman"/>
                <w:color w:val="000000" w:themeColor="text1"/>
              </w:rPr>
              <w:t>阳江市水务局</w:t>
            </w:r>
          </w:p>
        </w:tc>
        <w:tc>
          <w:tcPr>
            <w:tcW w:w="285" w:type="pct"/>
            <w:tcBorders>
              <w:top w:val="single" w:color="auto" w:sz="4" w:space="0"/>
              <w:left w:val="single" w:color="auto" w:sz="4" w:space="0"/>
              <w:bottom w:val="single" w:color="auto" w:sz="4" w:space="0"/>
              <w:right w:val="single" w:color="auto" w:sz="4" w:space="0"/>
            </w:tcBorders>
            <w:vAlign w:val="center"/>
          </w:tcPr>
          <w:p w14:paraId="44A594DF">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规划</w:t>
            </w:r>
          </w:p>
        </w:tc>
      </w:tr>
      <w:tr w14:paraId="01D6A7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1" w:hRule="atLeast"/>
        </w:trPr>
        <w:tc>
          <w:tcPr>
            <w:tcW w:w="217" w:type="pct"/>
            <w:tcBorders>
              <w:top w:val="single" w:color="auto" w:sz="4" w:space="0"/>
              <w:left w:val="single" w:color="auto" w:sz="4" w:space="0"/>
              <w:bottom w:val="single" w:color="auto" w:sz="4" w:space="0"/>
              <w:right w:val="single" w:color="auto" w:sz="4" w:space="0"/>
            </w:tcBorders>
            <w:vAlign w:val="center"/>
          </w:tcPr>
          <w:p w14:paraId="3949F06E">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val="en-US" w:eastAsia="zh-CN"/>
              </w:rPr>
              <w:t>23</w:t>
            </w:r>
          </w:p>
        </w:tc>
        <w:tc>
          <w:tcPr>
            <w:tcW w:w="310" w:type="pct"/>
            <w:vMerge w:val="continue"/>
            <w:tcBorders>
              <w:left w:val="single" w:color="auto" w:sz="4" w:space="0"/>
              <w:right w:val="single" w:color="auto" w:sz="4" w:space="0"/>
            </w:tcBorders>
            <w:vAlign w:val="center"/>
          </w:tcPr>
          <w:p w14:paraId="04770670">
            <w:pPr>
              <w:pStyle w:val="40"/>
              <w:jc w:val="center"/>
              <w:rPr>
                <w:rFonts w:ascii="Times New Roman" w:hAnsi="Times New Roman" w:cs="Times New Roman"/>
                <w:color w:val="000000" w:themeColor="text1"/>
              </w:rPr>
            </w:pPr>
          </w:p>
        </w:tc>
        <w:tc>
          <w:tcPr>
            <w:tcW w:w="281" w:type="pct"/>
            <w:vMerge w:val="continue"/>
            <w:tcBorders>
              <w:left w:val="single" w:color="auto" w:sz="4" w:space="0"/>
              <w:right w:val="single" w:color="auto" w:sz="4" w:space="0"/>
            </w:tcBorders>
            <w:vAlign w:val="center"/>
          </w:tcPr>
          <w:p w14:paraId="62092348">
            <w:pPr>
              <w:pStyle w:val="40"/>
              <w:rPr>
                <w:rFonts w:ascii="Times New Roman" w:hAnsi="Times New Roman" w:cs="Times New Roman"/>
                <w:color w:val="000000" w:themeColor="text1"/>
                <w:lang w:eastAsia="zh-CN"/>
              </w:rPr>
            </w:pPr>
          </w:p>
        </w:tc>
        <w:tc>
          <w:tcPr>
            <w:tcW w:w="377" w:type="pct"/>
            <w:tcBorders>
              <w:top w:val="single" w:color="auto" w:sz="4" w:space="0"/>
              <w:left w:val="single" w:color="auto" w:sz="4" w:space="0"/>
              <w:bottom w:val="single" w:color="auto" w:sz="4" w:space="0"/>
              <w:right w:val="single" w:color="auto" w:sz="4" w:space="0"/>
            </w:tcBorders>
            <w:vAlign w:val="center"/>
          </w:tcPr>
          <w:p w14:paraId="713BEC48">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漠阳江出海口综合整治工程(西支流疏浚工程)</w:t>
            </w:r>
          </w:p>
        </w:tc>
        <w:tc>
          <w:tcPr>
            <w:tcW w:w="521" w:type="pct"/>
            <w:tcBorders>
              <w:top w:val="single" w:color="auto" w:sz="4" w:space="0"/>
              <w:left w:val="single" w:color="auto" w:sz="4" w:space="0"/>
              <w:bottom w:val="single" w:color="auto" w:sz="4" w:space="0"/>
              <w:right w:val="single" w:color="auto" w:sz="4" w:space="0"/>
            </w:tcBorders>
            <w:vAlign w:val="center"/>
          </w:tcPr>
          <w:p w14:paraId="4A5F39CC">
            <w:pPr>
              <w:jc w:val="center"/>
              <w:rPr>
                <w:rFonts w:ascii="Times New Roman" w:hAnsi="Times New Roman" w:eastAsia="仿宋_GB2312" w:cs="Times New Roman"/>
                <w:color w:val="000000" w:themeColor="text1"/>
                <w:kern w:val="0"/>
                <w:szCs w:val="21"/>
              </w:rPr>
            </w:pPr>
            <w:r>
              <w:rPr>
                <w:rFonts w:ascii="Times New Roman" w:hAnsi="Times New Roman" w:eastAsia="仿宋_GB2312" w:cs="Times New Roman"/>
                <w:color w:val="000000" w:themeColor="text1"/>
                <w:kern w:val="0"/>
                <w:szCs w:val="21"/>
              </w:rPr>
              <w:t>江城区</w:t>
            </w:r>
          </w:p>
        </w:tc>
        <w:tc>
          <w:tcPr>
            <w:tcW w:w="1139" w:type="pct"/>
            <w:tcBorders>
              <w:top w:val="single" w:color="auto" w:sz="4" w:space="0"/>
              <w:left w:val="single" w:color="auto" w:sz="4" w:space="0"/>
              <w:bottom w:val="single" w:color="auto" w:sz="4" w:space="0"/>
              <w:right w:val="single" w:color="auto" w:sz="4" w:space="0"/>
            </w:tcBorders>
            <w:vAlign w:val="center"/>
          </w:tcPr>
          <w:p w14:paraId="06303039">
            <w:pPr>
              <w:rPr>
                <w:rFonts w:ascii="Times New Roman" w:hAnsi="Times New Roman" w:eastAsia="仿宋_GB2312" w:cs="Times New Roman"/>
                <w:color w:val="000000" w:themeColor="text1"/>
                <w:kern w:val="0"/>
                <w:szCs w:val="21"/>
                <w:lang w:val="zh-CN" w:bidi="zh-CN"/>
              </w:rPr>
            </w:pPr>
            <w:r>
              <w:rPr>
                <w:rFonts w:ascii="Times New Roman" w:hAnsi="Times New Roman" w:eastAsia="仿宋_GB2312" w:cs="Times New Roman"/>
                <w:color w:val="000000" w:themeColor="text1"/>
                <w:kern w:val="0"/>
                <w:szCs w:val="21"/>
                <w:lang w:val="zh-CN" w:bidi="zh-CN"/>
              </w:rPr>
              <w:t>清淤疏浚整治，拓宽卡口断面过流能力，减轻控导后西支流防洪压力。</w:t>
            </w:r>
          </w:p>
        </w:tc>
        <w:tc>
          <w:tcPr>
            <w:tcW w:w="328" w:type="pct"/>
            <w:vMerge w:val="continue"/>
            <w:tcBorders>
              <w:top w:val="single" w:color="auto" w:sz="4" w:space="0"/>
              <w:left w:val="single" w:color="auto" w:sz="4" w:space="0"/>
              <w:bottom w:val="single" w:color="auto" w:sz="4" w:space="0"/>
              <w:right w:val="single" w:color="auto" w:sz="4" w:space="0"/>
            </w:tcBorders>
            <w:vAlign w:val="center"/>
          </w:tcPr>
          <w:p w14:paraId="08927DA1">
            <w:pPr>
              <w:pStyle w:val="40"/>
              <w:jc w:val="center"/>
              <w:rPr>
                <w:rFonts w:ascii="Times New Roman" w:hAnsi="Times New Roman" w:cs="Times New Roman"/>
                <w:color w:val="000000" w:themeColor="text1"/>
              </w:rPr>
            </w:pPr>
          </w:p>
        </w:tc>
        <w:tc>
          <w:tcPr>
            <w:tcW w:w="399" w:type="pct"/>
            <w:vMerge w:val="continue"/>
            <w:tcBorders>
              <w:top w:val="single" w:color="auto" w:sz="4" w:space="0"/>
              <w:left w:val="single" w:color="auto" w:sz="4" w:space="0"/>
              <w:bottom w:val="single" w:color="auto" w:sz="4" w:space="0"/>
              <w:right w:val="single" w:color="auto" w:sz="4" w:space="0"/>
            </w:tcBorders>
            <w:vAlign w:val="center"/>
          </w:tcPr>
          <w:p w14:paraId="0454CFE3">
            <w:pPr>
              <w:pStyle w:val="40"/>
              <w:jc w:val="center"/>
              <w:rPr>
                <w:rFonts w:ascii="Times New Roman" w:hAnsi="Times New Roman" w:cs="Times New Roman"/>
                <w:color w:val="000000" w:themeColor="text1"/>
              </w:rPr>
            </w:pPr>
          </w:p>
        </w:tc>
        <w:tc>
          <w:tcPr>
            <w:tcW w:w="453" w:type="pct"/>
            <w:vMerge w:val="continue"/>
            <w:tcBorders>
              <w:left w:val="single" w:color="auto" w:sz="4" w:space="0"/>
              <w:right w:val="single" w:color="auto" w:sz="4" w:space="0"/>
            </w:tcBorders>
            <w:vAlign w:val="center"/>
          </w:tcPr>
          <w:p w14:paraId="50551F81">
            <w:pPr>
              <w:pStyle w:val="40"/>
              <w:jc w:val="center"/>
              <w:rPr>
                <w:rFonts w:ascii="Times New Roman" w:hAnsi="Times New Roman" w:cs="Times New Roman"/>
                <w:color w:val="000000" w:themeColor="text1"/>
              </w:rPr>
            </w:pPr>
          </w:p>
        </w:tc>
        <w:tc>
          <w:tcPr>
            <w:tcW w:w="690" w:type="pct"/>
            <w:vMerge w:val="continue"/>
            <w:tcBorders>
              <w:top w:val="single" w:color="auto" w:sz="4" w:space="0"/>
              <w:left w:val="single" w:color="auto" w:sz="4" w:space="0"/>
              <w:bottom w:val="single" w:color="auto" w:sz="4" w:space="0"/>
              <w:right w:val="single" w:color="auto" w:sz="4" w:space="0"/>
            </w:tcBorders>
            <w:vAlign w:val="center"/>
          </w:tcPr>
          <w:p w14:paraId="27FBEC45">
            <w:pPr>
              <w:pStyle w:val="40"/>
              <w:jc w:val="center"/>
              <w:rPr>
                <w:rFonts w:ascii="Times New Roman" w:hAnsi="Times New Roman" w:cs="Times New Roman"/>
                <w:color w:val="000000" w:themeColor="text1"/>
              </w:rPr>
            </w:pPr>
          </w:p>
        </w:tc>
        <w:tc>
          <w:tcPr>
            <w:tcW w:w="285" w:type="pct"/>
            <w:tcBorders>
              <w:top w:val="single" w:color="auto" w:sz="4" w:space="0"/>
              <w:left w:val="single" w:color="auto" w:sz="4" w:space="0"/>
              <w:bottom w:val="single" w:color="auto" w:sz="4" w:space="0"/>
              <w:right w:val="single" w:color="auto" w:sz="4" w:space="0"/>
            </w:tcBorders>
            <w:vAlign w:val="center"/>
          </w:tcPr>
          <w:p w14:paraId="6EF4E6FD">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规划</w:t>
            </w:r>
          </w:p>
        </w:tc>
      </w:tr>
      <w:tr w14:paraId="25EFD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1" w:hRule="atLeast"/>
        </w:trPr>
        <w:tc>
          <w:tcPr>
            <w:tcW w:w="217" w:type="pct"/>
            <w:tcBorders>
              <w:top w:val="single" w:color="auto" w:sz="4" w:space="0"/>
              <w:left w:val="single" w:color="auto" w:sz="4" w:space="0"/>
              <w:bottom w:val="single" w:color="auto" w:sz="4" w:space="0"/>
              <w:right w:val="single" w:color="auto" w:sz="4" w:space="0"/>
            </w:tcBorders>
            <w:vAlign w:val="center"/>
          </w:tcPr>
          <w:p w14:paraId="6F321FC3">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val="en-US" w:eastAsia="zh-CN"/>
              </w:rPr>
              <w:t>24</w:t>
            </w:r>
          </w:p>
        </w:tc>
        <w:tc>
          <w:tcPr>
            <w:tcW w:w="310" w:type="pct"/>
            <w:vMerge w:val="continue"/>
            <w:tcBorders>
              <w:left w:val="single" w:color="auto" w:sz="4" w:space="0"/>
              <w:right w:val="single" w:color="auto" w:sz="4" w:space="0"/>
            </w:tcBorders>
            <w:vAlign w:val="center"/>
          </w:tcPr>
          <w:p w14:paraId="1083EC0B">
            <w:pPr>
              <w:pStyle w:val="40"/>
              <w:jc w:val="center"/>
              <w:rPr>
                <w:rFonts w:ascii="Times New Roman" w:hAnsi="Times New Roman" w:cs="Times New Roman"/>
                <w:color w:val="000000" w:themeColor="text1"/>
              </w:rPr>
            </w:pPr>
          </w:p>
        </w:tc>
        <w:tc>
          <w:tcPr>
            <w:tcW w:w="281" w:type="pct"/>
            <w:vMerge w:val="continue"/>
            <w:tcBorders>
              <w:left w:val="single" w:color="auto" w:sz="4" w:space="0"/>
              <w:right w:val="single" w:color="auto" w:sz="4" w:space="0"/>
            </w:tcBorders>
            <w:vAlign w:val="center"/>
          </w:tcPr>
          <w:p w14:paraId="60E4CDB9">
            <w:pPr>
              <w:pStyle w:val="40"/>
              <w:rPr>
                <w:rFonts w:ascii="Times New Roman" w:hAnsi="Times New Roman" w:cs="Times New Roman"/>
                <w:color w:val="000000" w:themeColor="text1"/>
                <w:lang w:eastAsia="zh-CN"/>
              </w:rPr>
            </w:pPr>
          </w:p>
        </w:tc>
        <w:tc>
          <w:tcPr>
            <w:tcW w:w="377" w:type="pct"/>
            <w:tcBorders>
              <w:top w:val="single" w:color="auto" w:sz="4" w:space="0"/>
              <w:left w:val="single" w:color="auto" w:sz="4" w:space="0"/>
              <w:bottom w:val="single" w:color="auto" w:sz="4" w:space="0"/>
              <w:right w:val="single" w:color="auto" w:sz="4" w:space="0"/>
            </w:tcBorders>
            <w:vAlign w:val="center"/>
          </w:tcPr>
          <w:p w14:paraId="57B791E4">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漠阳江出海口综合整治工程(堤防能力提升工程)</w:t>
            </w:r>
          </w:p>
        </w:tc>
        <w:tc>
          <w:tcPr>
            <w:tcW w:w="521" w:type="pct"/>
            <w:tcBorders>
              <w:top w:val="single" w:color="auto" w:sz="4" w:space="0"/>
              <w:left w:val="single" w:color="auto" w:sz="4" w:space="0"/>
              <w:bottom w:val="single" w:color="auto" w:sz="4" w:space="0"/>
              <w:right w:val="single" w:color="auto" w:sz="4" w:space="0"/>
            </w:tcBorders>
            <w:vAlign w:val="center"/>
          </w:tcPr>
          <w:p w14:paraId="0DBA1112">
            <w:pPr>
              <w:jc w:val="center"/>
              <w:rPr>
                <w:rFonts w:ascii="Times New Roman" w:hAnsi="Times New Roman" w:eastAsia="仿宋_GB2312" w:cs="Times New Roman"/>
                <w:color w:val="000000" w:themeColor="text1"/>
                <w:kern w:val="0"/>
                <w:szCs w:val="21"/>
              </w:rPr>
            </w:pPr>
            <w:r>
              <w:rPr>
                <w:rFonts w:ascii="Times New Roman" w:hAnsi="Times New Roman" w:eastAsia="仿宋_GB2312" w:cs="Times New Roman"/>
                <w:color w:val="000000" w:themeColor="text1"/>
                <w:kern w:val="0"/>
                <w:szCs w:val="21"/>
              </w:rPr>
              <w:t>江城区</w:t>
            </w:r>
          </w:p>
        </w:tc>
        <w:tc>
          <w:tcPr>
            <w:tcW w:w="1139" w:type="pct"/>
            <w:tcBorders>
              <w:top w:val="single" w:color="auto" w:sz="4" w:space="0"/>
              <w:left w:val="single" w:color="auto" w:sz="4" w:space="0"/>
              <w:bottom w:val="single" w:color="auto" w:sz="4" w:space="0"/>
              <w:right w:val="single" w:color="auto" w:sz="4" w:space="0"/>
            </w:tcBorders>
            <w:vAlign w:val="center"/>
          </w:tcPr>
          <w:p w14:paraId="516F4207">
            <w:pPr>
              <w:rPr>
                <w:rFonts w:ascii="Times New Roman" w:hAnsi="Times New Roman" w:eastAsia="仿宋_GB2312" w:cs="Times New Roman"/>
                <w:color w:val="000000" w:themeColor="text1"/>
                <w:kern w:val="0"/>
                <w:szCs w:val="21"/>
                <w:lang w:val="zh-CN" w:bidi="zh-CN"/>
              </w:rPr>
            </w:pPr>
            <w:r>
              <w:rPr>
                <w:rFonts w:ascii="Times New Roman" w:hAnsi="Times New Roman" w:eastAsia="仿宋_GB2312" w:cs="Times New Roman"/>
                <w:color w:val="000000" w:themeColor="text1"/>
                <w:kern w:val="0"/>
                <w:szCs w:val="21"/>
                <w:lang w:val="zh-CN" w:bidi="zh-CN"/>
              </w:rPr>
              <w:t>按照100年一遇防洪（潮）标准加固漠阳江出海口堤围66.43公里，其中：中心洲联围41.23公里，四朗联围20.2公里，埠场联围5公里。</w:t>
            </w:r>
          </w:p>
        </w:tc>
        <w:tc>
          <w:tcPr>
            <w:tcW w:w="328" w:type="pct"/>
            <w:vMerge w:val="continue"/>
            <w:tcBorders>
              <w:top w:val="single" w:color="auto" w:sz="4" w:space="0"/>
              <w:left w:val="single" w:color="auto" w:sz="4" w:space="0"/>
              <w:bottom w:val="single" w:color="auto" w:sz="4" w:space="0"/>
              <w:right w:val="single" w:color="auto" w:sz="4" w:space="0"/>
            </w:tcBorders>
            <w:vAlign w:val="center"/>
          </w:tcPr>
          <w:p w14:paraId="7E3CF05B">
            <w:pPr>
              <w:pStyle w:val="40"/>
              <w:jc w:val="center"/>
              <w:rPr>
                <w:rFonts w:ascii="Times New Roman" w:hAnsi="Times New Roman" w:cs="Times New Roman"/>
                <w:color w:val="000000" w:themeColor="text1"/>
              </w:rPr>
            </w:pPr>
          </w:p>
        </w:tc>
        <w:tc>
          <w:tcPr>
            <w:tcW w:w="399" w:type="pct"/>
            <w:vMerge w:val="continue"/>
            <w:tcBorders>
              <w:top w:val="single" w:color="auto" w:sz="4" w:space="0"/>
              <w:left w:val="single" w:color="auto" w:sz="4" w:space="0"/>
              <w:bottom w:val="single" w:color="auto" w:sz="4" w:space="0"/>
              <w:right w:val="single" w:color="auto" w:sz="4" w:space="0"/>
            </w:tcBorders>
            <w:vAlign w:val="center"/>
          </w:tcPr>
          <w:p w14:paraId="4F24FDC9">
            <w:pPr>
              <w:pStyle w:val="40"/>
              <w:jc w:val="center"/>
              <w:rPr>
                <w:rFonts w:ascii="Times New Roman" w:hAnsi="Times New Roman" w:cs="Times New Roman"/>
                <w:color w:val="000000" w:themeColor="text1"/>
              </w:rPr>
            </w:pPr>
          </w:p>
        </w:tc>
        <w:tc>
          <w:tcPr>
            <w:tcW w:w="453" w:type="pct"/>
            <w:vMerge w:val="continue"/>
            <w:tcBorders>
              <w:left w:val="single" w:color="auto" w:sz="4" w:space="0"/>
              <w:right w:val="single" w:color="auto" w:sz="4" w:space="0"/>
            </w:tcBorders>
            <w:vAlign w:val="center"/>
          </w:tcPr>
          <w:p w14:paraId="19F0C234">
            <w:pPr>
              <w:pStyle w:val="40"/>
              <w:jc w:val="center"/>
              <w:rPr>
                <w:rFonts w:ascii="Times New Roman" w:hAnsi="Times New Roman" w:cs="Times New Roman"/>
                <w:color w:val="000000" w:themeColor="text1"/>
              </w:rPr>
            </w:pPr>
          </w:p>
        </w:tc>
        <w:tc>
          <w:tcPr>
            <w:tcW w:w="690" w:type="pct"/>
            <w:vMerge w:val="continue"/>
            <w:tcBorders>
              <w:top w:val="single" w:color="auto" w:sz="4" w:space="0"/>
              <w:left w:val="single" w:color="auto" w:sz="4" w:space="0"/>
              <w:bottom w:val="single" w:color="auto" w:sz="4" w:space="0"/>
              <w:right w:val="single" w:color="auto" w:sz="4" w:space="0"/>
            </w:tcBorders>
            <w:vAlign w:val="center"/>
          </w:tcPr>
          <w:p w14:paraId="0CDF5C65">
            <w:pPr>
              <w:pStyle w:val="40"/>
              <w:jc w:val="center"/>
              <w:rPr>
                <w:rFonts w:ascii="Times New Roman" w:hAnsi="Times New Roman" w:cs="Times New Roman"/>
                <w:color w:val="000000" w:themeColor="text1"/>
              </w:rPr>
            </w:pPr>
          </w:p>
        </w:tc>
        <w:tc>
          <w:tcPr>
            <w:tcW w:w="285" w:type="pct"/>
            <w:tcBorders>
              <w:top w:val="single" w:color="auto" w:sz="4" w:space="0"/>
              <w:left w:val="single" w:color="auto" w:sz="4" w:space="0"/>
              <w:bottom w:val="single" w:color="auto" w:sz="4" w:space="0"/>
              <w:right w:val="single" w:color="auto" w:sz="4" w:space="0"/>
            </w:tcBorders>
            <w:vAlign w:val="center"/>
          </w:tcPr>
          <w:p w14:paraId="5A7A63EC">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规划</w:t>
            </w:r>
          </w:p>
        </w:tc>
      </w:tr>
      <w:tr w14:paraId="7B0E13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217" w:type="pct"/>
            <w:tcBorders>
              <w:top w:val="single" w:color="auto" w:sz="4" w:space="0"/>
              <w:left w:val="single" w:color="auto" w:sz="4" w:space="0"/>
              <w:bottom w:val="single" w:color="auto" w:sz="4" w:space="0"/>
              <w:right w:val="single" w:color="auto" w:sz="4" w:space="0"/>
            </w:tcBorders>
            <w:vAlign w:val="center"/>
          </w:tcPr>
          <w:p w14:paraId="7E89637C">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val="en-US" w:eastAsia="zh-CN"/>
              </w:rPr>
              <w:t>25</w:t>
            </w:r>
          </w:p>
        </w:tc>
        <w:tc>
          <w:tcPr>
            <w:tcW w:w="310" w:type="pct"/>
            <w:vMerge w:val="continue"/>
            <w:tcBorders>
              <w:left w:val="single" w:color="auto" w:sz="4" w:space="0"/>
              <w:right w:val="single" w:color="auto" w:sz="4" w:space="0"/>
            </w:tcBorders>
            <w:vAlign w:val="center"/>
          </w:tcPr>
          <w:p w14:paraId="33A81F00">
            <w:pPr>
              <w:pStyle w:val="40"/>
              <w:jc w:val="center"/>
              <w:rPr>
                <w:rFonts w:ascii="Times New Roman" w:hAnsi="Times New Roman" w:cs="Times New Roman"/>
                <w:color w:val="000000" w:themeColor="text1"/>
              </w:rPr>
            </w:pPr>
          </w:p>
        </w:tc>
        <w:tc>
          <w:tcPr>
            <w:tcW w:w="281" w:type="pct"/>
            <w:vMerge w:val="continue"/>
            <w:tcBorders>
              <w:left w:val="single" w:color="auto" w:sz="4" w:space="0"/>
              <w:right w:val="single" w:color="auto" w:sz="4" w:space="0"/>
            </w:tcBorders>
            <w:vAlign w:val="center"/>
          </w:tcPr>
          <w:p w14:paraId="6320264C">
            <w:pPr>
              <w:pStyle w:val="40"/>
              <w:rPr>
                <w:rFonts w:ascii="Times New Roman" w:hAnsi="Times New Roman" w:cs="Times New Roman"/>
                <w:color w:val="000000" w:themeColor="text1"/>
                <w:lang w:eastAsia="zh-CN"/>
              </w:rPr>
            </w:pPr>
          </w:p>
        </w:tc>
        <w:tc>
          <w:tcPr>
            <w:tcW w:w="377" w:type="pct"/>
            <w:tcBorders>
              <w:top w:val="single" w:color="auto" w:sz="4" w:space="0"/>
              <w:left w:val="single" w:color="auto" w:sz="4" w:space="0"/>
              <w:bottom w:val="single" w:color="auto" w:sz="4" w:space="0"/>
              <w:right w:val="single" w:color="auto" w:sz="4" w:space="0"/>
            </w:tcBorders>
            <w:vAlign w:val="center"/>
          </w:tcPr>
          <w:p w14:paraId="5E59AE2E">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漠阳江出海口综合整治工程(涝区整治工程)</w:t>
            </w:r>
          </w:p>
        </w:tc>
        <w:tc>
          <w:tcPr>
            <w:tcW w:w="521" w:type="pct"/>
            <w:tcBorders>
              <w:top w:val="single" w:color="auto" w:sz="4" w:space="0"/>
              <w:left w:val="single" w:color="auto" w:sz="4" w:space="0"/>
              <w:bottom w:val="single" w:color="auto" w:sz="4" w:space="0"/>
              <w:right w:val="single" w:color="auto" w:sz="4" w:space="0"/>
            </w:tcBorders>
            <w:vAlign w:val="center"/>
          </w:tcPr>
          <w:p w14:paraId="1AE74F7A">
            <w:pPr>
              <w:jc w:val="center"/>
              <w:rPr>
                <w:rFonts w:ascii="Times New Roman" w:hAnsi="Times New Roman" w:eastAsia="仿宋_GB2312" w:cs="Times New Roman"/>
                <w:color w:val="000000" w:themeColor="text1"/>
                <w:kern w:val="0"/>
                <w:szCs w:val="21"/>
              </w:rPr>
            </w:pPr>
            <w:r>
              <w:rPr>
                <w:rFonts w:ascii="Times New Roman" w:hAnsi="Times New Roman" w:eastAsia="仿宋_GB2312" w:cs="Times New Roman"/>
                <w:color w:val="000000" w:themeColor="text1"/>
                <w:kern w:val="0"/>
                <w:szCs w:val="21"/>
              </w:rPr>
              <w:t>江城区</w:t>
            </w:r>
          </w:p>
        </w:tc>
        <w:tc>
          <w:tcPr>
            <w:tcW w:w="1139" w:type="pct"/>
            <w:tcBorders>
              <w:top w:val="single" w:color="auto" w:sz="4" w:space="0"/>
              <w:left w:val="single" w:color="auto" w:sz="4" w:space="0"/>
              <w:bottom w:val="single" w:color="auto" w:sz="4" w:space="0"/>
              <w:right w:val="single" w:color="auto" w:sz="4" w:space="0"/>
            </w:tcBorders>
            <w:vAlign w:val="center"/>
          </w:tcPr>
          <w:p w14:paraId="728A4624">
            <w:pPr>
              <w:jc w:val="left"/>
              <w:rPr>
                <w:rFonts w:ascii="Times New Roman" w:hAnsi="Times New Roman" w:eastAsia="仿宋_GB2312" w:cs="Times New Roman"/>
                <w:color w:val="000000" w:themeColor="text1"/>
                <w:kern w:val="0"/>
                <w:szCs w:val="21"/>
                <w:lang w:val="zh-CN" w:bidi="zh-CN"/>
              </w:rPr>
            </w:pPr>
            <w:r>
              <w:rPr>
                <w:rFonts w:ascii="Times New Roman" w:hAnsi="Times New Roman" w:eastAsia="仿宋_GB2312" w:cs="Times New Roman"/>
                <w:color w:val="000000" w:themeColor="text1"/>
                <w:kern w:val="0"/>
                <w:szCs w:val="21"/>
                <w:lang w:val="zh-CN" w:bidi="zh-CN"/>
              </w:rPr>
              <w:t>按照10-20年一遇排涝标准对中心洲联围涝区、四朗联围涝区、埠场联围涝区进行治理。</w:t>
            </w:r>
          </w:p>
        </w:tc>
        <w:tc>
          <w:tcPr>
            <w:tcW w:w="328" w:type="pct"/>
            <w:vMerge w:val="continue"/>
            <w:tcBorders>
              <w:top w:val="single" w:color="auto" w:sz="4" w:space="0"/>
              <w:left w:val="single" w:color="auto" w:sz="4" w:space="0"/>
              <w:bottom w:val="single" w:color="auto" w:sz="4" w:space="0"/>
              <w:right w:val="single" w:color="auto" w:sz="4" w:space="0"/>
            </w:tcBorders>
            <w:vAlign w:val="center"/>
          </w:tcPr>
          <w:p w14:paraId="21B3E629">
            <w:pPr>
              <w:pStyle w:val="40"/>
              <w:jc w:val="center"/>
              <w:rPr>
                <w:rFonts w:ascii="Times New Roman" w:hAnsi="Times New Roman" w:cs="Times New Roman"/>
                <w:color w:val="000000" w:themeColor="text1"/>
              </w:rPr>
            </w:pPr>
          </w:p>
        </w:tc>
        <w:tc>
          <w:tcPr>
            <w:tcW w:w="399" w:type="pct"/>
            <w:vMerge w:val="continue"/>
            <w:tcBorders>
              <w:top w:val="single" w:color="auto" w:sz="4" w:space="0"/>
              <w:left w:val="single" w:color="auto" w:sz="4" w:space="0"/>
              <w:bottom w:val="single" w:color="auto" w:sz="4" w:space="0"/>
              <w:right w:val="single" w:color="auto" w:sz="4" w:space="0"/>
            </w:tcBorders>
            <w:vAlign w:val="center"/>
          </w:tcPr>
          <w:p w14:paraId="6368E467">
            <w:pPr>
              <w:pStyle w:val="40"/>
              <w:jc w:val="center"/>
              <w:rPr>
                <w:rFonts w:ascii="Times New Roman" w:hAnsi="Times New Roman" w:cs="Times New Roman"/>
                <w:color w:val="000000" w:themeColor="text1"/>
              </w:rPr>
            </w:pPr>
          </w:p>
        </w:tc>
        <w:tc>
          <w:tcPr>
            <w:tcW w:w="453" w:type="pct"/>
            <w:vMerge w:val="continue"/>
            <w:tcBorders>
              <w:left w:val="single" w:color="auto" w:sz="4" w:space="0"/>
              <w:bottom w:val="single" w:color="auto" w:sz="4" w:space="0"/>
              <w:right w:val="single" w:color="auto" w:sz="4" w:space="0"/>
            </w:tcBorders>
            <w:vAlign w:val="center"/>
          </w:tcPr>
          <w:p w14:paraId="63B4EEA9">
            <w:pPr>
              <w:pStyle w:val="40"/>
              <w:jc w:val="center"/>
              <w:rPr>
                <w:rFonts w:ascii="Times New Roman" w:hAnsi="Times New Roman" w:cs="Times New Roman"/>
                <w:color w:val="000000" w:themeColor="text1"/>
              </w:rPr>
            </w:pPr>
          </w:p>
        </w:tc>
        <w:tc>
          <w:tcPr>
            <w:tcW w:w="690" w:type="pct"/>
            <w:vMerge w:val="continue"/>
            <w:tcBorders>
              <w:top w:val="single" w:color="auto" w:sz="4" w:space="0"/>
              <w:left w:val="single" w:color="auto" w:sz="4" w:space="0"/>
              <w:bottom w:val="single" w:color="auto" w:sz="4" w:space="0"/>
              <w:right w:val="single" w:color="auto" w:sz="4" w:space="0"/>
            </w:tcBorders>
            <w:vAlign w:val="center"/>
          </w:tcPr>
          <w:p w14:paraId="4983C576">
            <w:pPr>
              <w:pStyle w:val="40"/>
              <w:jc w:val="center"/>
              <w:rPr>
                <w:rFonts w:ascii="Times New Roman" w:hAnsi="Times New Roman" w:cs="Times New Roman"/>
                <w:color w:val="000000" w:themeColor="text1"/>
              </w:rPr>
            </w:pPr>
          </w:p>
        </w:tc>
        <w:tc>
          <w:tcPr>
            <w:tcW w:w="285" w:type="pct"/>
            <w:tcBorders>
              <w:top w:val="single" w:color="auto" w:sz="4" w:space="0"/>
              <w:left w:val="single" w:color="auto" w:sz="4" w:space="0"/>
              <w:bottom w:val="single" w:color="auto" w:sz="4" w:space="0"/>
              <w:right w:val="single" w:color="auto" w:sz="4" w:space="0"/>
            </w:tcBorders>
            <w:vAlign w:val="center"/>
          </w:tcPr>
          <w:p w14:paraId="1A0D837C">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规划</w:t>
            </w:r>
          </w:p>
        </w:tc>
      </w:tr>
      <w:tr w14:paraId="07437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1" w:hRule="atLeast"/>
        </w:trPr>
        <w:tc>
          <w:tcPr>
            <w:tcW w:w="217" w:type="pct"/>
            <w:tcBorders>
              <w:top w:val="single" w:color="auto" w:sz="4" w:space="0"/>
              <w:left w:val="single" w:color="auto" w:sz="4" w:space="0"/>
              <w:bottom w:val="single" w:color="auto" w:sz="4" w:space="0"/>
              <w:right w:val="single" w:color="auto" w:sz="4" w:space="0"/>
            </w:tcBorders>
            <w:vAlign w:val="center"/>
          </w:tcPr>
          <w:p w14:paraId="55486E24">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val="en-US" w:eastAsia="zh-CN"/>
              </w:rPr>
              <w:t>26</w:t>
            </w:r>
          </w:p>
        </w:tc>
        <w:tc>
          <w:tcPr>
            <w:tcW w:w="310" w:type="pct"/>
            <w:vMerge w:val="continue"/>
            <w:tcBorders>
              <w:left w:val="single" w:color="auto" w:sz="4" w:space="0"/>
              <w:right w:val="single" w:color="auto" w:sz="4" w:space="0"/>
            </w:tcBorders>
            <w:vAlign w:val="center"/>
          </w:tcPr>
          <w:p w14:paraId="5AB066B5">
            <w:pPr>
              <w:pStyle w:val="40"/>
              <w:jc w:val="center"/>
              <w:rPr>
                <w:rFonts w:ascii="Times New Roman" w:hAnsi="Times New Roman" w:cs="Times New Roman"/>
                <w:color w:val="000000" w:themeColor="text1"/>
              </w:rPr>
            </w:pPr>
          </w:p>
        </w:tc>
        <w:tc>
          <w:tcPr>
            <w:tcW w:w="281" w:type="pct"/>
            <w:tcBorders>
              <w:left w:val="single" w:color="auto" w:sz="4" w:space="0"/>
              <w:right w:val="single" w:color="auto" w:sz="4" w:space="0"/>
            </w:tcBorders>
            <w:vAlign w:val="center"/>
          </w:tcPr>
          <w:p w14:paraId="7EB5CC71">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漠阳江中下游综合治理工程</w:t>
            </w:r>
          </w:p>
        </w:tc>
        <w:tc>
          <w:tcPr>
            <w:tcW w:w="377" w:type="pct"/>
            <w:tcBorders>
              <w:top w:val="single" w:color="auto" w:sz="4" w:space="0"/>
              <w:left w:val="single" w:color="auto" w:sz="4" w:space="0"/>
              <w:bottom w:val="single" w:color="auto" w:sz="4" w:space="0"/>
              <w:right w:val="single" w:color="auto" w:sz="4" w:space="0"/>
            </w:tcBorders>
            <w:vAlign w:val="center"/>
          </w:tcPr>
          <w:p w14:paraId="6B429ED7">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漠阳江中下游综合治理工程</w:t>
            </w:r>
          </w:p>
        </w:tc>
        <w:tc>
          <w:tcPr>
            <w:tcW w:w="521" w:type="pct"/>
            <w:tcBorders>
              <w:top w:val="single" w:color="auto" w:sz="4" w:space="0"/>
              <w:left w:val="single" w:color="auto" w:sz="4" w:space="0"/>
              <w:bottom w:val="single" w:color="auto" w:sz="4" w:space="0"/>
              <w:right w:val="single" w:color="auto" w:sz="4" w:space="0"/>
            </w:tcBorders>
            <w:vAlign w:val="center"/>
          </w:tcPr>
          <w:p w14:paraId="2318F0EC">
            <w:pPr>
              <w:jc w:val="center"/>
              <w:rPr>
                <w:rFonts w:ascii="Times New Roman" w:hAnsi="Times New Roman" w:eastAsia="仿宋_GB2312" w:cs="Times New Roman"/>
                <w:color w:val="000000" w:themeColor="text1"/>
                <w:kern w:val="0"/>
                <w:szCs w:val="21"/>
              </w:rPr>
            </w:pPr>
            <w:r>
              <w:rPr>
                <w:rFonts w:ascii="Times New Roman" w:hAnsi="Times New Roman" w:eastAsia="仿宋_GB2312" w:cs="Times New Roman"/>
                <w:color w:val="000000" w:themeColor="text1"/>
                <w:kern w:val="0"/>
                <w:szCs w:val="21"/>
              </w:rPr>
              <w:t>江城区、阳东区、阳春市</w:t>
            </w:r>
          </w:p>
        </w:tc>
        <w:tc>
          <w:tcPr>
            <w:tcW w:w="1139" w:type="pct"/>
            <w:tcBorders>
              <w:top w:val="single" w:color="auto" w:sz="4" w:space="0"/>
              <w:left w:val="single" w:color="auto" w:sz="4" w:space="0"/>
              <w:bottom w:val="single" w:color="auto" w:sz="4" w:space="0"/>
              <w:right w:val="single" w:color="auto" w:sz="4" w:space="0"/>
            </w:tcBorders>
            <w:vAlign w:val="center"/>
          </w:tcPr>
          <w:p w14:paraId="09AD1706">
            <w:pPr>
              <w:jc w:val="left"/>
              <w:rPr>
                <w:rFonts w:ascii="Times New Roman" w:hAnsi="Times New Roman" w:eastAsia="仿宋_GB2312" w:cs="Times New Roman"/>
                <w:color w:val="000000" w:themeColor="text1"/>
                <w:kern w:val="0"/>
                <w:szCs w:val="21"/>
                <w:lang w:val="zh-CN" w:bidi="zh-CN"/>
              </w:rPr>
            </w:pPr>
            <w:r>
              <w:rPr>
                <w:rFonts w:ascii="Times New Roman" w:hAnsi="Times New Roman" w:eastAsia="仿宋_GB2312" w:cs="Times New Roman"/>
                <w:color w:val="000000" w:themeColor="text1"/>
                <w:kern w:val="0"/>
                <w:szCs w:val="21"/>
                <w:lang w:val="zh-CN" w:bidi="zh-CN"/>
              </w:rPr>
              <w:t>工程主要建设内容主要包括高荔联围、升平围（春洲水闸至四桥段）、岗西围和岗南围险段、捷东围、捷西围以及红丰龙涛围；对春洲水闸下游河段进行清障，重建穿堤涵闸28座，新建穿堤涵闸3座。</w:t>
            </w:r>
          </w:p>
        </w:tc>
        <w:tc>
          <w:tcPr>
            <w:tcW w:w="328" w:type="pct"/>
            <w:tcBorders>
              <w:top w:val="single" w:color="auto" w:sz="4" w:space="0"/>
              <w:left w:val="single" w:color="auto" w:sz="4" w:space="0"/>
              <w:bottom w:val="single" w:color="auto" w:sz="4" w:space="0"/>
              <w:right w:val="single" w:color="auto" w:sz="4" w:space="0"/>
            </w:tcBorders>
            <w:vAlign w:val="center"/>
          </w:tcPr>
          <w:p w14:paraId="6D3DCB9D">
            <w:pPr>
              <w:pStyle w:val="40"/>
              <w:jc w:val="center"/>
              <w:rPr>
                <w:rFonts w:ascii="Times New Roman" w:hAnsi="Times New Roman" w:cs="Times New Roman"/>
                <w:color w:val="000000" w:themeColor="text1"/>
              </w:rPr>
            </w:pPr>
            <w:r>
              <w:rPr>
                <w:rFonts w:ascii="Times New Roman" w:hAnsi="Times New Roman" w:cs="Times New Roman"/>
                <w:color w:val="000000" w:themeColor="text1"/>
              </w:rPr>
              <w:t>2022-2024</w:t>
            </w:r>
          </w:p>
        </w:tc>
        <w:tc>
          <w:tcPr>
            <w:tcW w:w="399" w:type="pct"/>
            <w:tcBorders>
              <w:top w:val="single" w:color="auto" w:sz="4" w:space="0"/>
              <w:left w:val="single" w:color="auto" w:sz="4" w:space="0"/>
              <w:bottom w:val="single" w:color="auto" w:sz="4" w:space="0"/>
              <w:right w:val="single" w:color="auto" w:sz="4" w:space="0"/>
            </w:tcBorders>
            <w:vAlign w:val="center"/>
          </w:tcPr>
          <w:p w14:paraId="06611C95">
            <w:pPr>
              <w:pStyle w:val="40"/>
              <w:jc w:val="center"/>
              <w:rPr>
                <w:rFonts w:ascii="Times New Roman" w:hAnsi="Times New Roman" w:cs="Times New Roman"/>
                <w:color w:val="000000" w:themeColor="text1"/>
              </w:rPr>
            </w:pPr>
            <w:r>
              <w:rPr>
                <w:rFonts w:ascii="Times New Roman" w:hAnsi="Times New Roman" w:cs="Times New Roman"/>
                <w:color w:val="000000" w:themeColor="text1"/>
              </w:rPr>
              <w:t>35396</w:t>
            </w:r>
          </w:p>
        </w:tc>
        <w:tc>
          <w:tcPr>
            <w:tcW w:w="453" w:type="pct"/>
            <w:tcBorders>
              <w:top w:val="single" w:color="auto" w:sz="4" w:space="0"/>
              <w:left w:val="single" w:color="auto" w:sz="4" w:space="0"/>
              <w:bottom w:val="single" w:color="auto" w:sz="4" w:space="0"/>
              <w:right w:val="single" w:color="auto" w:sz="4" w:space="0"/>
            </w:tcBorders>
            <w:vAlign w:val="center"/>
          </w:tcPr>
          <w:p w14:paraId="5DA9AA10">
            <w:pPr>
              <w:pStyle w:val="40"/>
              <w:jc w:val="center"/>
              <w:rPr>
                <w:rFonts w:ascii="Times New Roman" w:hAnsi="Times New Roman" w:cs="Times New Roman"/>
                <w:color w:val="000000" w:themeColor="text1"/>
              </w:rPr>
            </w:pPr>
            <w:r>
              <w:rPr>
                <w:rFonts w:hint="eastAsia" w:ascii="Times New Roman" w:hAnsi="Times New Roman" w:cs="Times New Roman"/>
                <w:color w:val="000000" w:themeColor="text1"/>
                <w:lang w:eastAsia="zh-CN"/>
              </w:rPr>
              <w:t>约</w:t>
            </w:r>
            <w:r>
              <w:rPr>
                <w:rFonts w:ascii="Times New Roman" w:hAnsi="Times New Roman" w:cs="Times New Roman"/>
                <w:color w:val="000000" w:themeColor="text1"/>
              </w:rPr>
              <w:t>61.43公里</w:t>
            </w:r>
          </w:p>
        </w:tc>
        <w:tc>
          <w:tcPr>
            <w:tcW w:w="690" w:type="pct"/>
            <w:tcBorders>
              <w:top w:val="single" w:color="auto" w:sz="4" w:space="0"/>
              <w:left w:val="single" w:color="auto" w:sz="4" w:space="0"/>
              <w:bottom w:val="single" w:color="auto" w:sz="4" w:space="0"/>
              <w:right w:val="single" w:color="auto" w:sz="4" w:space="0"/>
            </w:tcBorders>
            <w:vAlign w:val="center"/>
          </w:tcPr>
          <w:p w14:paraId="34F96116">
            <w:pPr>
              <w:pStyle w:val="40"/>
              <w:jc w:val="center"/>
              <w:rPr>
                <w:rFonts w:ascii="Times New Roman" w:hAnsi="Times New Roman" w:cs="Times New Roman"/>
                <w:color w:val="000000" w:themeColor="text1"/>
              </w:rPr>
            </w:pPr>
            <w:r>
              <w:rPr>
                <w:rFonts w:ascii="Times New Roman" w:hAnsi="Times New Roman" w:cs="Times New Roman"/>
                <w:color w:val="000000" w:themeColor="text1"/>
              </w:rPr>
              <w:t>阳江市水务局</w:t>
            </w:r>
          </w:p>
        </w:tc>
        <w:tc>
          <w:tcPr>
            <w:tcW w:w="285" w:type="pct"/>
            <w:tcBorders>
              <w:top w:val="single" w:color="auto" w:sz="4" w:space="0"/>
              <w:left w:val="single" w:color="auto" w:sz="4" w:space="0"/>
              <w:bottom w:val="single" w:color="auto" w:sz="4" w:space="0"/>
              <w:right w:val="single" w:color="auto" w:sz="4" w:space="0"/>
            </w:tcBorders>
            <w:vAlign w:val="center"/>
          </w:tcPr>
          <w:p w14:paraId="6F288F55">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在建</w:t>
            </w:r>
          </w:p>
        </w:tc>
      </w:tr>
      <w:tr w14:paraId="00716F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1" w:hRule="atLeast"/>
        </w:trPr>
        <w:tc>
          <w:tcPr>
            <w:tcW w:w="217" w:type="pct"/>
            <w:tcBorders>
              <w:top w:val="single" w:color="auto" w:sz="4" w:space="0"/>
              <w:left w:val="single" w:color="auto" w:sz="4" w:space="0"/>
              <w:bottom w:val="single" w:color="auto" w:sz="4" w:space="0"/>
              <w:right w:val="single" w:color="auto" w:sz="4" w:space="0"/>
            </w:tcBorders>
            <w:vAlign w:val="center"/>
          </w:tcPr>
          <w:p w14:paraId="67FE1830">
            <w:pPr>
              <w:pStyle w:val="40"/>
              <w:jc w:val="center"/>
              <w:rPr>
                <w:rFonts w:ascii="Times New Roman" w:hAnsi="Times New Roman" w:cs="Times New Roman"/>
                <w:color w:val="000000" w:themeColor="text1"/>
                <w:lang w:val="en-US" w:eastAsia="zh-CN"/>
              </w:rPr>
            </w:pPr>
            <w:r>
              <w:rPr>
                <w:rFonts w:hint="eastAsia" w:ascii="Times New Roman" w:hAnsi="Times New Roman" w:cs="Times New Roman"/>
                <w:color w:val="000000" w:themeColor="text1"/>
                <w:lang w:val="en-US" w:eastAsia="zh-CN"/>
              </w:rPr>
              <w:t>27</w:t>
            </w:r>
          </w:p>
        </w:tc>
        <w:tc>
          <w:tcPr>
            <w:tcW w:w="310" w:type="pct"/>
            <w:vMerge w:val="continue"/>
            <w:tcBorders>
              <w:left w:val="single" w:color="auto" w:sz="4" w:space="0"/>
              <w:right w:val="single" w:color="auto" w:sz="4" w:space="0"/>
            </w:tcBorders>
            <w:vAlign w:val="center"/>
          </w:tcPr>
          <w:p w14:paraId="261B950E">
            <w:pPr>
              <w:pStyle w:val="40"/>
              <w:jc w:val="center"/>
              <w:rPr>
                <w:rFonts w:ascii="Times New Roman" w:hAnsi="Times New Roman" w:cs="Times New Roman"/>
                <w:color w:val="000000" w:themeColor="text1"/>
              </w:rPr>
            </w:pPr>
          </w:p>
        </w:tc>
        <w:tc>
          <w:tcPr>
            <w:tcW w:w="281" w:type="pct"/>
            <w:tcBorders>
              <w:left w:val="single" w:color="auto" w:sz="4" w:space="0"/>
              <w:right w:val="single" w:color="auto" w:sz="4" w:space="0"/>
            </w:tcBorders>
            <w:vAlign w:val="center"/>
          </w:tcPr>
          <w:p w14:paraId="16F9B686">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水库提升建设工程</w:t>
            </w:r>
          </w:p>
        </w:tc>
        <w:tc>
          <w:tcPr>
            <w:tcW w:w="377" w:type="pct"/>
            <w:tcBorders>
              <w:top w:val="single" w:color="auto" w:sz="4" w:space="0"/>
              <w:left w:val="single" w:color="auto" w:sz="4" w:space="0"/>
              <w:bottom w:val="single" w:color="auto" w:sz="4" w:space="0"/>
              <w:right w:val="single" w:color="auto" w:sz="4" w:space="0"/>
            </w:tcBorders>
            <w:vAlign w:val="center"/>
          </w:tcPr>
          <w:p w14:paraId="1BF10D09">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阳江市石河水库边陂治理生态修复工程</w:t>
            </w:r>
          </w:p>
        </w:tc>
        <w:tc>
          <w:tcPr>
            <w:tcW w:w="521" w:type="pct"/>
            <w:tcBorders>
              <w:top w:val="single" w:color="auto" w:sz="4" w:space="0"/>
              <w:left w:val="single" w:color="auto" w:sz="4" w:space="0"/>
              <w:bottom w:val="single" w:color="auto" w:sz="4" w:space="0"/>
              <w:right w:val="single" w:color="auto" w:sz="4" w:space="0"/>
            </w:tcBorders>
            <w:vAlign w:val="center"/>
          </w:tcPr>
          <w:p w14:paraId="47946D8B">
            <w:pPr>
              <w:jc w:val="center"/>
              <w:rPr>
                <w:rFonts w:ascii="Times New Roman" w:hAnsi="Times New Roman" w:eastAsia="仿宋_GB2312" w:cs="Times New Roman"/>
                <w:color w:val="000000" w:themeColor="text1"/>
                <w:kern w:val="0"/>
                <w:szCs w:val="21"/>
              </w:rPr>
            </w:pPr>
            <w:r>
              <w:rPr>
                <w:rFonts w:ascii="Times New Roman" w:hAnsi="Times New Roman" w:eastAsia="仿宋_GB2312" w:cs="Times New Roman"/>
                <w:color w:val="000000" w:themeColor="text1"/>
                <w:kern w:val="0"/>
                <w:szCs w:val="21"/>
              </w:rPr>
              <w:t>江城区</w:t>
            </w:r>
          </w:p>
        </w:tc>
        <w:tc>
          <w:tcPr>
            <w:tcW w:w="1139" w:type="pct"/>
            <w:tcBorders>
              <w:top w:val="single" w:color="auto" w:sz="4" w:space="0"/>
              <w:left w:val="single" w:color="auto" w:sz="4" w:space="0"/>
              <w:bottom w:val="single" w:color="auto" w:sz="4" w:space="0"/>
              <w:right w:val="single" w:color="auto" w:sz="4" w:space="0"/>
            </w:tcBorders>
            <w:vAlign w:val="center"/>
          </w:tcPr>
          <w:p w14:paraId="522BB3D0">
            <w:pPr>
              <w:jc w:val="left"/>
              <w:rPr>
                <w:rFonts w:ascii="Times New Roman" w:hAnsi="Times New Roman" w:eastAsia="仿宋_GB2312" w:cs="Times New Roman"/>
                <w:color w:val="000000" w:themeColor="text1"/>
                <w:kern w:val="0"/>
                <w:szCs w:val="21"/>
                <w:lang w:val="zh-CN" w:bidi="zh-CN"/>
              </w:rPr>
            </w:pPr>
            <w:r>
              <w:rPr>
                <w:rFonts w:ascii="Times New Roman" w:hAnsi="Times New Roman" w:eastAsia="仿宋_GB2312" w:cs="Times New Roman"/>
                <w:color w:val="000000" w:themeColor="text1"/>
                <w:kern w:val="0"/>
                <w:szCs w:val="21"/>
                <w:lang w:val="zh-CN" w:bidi="zh-CN"/>
              </w:rPr>
              <w:t>主要开展水生态及水环境治理项目</w:t>
            </w:r>
          </w:p>
        </w:tc>
        <w:tc>
          <w:tcPr>
            <w:tcW w:w="328" w:type="pct"/>
            <w:tcBorders>
              <w:top w:val="single" w:color="auto" w:sz="4" w:space="0"/>
              <w:left w:val="single" w:color="auto" w:sz="4" w:space="0"/>
              <w:bottom w:val="single" w:color="auto" w:sz="4" w:space="0"/>
              <w:right w:val="single" w:color="auto" w:sz="4" w:space="0"/>
            </w:tcBorders>
            <w:vAlign w:val="center"/>
          </w:tcPr>
          <w:p w14:paraId="386405AC">
            <w:pPr>
              <w:pStyle w:val="40"/>
              <w:jc w:val="center"/>
              <w:rPr>
                <w:rFonts w:ascii="Times New Roman" w:hAnsi="Times New Roman" w:cs="Times New Roman"/>
                <w:color w:val="000000" w:themeColor="text1"/>
              </w:rPr>
            </w:pPr>
            <w:r>
              <w:rPr>
                <w:rFonts w:ascii="Times New Roman" w:hAnsi="Times New Roman" w:cs="Times New Roman"/>
                <w:color w:val="000000" w:themeColor="text1"/>
              </w:rPr>
              <w:t>2021-2035</w:t>
            </w:r>
          </w:p>
        </w:tc>
        <w:tc>
          <w:tcPr>
            <w:tcW w:w="399" w:type="pct"/>
            <w:tcBorders>
              <w:top w:val="single" w:color="auto" w:sz="4" w:space="0"/>
              <w:left w:val="single" w:color="auto" w:sz="4" w:space="0"/>
              <w:bottom w:val="single" w:color="auto" w:sz="4" w:space="0"/>
              <w:right w:val="single" w:color="auto" w:sz="4" w:space="0"/>
            </w:tcBorders>
            <w:vAlign w:val="center"/>
          </w:tcPr>
          <w:p w14:paraId="01AF83BD">
            <w:pPr>
              <w:pStyle w:val="40"/>
              <w:jc w:val="center"/>
              <w:rPr>
                <w:rFonts w:ascii="Times New Roman" w:hAnsi="Times New Roman" w:cs="Times New Roman"/>
                <w:color w:val="000000" w:themeColor="text1"/>
              </w:rPr>
            </w:pPr>
            <w:r>
              <w:rPr>
                <w:rFonts w:ascii="Times New Roman" w:hAnsi="Times New Roman" w:cs="Times New Roman"/>
                <w:color w:val="000000" w:themeColor="text1"/>
              </w:rPr>
              <w:t>28000</w:t>
            </w:r>
          </w:p>
        </w:tc>
        <w:tc>
          <w:tcPr>
            <w:tcW w:w="453" w:type="pct"/>
            <w:tcBorders>
              <w:top w:val="single" w:color="auto" w:sz="4" w:space="0"/>
              <w:left w:val="single" w:color="auto" w:sz="4" w:space="0"/>
              <w:bottom w:val="single" w:color="auto" w:sz="4" w:space="0"/>
              <w:right w:val="single" w:color="auto" w:sz="4" w:space="0"/>
            </w:tcBorders>
            <w:vAlign w:val="center"/>
          </w:tcPr>
          <w:p w14:paraId="235413D8">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环水库设计面积约2.84平方公里，长度约28公里。</w:t>
            </w:r>
          </w:p>
        </w:tc>
        <w:tc>
          <w:tcPr>
            <w:tcW w:w="690" w:type="pct"/>
            <w:tcBorders>
              <w:top w:val="single" w:color="auto" w:sz="4" w:space="0"/>
              <w:left w:val="single" w:color="auto" w:sz="4" w:space="0"/>
              <w:bottom w:val="single" w:color="auto" w:sz="4" w:space="0"/>
              <w:right w:val="single" w:color="auto" w:sz="4" w:space="0"/>
            </w:tcBorders>
            <w:vAlign w:val="center"/>
          </w:tcPr>
          <w:p w14:paraId="4F308F0A">
            <w:pPr>
              <w:pStyle w:val="40"/>
              <w:jc w:val="center"/>
              <w:rPr>
                <w:rFonts w:ascii="Times New Roman" w:hAnsi="Times New Roman" w:cs="Times New Roman"/>
                <w:color w:val="000000" w:themeColor="text1"/>
              </w:rPr>
            </w:pPr>
            <w:r>
              <w:rPr>
                <w:rFonts w:ascii="Times New Roman" w:hAnsi="Times New Roman" w:cs="Times New Roman"/>
                <w:color w:val="000000" w:themeColor="text1"/>
              </w:rPr>
              <w:t>阳江市水务局</w:t>
            </w:r>
          </w:p>
        </w:tc>
        <w:tc>
          <w:tcPr>
            <w:tcW w:w="285" w:type="pct"/>
            <w:tcBorders>
              <w:top w:val="single" w:color="auto" w:sz="4" w:space="0"/>
              <w:left w:val="single" w:color="auto" w:sz="4" w:space="0"/>
              <w:bottom w:val="single" w:color="auto" w:sz="4" w:space="0"/>
              <w:right w:val="single" w:color="auto" w:sz="4" w:space="0"/>
            </w:tcBorders>
            <w:vAlign w:val="center"/>
          </w:tcPr>
          <w:p w14:paraId="6C085357">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在建</w:t>
            </w:r>
          </w:p>
        </w:tc>
      </w:tr>
      <w:tr w14:paraId="75CC57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241" w:hRule="atLeast"/>
        </w:trPr>
        <w:tc>
          <w:tcPr>
            <w:tcW w:w="217" w:type="pct"/>
            <w:tcBorders>
              <w:top w:val="single" w:color="auto" w:sz="4" w:space="0"/>
              <w:left w:val="single" w:color="auto" w:sz="4" w:space="0"/>
              <w:bottom w:val="single" w:color="auto" w:sz="4" w:space="0"/>
              <w:right w:val="single" w:color="auto" w:sz="4" w:space="0"/>
            </w:tcBorders>
            <w:vAlign w:val="center"/>
          </w:tcPr>
          <w:p w14:paraId="65C9AC22">
            <w:pPr>
              <w:pStyle w:val="40"/>
              <w:jc w:val="center"/>
              <w:rPr>
                <w:rFonts w:ascii="Times New Roman" w:hAnsi="Times New Roman" w:cs="Times New Roman"/>
                <w:color w:val="000000" w:themeColor="text1"/>
                <w:lang w:val="en-US" w:eastAsia="zh-CN"/>
              </w:rPr>
            </w:pPr>
            <w:r>
              <w:rPr>
                <w:rFonts w:hint="eastAsia" w:ascii="Times New Roman" w:hAnsi="Times New Roman" w:cs="Times New Roman"/>
                <w:color w:val="000000" w:themeColor="text1"/>
                <w:lang w:val="en-US" w:eastAsia="zh-CN"/>
              </w:rPr>
              <w:t>28</w:t>
            </w:r>
          </w:p>
        </w:tc>
        <w:tc>
          <w:tcPr>
            <w:tcW w:w="310" w:type="pct"/>
            <w:vMerge w:val="continue"/>
            <w:tcBorders>
              <w:left w:val="single" w:color="auto" w:sz="4" w:space="0"/>
              <w:right w:val="single" w:color="auto" w:sz="4" w:space="0"/>
            </w:tcBorders>
            <w:vAlign w:val="center"/>
          </w:tcPr>
          <w:p w14:paraId="5AC0A4E4">
            <w:pPr>
              <w:pStyle w:val="40"/>
              <w:jc w:val="center"/>
              <w:rPr>
                <w:rFonts w:ascii="Times New Roman" w:hAnsi="Times New Roman" w:cs="Times New Roman"/>
                <w:color w:val="000000" w:themeColor="text1"/>
              </w:rPr>
            </w:pPr>
          </w:p>
        </w:tc>
        <w:tc>
          <w:tcPr>
            <w:tcW w:w="281" w:type="pct"/>
            <w:tcBorders>
              <w:left w:val="single" w:color="auto" w:sz="4" w:space="0"/>
              <w:right w:val="single" w:color="auto" w:sz="4" w:space="0"/>
            </w:tcBorders>
            <w:vAlign w:val="center"/>
          </w:tcPr>
          <w:p w14:paraId="74D8E49F">
            <w:pPr>
              <w:pStyle w:val="40"/>
              <w:jc w:val="center"/>
              <w:rPr>
                <w:rFonts w:ascii="Times New Roman" w:hAnsi="Times New Roman" w:cs="Times New Roman"/>
                <w:color w:val="000000" w:themeColor="text1"/>
              </w:rPr>
            </w:pPr>
            <w:r>
              <w:rPr>
                <w:rFonts w:ascii="Times New Roman" w:hAnsi="Times New Roman" w:cs="Times New Roman"/>
                <w:color w:val="000000" w:themeColor="text1"/>
              </w:rPr>
              <w:t>碧道建设工程</w:t>
            </w:r>
          </w:p>
        </w:tc>
        <w:tc>
          <w:tcPr>
            <w:tcW w:w="377" w:type="pct"/>
            <w:tcBorders>
              <w:top w:val="single" w:color="auto" w:sz="4" w:space="0"/>
              <w:left w:val="single" w:color="auto" w:sz="4" w:space="0"/>
              <w:bottom w:val="single" w:color="auto" w:sz="4" w:space="0"/>
              <w:right w:val="single" w:color="auto" w:sz="4" w:space="0"/>
            </w:tcBorders>
            <w:vAlign w:val="center"/>
          </w:tcPr>
          <w:p w14:paraId="55432765">
            <w:pPr>
              <w:pStyle w:val="40"/>
              <w:rPr>
                <w:rFonts w:ascii="Times New Roman" w:hAnsi="Times New Roman" w:cs="Times New Roman"/>
                <w:color w:val="000000" w:themeColor="text1"/>
              </w:rPr>
            </w:pPr>
            <w:r>
              <w:rPr>
                <w:rFonts w:ascii="Times New Roman" w:hAnsi="Times New Roman" w:cs="Times New Roman"/>
                <w:color w:val="000000" w:themeColor="text1"/>
              </w:rPr>
              <w:t>百里碧道建设</w:t>
            </w:r>
          </w:p>
        </w:tc>
        <w:tc>
          <w:tcPr>
            <w:tcW w:w="521" w:type="pct"/>
            <w:tcBorders>
              <w:top w:val="single" w:color="auto" w:sz="4" w:space="0"/>
              <w:left w:val="single" w:color="auto" w:sz="4" w:space="0"/>
              <w:bottom w:val="single" w:color="auto" w:sz="4" w:space="0"/>
              <w:right w:val="single" w:color="auto" w:sz="4" w:space="0"/>
            </w:tcBorders>
            <w:vAlign w:val="center"/>
          </w:tcPr>
          <w:p w14:paraId="243B0018">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江城区、阳东区、阳春市、阳西县、海陵区、滨海新区</w:t>
            </w:r>
          </w:p>
        </w:tc>
        <w:tc>
          <w:tcPr>
            <w:tcW w:w="1139" w:type="pct"/>
            <w:tcBorders>
              <w:top w:val="single" w:color="auto" w:sz="4" w:space="0"/>
              <w:left w:val="single" w:color="auto" w:sz="4" w:space="0"/>
              <w:bottom w:val="single" w:color="auto" w:sz="4" w:space="0"/>
              <w:right w:val="single" w:color="auto" w:sz="4" w:space="0"/>
            </w:tcBorders>
            <w:vAlign w:val="center"/>
          </w:tcPr>
          <w:p w14:paraId="442C20B4">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高质量推进重要江河湖库碧带网络建设，优化水域岸线生态廊道空间结构，保护河湖滨岸带自然空间和生态岸线，维护河湖生态系统完整性。</w:t>
            </w:r>
          </w:p>
        </w:tc>
        <w:tc>
          <w:tcPr>
            <w:tcW w:w="328" w:type="pct"/>
            <w:tcBorders>
              <w:top w:val="single" w:color="auto" w:sz="4" w:space="0"/>
              <w:left w:val="single" w:color="auto" w:sz="4" w:space="0"/>
              <w:bottom w:val="single" w:color="auto" w:sz="4" w:space="0"/>
              <w:right w:val="single" w:color="auto" w:sz="4" w:space="0"/>
            </w:tcBorders>
            <w:vAlign w:val="center"/>
          </w:tcPr>
          <w:p w14:paraId="1510DA5C">
            <w:pPr>
              <w:pStyle w:val="40"/>
              <w:jc w:val="center"/>
              <w:rPr>
                <w:rFonts w:ascii="Times New Roman" w:hAnsi="Times New Roman" w:cs="Times New Roman"/>
                <w:color w:val="000000" w:themeColor="text1"/>
              </w:rPr>
            </w:pPr>
            <w:r>
              <w:rPr>
                <w:rFonts w:ascii="Times New Roman" w:hAnsi="Times New Roman" w:cs="Times New Roman"/>
                <w:color w:val="000000" w:themeColor="text1"/>
              </w:rPr>
              <w:t>2020-2035</w:t>
            </w:r>
          </w:p>
        </w:tc>
        <w:tc>
          <w:tcPr>
            <w:tcW w:w="399" w:type="pct"/>
            <w:tcBorders>
              <w:top w:val="single" w:color="auto" w:sz="4" w:space="0"/>
              <w:left w:val="single" w:color="auto" w:sz="4" w:space="0"/>
              <w:bottom w:val="single" w:color="auto" w:sz="4" w:space="0"/>
              <w:right w:val="single" w:color="auto" w:sz="4" w:space="0"/>
            </w:tcBorders>
            <w:vAlign w:val="center"/>
          </w:tcPr>
          <w:p w14:paraId="71286D85">
            <w:pPr>
              <w:pStyle w:val="40"/>
              <w:jc w:val="center"/>
              <w:rPr>
                <w:rFonts w:ascii="Times New Roman" w:hAnsi="Times New Roman" w:cs="Times New Roman"/>
                <w:color w:val="000000" w:themeColor="text1"/>
              </w:rPr>
            </w:pPr>
            <w:r>
              <w:rPr>
                <w:rFonts w:ascii="Times New Roman" w:hAnsi="Times New Roman" w:cs="Times New Roman"/>
                <w:color w:val="000000" w:themeColor="text1"/>
              </w:rPr>
              <w:t>545218</w:t>
            </w:r>
          </w:p>
        </w:tc>
        <w:tc>
          <w:tcPr>
            <w:tcW w:w="453" w:type="pct"/>
            <w:tcBorders>
              <w:top w:val="single" w:color="auto" w:sz="4" w:space="0"/>
              <w:left w:val="single" w:color="auto" w:sz="4" w:space="0"/>
              <w:bottom w:val="single" w:color="auto" w:sz="4" w:space="0"/>
              <w:right w:val="single" w:color="auto" w:sz="4" w:space="0"/>
            </w:tcBorders>
            <w:vAlign w:val="center"/>
          </w:tcPr>
          <w:p w14:paraId="65553BD8">
            <w:pPr>
              <w:pStyle w:val="40"/>
              <w:jc w:val="center"/>
              <w:rPr>
                <w:rFonts w:ascii="Times New Roman" w:hAnsi="Times New Roman" w:cs="Times New Roman"/>
                <w:color w:val="000000" w:themeColor="text1"/>
              </w:rPr>
            </w:pPr>
            <w:r>
              <w:rPr>
                <w:rFonts w:hint="eastAsia" w:ascii="Times New Roman" w:hAnsi="Times New Roman" w:cs="Times New Roman"/>
                <w:color w:val="000000" w:themeColor="text1"/>
                <w:lang w:eastAsia="zh-CN"/>
              </w:rPr>
              <w:t>建成碧道约</w:t>
            </w:r>
            <w:r>
              <w:rPr>
                <w:rFonts w:hint="eastAsia" w:ascii="Times New Roman" w:hAnsi="Times New Roman" w:cs="Times New Roman"/>
                <w:color w:val="000000" w:themeColor="text1"/>
              </w:rPr>
              <w:t>922公里.</w:t>
            </w:r>
          </w:p>
        </w:tc>
        <w:tc>
          <w:tcPr>
            <w:tcW w:w="690" w:type="pct"/>
            <w:tcBorders>
              <w:top w:val="single" w:color="auto" w:sz="4" w:space="0"/>
              <w:left w:val="single" w:color="auto" w:sz="4" w:space="0"/>
              <w:bottom w:val="single" w:color="auto" w:sz="4" w:space="0"/>
              <w:right w:val="single" w:color="auto" w:sz="4" w:space="0"/>
            </w:tcBorders>
            <w:vAlign w:val="center"/>
          </w:tcPr>
          <w:p w14:paraId="6FAB9800">
            <w:pPr>
              <w:pStyle w:val="40"/>
              <w:jc w:val="center"/>
              <w:rPr>
                <w:rFonts w:ascii="Times New Roman" w:hAnsi="Times New Roman" w:cs="Times New Roman"/>
                <w:color w:val="000000" w:themeColor="text1"/>
              </w:rPr>
            </w:pPr>
            <w:r>
              <w:rPr>
                <w:rFonts w:ascii="Times New Roman" w:hAnsi="Times New Roman" w:cs="Times New Roman"/>
                <w:color w:val="000000" w:themeColor="text1"/>
              </w:rPr>
              <w:t>阳江市水务局</w:t>
            </w:r>
          </w:p>
        </w:tc>
        <w:tc>
          <w:tcPr>
            <w:tcW w:w="285" w:type="pct"/>
            <w:tcBorders>
              <w:top w:val="single" w:color="auto" w:sz="4" w:space="0"/>
              <w:left w:val="single" w:color="auto" w:sz="4" w:space="0"/>
              <w:bottom w:val="single" w:color="auto" w:sz="4" w:space="0"/>
              <w:right w:val="single" w:color="auto" w:sz="4" w:space="0"/>
            </w:tcBorders>
            <w:vAlign w:val="center"/>
          </w:tcPr>
          <w:p w14:paraId="1318AD9D">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在建</w:t>
            </w:r>
          </w:p>
        </w:tc>
      </w:tr>
      <w:tr w14:paraId="10944F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1" w:hRule="atLeast"/>
        </w:trPr>
        <w:tc>
          <w:tcPr>
            <w:tcW w:w="217" w:type="pct"/>
            <w:tcBorders>
              <w:top w:val="single" w:color="auto" w:sz="4" w:space="0"/>
              <w:left w:val="single" w:color="auto" w:sz="4" w:space="0"/>
              <w:bottom w:val="single" w:color="auto" w:sz="4" w:space="0"/>
              <w:right w:val="single" w:color="auto" w:sz="4" w:space="0"/>
            </w:tcBorders>
            <w:vAlign w:val="center"/>
          </w:tcPr>
          <w:p w14:paraId="54AD174D">
            <w:pPr>
              <w:pStyle w:val="40"/>
              <w:jc w:val="center"/>
              <w:rPr>
                <w:rFonts w:ascii="Times New Roman" w:hAnsi="Times New Roman" w:cs="Times New Roman"/>
                <w:color w:val="000000" w:themeColor="text1"/>
                <w:lang w:val="en-US" w:eastAsia="zh-CN"/>
              </w:rPr>
            </w:pPr>
            <w:r>
              <w:rPr>
                <w:rFonts w:hint="eastAsia" w:ascii="Times New Roman" w:hAnsi="Times New Roman" w:cs="Times New Roman"/>
                <w:color w:val="000000" w:themeColor="text1"/>
                <w:lang w:val="en-US" w:eastAsia="zh-CN"/>
              </w:rPr>
              <w:t>29</w:t>
            </w:r>
          </w:p>
        </w:tc>
        <w:tc>
          <w:tcPr>
            <w:tcW w:w="310" w:type="pct"/>
            <w:vMerge w:val="continue"/>
            <w:tcBorders>
              <w:left w:val="single" w:color="auto" w:sz="4" w:space="0"/>
              <w:right w:val="single" w:color="auto" w:sz="4" w:space="0"/>
            </w:tcBorders>
            <w:vAlign w:val="center"/>
          </w:tcPr>
          <w:p w14:paraId="148408D2">
            <w:pPr>
              <w:pStyle w:val="40"/>
              <w:jc w:val="center"/>
              <w:rPr>
                <w:rFonts w:ascii="Times New Roman" w:hAnsi="Times New Roman" w:cs="Times New Roman"/>
                <w:color w:val="000000" w:themeColor="text1"/>
              </w:rPr>
            </w:pPr>
          </w:p>
        </w:tc>
        <w:tc>
          <w:tcPr>
            <w:tcW w:w="281" w:type="pct"/>
            <w:vMerge w:val="restart"/>
            <w:tcBorders>
              <w:left w:val="single" w:color="auto" w:sz="4" w:space="0"/>
              <w:right w:val="single" w:color="auto" w:sz="4" w:space="0"/>
            </w:tcBorders>
            <w:vAlign w:val="center"/>
          </w:tcPr>
          <w:p w14:paraId="51165B3A">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中小河流治理工程</w:t>
            </w:r>
          </w:p>
        </w:tc>
        <w:tc>
          <w:tcPr>
            <w:tcW w:w="377" w:type="pct"/>
            <w:tcBorders>
              <w:top w:val="single" w:color="auto" w:sz="4" w:space="0"/>
              <w:left w:val="single" w:color="auto" w:sz="4" w:space="0"/>
              <w:bottom w:val="single" w:color="auto" w:sz="4" w:space="0"/>
              <w:right w:val="single" w:color="auto" w:sz="4" w:space="0"/>
            </w:tcBorders>
            <w:vAlign w:val="center"/>
          </w:tcPr>
          <w:p w14:paraId="68B8A918">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岗美镇生风河整治工程</w:t>
            </w:r>
          </w:p>
        </w:tc>
        <w:tc>
          <w:tcPr>
            <w:tcW w:w="521" w:type="pct"/>
            <w:tcBorders>
              <w:top w:val="single" w:color="auto" w:sz="4" w:space="0"/>
              <w:left w:val="single" w:color="auto" w:sz="4" w:space="0"/>
              <w:bottom w:val="single" w:color="auto" w:sz="4" w:space="0"/>
              <w:right w:val="single" w:color="auto" w:sz="4" w:space="0"/>
            </w:tcBorders>
            <w:vAlign w:val="center"/>
          </w:tcPr>
          <w:p w14:paraId="662B4268">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阳春市</w:t>
            </w:r>
            <w:r>
              <w:rPr>
                <w:rFonts w:ascii="Times New Roman" w:hAnsi="Times New Roman" w:cs="Times New Roman"/>
                <w:color w:val="000000" w:themeColor="text1"/>
              </w:rPr>
              <w:t>岗美镇</w:t>
            </w:r>
          </w:p>
        </w:tc>
        <w:tc>
          <w:tcPr>
            <w:tcW w:w="1139" w:type="pct"/>
            <w:tcBorders>
              <w:top w:val="single" w:color="auto" w:sz="4" w:space="0"/>
              <w:left w:val="single" w:color="auto" w:sz="4" w:space="0"/>
              <w:bottom w:val="single" w:color="auto" w:sz="4" w:space="0"/>
              <w:right w:val="single" w:color="auto" w:sz="4" w:space="0"/>
            </w:tcBorders>
            <w:vAlign w:val="center"/>
          </w:tcPr>
          <w:p w14:paraId="522A7F0B">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生风河及其周边区域：敷设双壁波纹管共约13公里；敷设混凝土排污管共约1.8公里；建污水井432个、雨水井42个、雨水算子井168个；敷设联塑管分别为7.1公里，安装存水弯管件2573个；新建240mm砖砌挡土墙长350米。</w:t>
            </w:r>
          </w:p>
        </w:tc>
        <w:tc>
          <w:tcPr>
            <w:tcW w:w="328" w:type="pct"/>
            <w:tcBorders>
              <w:top w:val="single" w:color="auto" w:sz="4" w:space="0"/>
              <w:left w:val="single" w:color="auto" w:sz="4" w:space="0"/>
              <w:bottom w:val="single" w:color="auto" w:sz="4" w:space="0"/>
              <w:right w:val="single" w:color="auto" w:sz="4" w:space="0"/>
            </w:tcBorders>
            <w:vAlign w:val="center"/>
          </w:tcPr>
          <w:p w14:paraId="34CE0F2C">
            <w:pPr>
              <w:pStyle w:val="40"/>
              <w:jc w:val="center"/>
              <w:rPr>
                <w:rFonts w:ascii="Times New Roman" w:hAnsi="Times New Roman" w:cs="Times New Roman"/>
                <w:color w:val="000000" w:themeColor="text1"/>
              </w:rPr>
            </w:pPr>
            <w:r>
              <w:rPr>
                <w:rFonts w:ascii="Times New Roman" w:hAnsi="Times New Roman" w:cs="Times New Roman"/>
                <w:color w:val="000000" w:themeColor="text1"/>
              </w:rPr>
              <w:t>2024-2025</w:t>
            </w:r>
          </w:p>
        </w:tc>
        <w:tc>
          <w:tcPr>
            <w:tcW w:w="399" w:type="pct"/>
            <w:tcBorders>
              <w:top w:val="single" w:color="auto" w:sz="4" w:space="0"/>
              <w:left w:val="single" w:color="auto" w:sz="4" w:space="0"/>
              <w:bottom w:val="single" w:color="auto" w:sz="4" w:space="0"/>
              <w:right w:val="single" w:color="auto" w:sz="4" w:space="0"/>
            </w:tcBorders>
            <w:vAlign w:val="center"/>
          </w:tcPr>
          <w:p w14:paraId="2CFD2CC0">
            <w:pPr>
              <w:pStyle w:val="40"/>
              <w:jc w:val="center"/>
              <w:rPr>
                <w:rFonts w:ascii="Times New Roman" w:hAnsi="Times New Roman" w:cs="Times New Roman"/>
                <w:color w:val="000000" w:themeColor="text1"/>
              </w:rPr>
            </w:pPr>
            <w:r>
              <w:rPr>
                <w:rFonts w:ascii="Times New Roman" w:hAnsi="Times New Roman" w:cs="Times New Roman"/>
                <w:color w:val="000000" w:themeColor="text1"/>
              </w:rPr>
              <w:t>3100</w:t>
            </w:r>
          </w:p>
        </w:tc>
        <w:tc>
          <w:tcPr>
            <w:tcW w:w="453" w:type="pct"/>
            <w:tcBorders>
              <w:top w:val="single" w:color="auto" w:sz="4" w:space="0"/>
              <w:left w:val="single" w:color="auto" w:sz="4" w:space="0"/>
              <w:bottom w:val="single" w:color="auto" w:sz="4" w:space="0"/>
              <w:right w:val="single" w:color="auto" w:sz="4" w:space="0"/>
            </w:tcBorders>
            <w:vAlign w:val="center"/>
          </w:tcPr>
          <w:p w14:paraId="6B5EFF7B">
            <w:pPr>
              <w:pStyle w:val="40"/>
              <w:jc w:val="center"/>
              <w:rPr>
                <w:rFonts w:ascii="Times New Roman" w:hAnsi="Times New Roman" w:cs="Times New Roman"/>
                <w:color w:val="000000" w:themeColor="text1"/>
              </w:rPr>
            </w:pPr>
            <w:r>
              <w:rPr>
                <w:rFonts w:hint="eastAsia" w:ascii="Times New Roman" w:hAnsi="Times New Roman" w:cs="Times New Roman"/>
                <w:color w:val="000000" w:themeColor="text1"/>
              </w:rPr>
              <w:t>/</w:t>
            </w:r>
          </w:p>
        </w:tc>
        <w:tc>
          <w:tcPr>
            <w:tcW w:w="690" w:type="pct"/>
            <w:tcBorders>
              <w:top w:val="single" w:color="auto" w:sz="4" w:space="0"/>
              <w:left w:val="single" w:color="auto" w:sz="4" w:space="0"/>
              <w:bottom w:val="single" w:color="auto" w:sz="4" w:space="0"/>
              <w:right w:val="single" w:color="auto" w:sz="4" w:space="0"/>
            </w:tcBorders>
            <w:vAlign w:val="center"/>
          </w:tcPr>
          <w:p w14:paraId="4AA64784">
            <w:pPr>
              <w:pStyle w:val="40"/>
              <w:jc w:val="center"/>
              <w:rPr>
                <w:rFonts w:ascii="Times New Roman" w:hAnsi="Times New Roman" w:cs="Times New Roman"/>
                <w:color w:val="000000" w:themeColor="text1"/>
              </w:rPr>
            </w:pPr>
            <w:r>
              <w:rPr>
                <w:rFonts w:ascii="Times New Roman" w:hAnsi="Times New Roman" w:cs="Times New Roman"/>
                <w:color w:val="000000" w:themeColor="text1"/>
              </w:rPr>
              <w:t>岗美镇人民政府</w:t>
            </w:r>
          </w:p>
        </w:tc>
        <w:tc>
          <w:tcPr>
            <w:tcW w:w="285" w:type="pct"/>
            <w:tcBorders>
              <w:top w:val="single" w:color="auto" w:sz="4" w:space="0"/>
              <w:left w:val="single" w:color="auto" w:sz="4" w:space="0"/>
              <w:bottom w:val="single" w:color="auto" w:sz="4" w:space="0"/>
              <w:right w:val="single" w:color="auto" w:sz="4" w:space="0"/>
            </w:tcBorders>
            <w:vAlign w:val="center"/>
          </w:tcPr>
          <w:p w14:paraId="1FB02601">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规划</w:t>
            </w:r>
          </w:p>
        </w:tc>
      </w:tr>
      <w:tr w14:paraId="2758D5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1" w:hRule="atLeast"/>
        </w:trPr>
        <w:tc>
          <w:tcPr>
            <w:tcW w:w="217" w:type="pct"/>
            <w:tcBorders>
              <w:top w:val="single" w:color="auto" w:sz="4" w:space="0"/>
              <w:left w:val="single" w:color="auto" w:sz="4" w:space="0"/>
              <w:bottom w:val="single" w:color="auto" w:sz="4" w:space="0"/>
              <w:right w:val="single" w:color="auto" w:sz="4" w:space="0"/>
            </w:tcBorders>
            <w:vAlign w:val="center"/>
          </w:tcPr>
          <w:p w14:paraId="4182D053">
            <w:pPr>
              <w:pStyle w:val="40"/>
              <w:jc w:val="center"/>
              <w:rPr>
                <w:rFonts w:ascii="Times New Roman" w:hAnsi="Times New Roman" w:cs="Times New Roman"/>
                <w:color w:val="000000" w:themeColor="text1"/>
                <w:lang w:val="en-US" w:eastAsia="zh-CN"/>
              </w:rPr>
            </w:pPr>
            <w:r>
              <w:rPr>
                <w:rFonts w:hint="eastAsia" w:ascii="Times New Roman" w:hAnsi="Times New Roman" w:cs="Times New Roman"/>
                <w:color w:val="000000" w:themeColor="text1"/>
                <w:lang w:val="en-US" w:eastAsia="zh-CN"/>
              </w:rPr>
              <w:t>30</w:t>
            </w:r>
          </w:p>
        </w:tc>
        <w:tc>
          <w:tcPr>
            <w:tcW w:w="310" w:type="pct"/>
            <w:vMerge w:val="continue"/>
            <w:tcBorders>
              <w:left w:val="single" w:color="auto" w:sz="4" w:space="0"/>
              <w:right w:val="single" w:color="auto" w:sz="4" w:space="0"/>
            </w:tcBorders>
            <w:vAlign w:val="center"/>
          </w:tcPr>
          <w:p w14:paraId="363850FE">
            <w:pPr>
              <w:pStyle w:val="40"/>
              <w:jc w:val="center"/>
              <w:rPr>
                <w:rFonts w:ascii="Times New Roman" w:hAnsi="Times New Roman" w:cs="Times New Roman"/>
                <w:color w:val="000000" w:themeColor="text1"/>
              </w:rPr>
            </w:pPr>
          </w:p>
        </w:tc>
        <w:tc>
          <w:tcPr>
            <w:tcW w:w="281" w:type="pct"/>
            <w:vMerge w:val="continue"/>
            <w:tcBorders>
              <w:left w:val="single" w:color="auto" w:sz="4" w:space="0"/>
              <w:right w:val="single" w:color="auto" w:sz="4" w:space="0"/>
            </w:tcBorders>
            <w:vAlign w:val="center"/>
          </w:tcPr>
          <w:p w14:paraId="74C2335F">
            <w:pPr>
              <w:pStyle w:val="40"/>
              <w:rPr>
                <w:rFonts w:ascii="Times New Roman" w:hAnsi="Times New Roman" w:cs="Times New Roman"/>
                <w:color w:val="000000" w:themeColor="text1"/>
                <w:lang w:eastAsia="zh-CN"/>
              </w:rPr>
            </w:pPr>
          </w:p>
        </w:tc>
        <w:tc>
          <w:tcPr>
            <w:tcW w:w="377" w:type="pct"/>
            <w:tcBorders>
              <w:top w:val="single" w:color="auto" w:sz="4" w:space="0"/>
              <w:left w:val="single" w:color="auto" w:sz="4" w:space="0"/>
              <w:bottom w:val="single" w:color="auto" w:sz="4" w:space="0"/>
              <w:right w:val="single" w:color="auto" w:sz="4" w:space="0"/>
            </w:tcBorders>
            <w:vAlign w:val="center"/>
          </w:tcPr>
          <w:p w14:paraId="5DFE6C47">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阳西县茅垌水库排洪河治理工程</w:t>
            </w:r>
          </w:p>
        </w:tc>
        <w:tc>
          <w:tcPr>
            <w:tcW w:w="521" w:type="pct"/>
            <w:tcBorders>
              <w:top w:val="single" w:color="auto" w:sz="4" w:space="0"/>
              <w:left w:val="single" w:color="auto" w:sz="4" w:space="0"/>
              <w:bottom w:val="single" w:color="auto" w:sz="4" w:space="0"/>
              <w:right w:val="single" w:color="auto" w:sz="4" w:space="0"/>
            </w:tcBorders>
            <w:vAlign w:val="center"/>
          </w:tcPr>
          <w:p w14:paraId="555698F9">
            <w:pPr>
              <w:pStyle w:val="40"/>
              <w:jc w:val="center"/>
              <w:rPr>
                <w:rFonts w:ascii="Times New Roman" w:hAnsi="Times New Roman" w:cs="Times New Roman"/>
                <w:color w:val="000000" w:themeColor="text1"/>
              </w:rPr>
            </w:pPr>
            <w:r>
              <w:rPr>
                <w:rFonts w:ascii="Times New Roman" w:hAnsi="Times New Roman" w:cs="Times New Roman"/>
                <w:color w:val="000000" w:themeColor="text1"/>
              </w:rPr>
              <w:t>阳西县塘口镇</w:t>
            </w:r>
          </w:p>
        </w:tc>
        <w:tc>
          <w:tcPr>
            <w:tcW w:w="1139" w:type="pct"/>
            <w:tcBorders>
              <w:top w:val="single" w:color="auto" w:sz="4" w:space="0"/>
              <w:left w:val="single" w:color="auto" w:sz="4" w:space="0"/>
              <w:bottom w:val="single" w:color="auto" w:sz="4" w:space="0"/>
              <w:right w:val="single" w:color="auto" w:sz="4" w:space="0"/>
            </w:tcBorders>
            <w:vAlign w:val="center"/>
          </w:tcPr>
          <w:p w14:paraId="491BC7D6">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对全段河涌进行河道疏浚，护岸形式主要为松木桩+坡面景观及仿木桩+生态框+坡面景观；新增设碧道0.94公里，新建桥涵4座，增设2处景观绿化节点。</w:t>
            </w:r>
          </w:p>
        </w:tc>
        <w:tc>
          <w:tcPr>
            <w:tcW w:w="328" w:type="pct"/>
            <w:tcBorders>
              <w:top w:val="single" w:color="auto" w:sz="4" w:space="0"/>
              <w:left w:val="single" w:color="auto" w:sz="4" w:space="0"/>
              <w:bottom w:val="single" w:color="auto" w:sz="4" w:space="0"/>
              <w:right w:val="single" w:color="auto" w:sz="4" w:space="0"/>
            </w:tcBorders>
            <w:vAlign w:val="center"/>
          </w:tcPr>
          <w:p w14:paraId="1548863C">
            <w:pPr>
              <w:pStyle w:val="40"/>
              <w:jc w:val="center"/>
              <w:rPr>
                <w:rFonts w:ascii="Times New Roman" w:hAnsi="Times New Roman" w:cs="Times New Roman"/>
                <w:color w:val="000000" w:themeColor="text1"/>
              </w:rPr>
            </w:pPr>
            <w:r>
              <w:rPr>
                <w:rFonts w:ascii="Times New Roman" w:hAnsi="Times New Roman" w:cs="Times New Roman"/>
                <w:color w:val="000000" w:themeColor="text1"/>
              </w:rPr>
              <w:t>2025-2027</w:t>
            </w:r>
          </w:p>
        </w:tc>
        <w:tc>
          <w:tcPr>
            <w:tcW w:w="399" w:type="pct"/>
            <w:tcBorders>
              <w:top w:val="single" w:color="auto" w:sz="4" w:space="0"/>
              <w:left w:val="single" w:color="auto" w:sz="4" w:space="0"/>
              <w:bottom w:val="single" w:color="auto" w:sz="4" w:space="0"/>
              <w:right w:val="single" w:color="auto" w:sz="4" w:space="0"/>
            </w:tcBorders>
            <w:vAlign w:val="center"/>
          </w:tcPr>
          <w:p w14:paraId="3C651312">
            <w:pPr>
              <w:pStyle w:val="40"/>
              <w:jc w:val="center"/>
              <w:rPr>
                <w:rFonts w:ascii="Times New Roman" w:hAnsi="Times New Roman" w:cs="Times New Roman"/>
                <w:color w:val="000000" w:themeColor="text1"/>
              </w:rPr>
            </w:pPr>
            <w:r>
              <w:rPr>
                <w:rFonts w:ascii="Times New Roman" w:hAnsi="Times New Roman" w:cs="Times New Roman"/>
                <w:color w:val="000000" w:themeColor="text1"/>
              </w:rPr>
              <w:t>3062</w:t>
            </w:r>
          </w:p>
        </w:tc>
        <w:tc>
          <w:tcPr>
            <w:tcW w:w="453" w:type="pct"/>
            <w:tcBorders>
              <w:top w:val="single" w:color="auto" w:sz="4" w:space="0"/>
              <w:left w:val="single" w:color="auto" w:sz="4" w:space="0"/>
              <w:bottom w:val="single" w:color="auto" w:sz="4" w:space="0"/>
              <w:right w:val="single" w:color="auto" w:sz="4" w:space="0"/>
            </w:tcBorders>
            <w:vAlign w:val="center"/>
          </w:tcPr>
          <w:p w14:paraId="1E0E3411">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全段整治长6.27公里</w:t>
            </w:r>
            <w:r>
              <w:rPr>
                <w:rFonts w:hint="eastAsia" w:ascii="Times New Roman" w:hAnsi="Times New Roman" w:cs="Times New Roman"/>
                <w:color w:val="000000" w:themeColor="text1"/>
                <w:lang w:eastAsia="zh-CN"/>
              </w:rPr>
              <w:t>。</w:t>
            </w:r>
          </w:p>
        </w:tc>
        <w:tc>
          <w:tcPr>
            <w:tcW w:w="690" w:type="pct"/>
            <w:tcBorders>
              <w:top w:val="single" w:color="auto" w:sz="4" w:space="0"/>
              <w:left w:val="single" w:color="auto" w:sz="4" w:space="0"/>
              <w:bottom w:val="single" w:color="auto" w:sz="4" w:space="0"/>
              <w:right w:val="single" w:color="auto" w:sz="4" w:space="0"/>
            </w:tcBorders>
            <w:vAlign w:val="center"/>
          </w:tcPr>
          <w:p w14:paraId="3FEDEB72">
            <w:pPr>
              <w:pStyle w:val="40"/>
              <w:jc w:val="center"/>
              <w:rPr>
                <w:rFonts w:ascii="Times New Roman" w:hAnsi="Times New Roman" w:cs="Times New Roman"/>
                <w:color w:val="000000" w:themeColor="text1"/>
              </w:rPr>
            </w:pPr>
            <w:r>
              <w:rPr>
                <w:rFonts w:ascii="Times New Roman" w:hAnsi="Times New Roman" w:cs="Times New Roman"/>
                <w:color w:val="000000" w:themeColor="text1"/>
              </w:rPr>
              <w:t>阳西县水务局</w:t>
            </w:r>
          </w:p>
        </w:tc>
        <w:tc>
          <w:tcPr>
            <w:tcW w:w="285" w:type="pct"/>
            <w:tcBorders>
              <w:top w:val="single" w:color="auto" w:sz="4" w:space="0"/>
              <w:left w:val="single" w:color="auto" w:sz="4" w:space="0"/>
              <w:bottom w:val="single" w:color="auto" w:sz="4" w:space="0"/>
              <w:right w:val="single" w:color="auto" w:sz="4" w:space="0"/>
            </w:tcBorders>
            <w:vAlign w:val="center"/>
          </w:tcPr>
          <w:p w14:paraId="3F9E02AE">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规划</w:t>
            </w:r>
          </w:p>
        </w:tc>
      </w:tr>
      <w:tr w14:paraId="5112A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1" w:hRule="atLeast"/>
        </w:trPr>
        <w:tc>
          <w:tcPr>
            <w:tcW w:w="217" w:type="pct"/>
            <w:tcBorders>
              <w:top w:val="single" w:color="auto" w:sz="4" w:space="0"/>
              <w:left w:val="single" w:color="auto" w:sz="4" w:space="0"/>
              <w:bottom w:val="single" w:color="auto" w:sz="4" w:space="0"/>
              <w:right w:val="single" w:color="auto" w:sz="4" w:space="0"/>
            </w:tcBorders>
            <w:vAlign w:val="center"/>
          </w:tcPr>
          <w:p w14:paraId="24666910">
            <w:pPr>
              <w:pStyle w:val="40"/>
              <w:jc w:val="center"/>
              <w:rPr>
                <w:rFonts w:ascii="Times New Roman" w:hAnsi="Times New Roman" w:cs="Times New Roman"/>
                <w:color w:val="000000" w:themeColor="text1"/>
                <w:lang w:val="en-US" w:eastAsia="zh-CN"/>
              </w:rPr>
            </w:pPr>
            <w:r>
              <w:rPr>
                <w:rFonts w:hint="eastAsia" w:ascii="Times New Roman" w:hAnsi="Times New Roman" w:cs="Times New Roman"/>
                <w:color w:val="000000" w:themeColor="text1"/>
                <w:lang w:val="en-US" w:eastAsia="zh-CN"/>
              </w:rPr>
              <w:t>31</w:t>
            </w:r>
          </w:p>
        </w:tc>
        <w:tc>
          <w:tcPr>
            <w:tcW w:w="310" w:type="pct"/>
            <w:vMerge w:val="continue"/>
            <w:tcBorders>
              <w:left w:val="single" w:color="auto" w:sz="4" w:space="0"/>
              <w:right w:val="single" w:color="auto" w:sz="4" w:space="0"/>
            </w:tcBorders>
            <w:vAlign w:val="center"/>
          </w:tcPr>
          <w:p w14:paraId="670F199A">
            <w:pPr>
              <w:pStyle w:val="40"/>
              <w:jc w:val="center"/>
              <w:rPr>
                <w:rFonts w:ascii="Times New Roman" w:hAnsi="Times New Roman" w:cs="Times New Roman"/>
                <w:color w:val="000000" w:themeColor="text1"/>
              </w:rPr>
            </w:pPr>
          </w:p>
        </w:tc>
        <w:tc>
          <w:tcPr>
            <w:tcW w:w="281" w:type="pct"/>
            <w:vMerge w:val="continue"/>
            <w:tcBorders>
              <w:left w:val="single" w:color="auto" w:sz="4" w:space="0"/>
              <w:right w:val="single" w:color="auto" w:sz="4" w:space="0"/>
            </w:tcBorders>
            <w:vAlign w:val="center"/>
          </w:tcPr>
          <w:p w14:paraId="653CDFBE">
            <w:pPr>
              <w:pStyle w:val="40"/>
              <w:rPr>
                <w:rFonts w:ascii="Times New Roman" w:hAnsi="Times New Roman" w:cs="Times New Roman"/>
                <w:color w:val="000000" w:themeColor="text1"/>
                <w:lang w:eastAsia="zh-CN"/>
              </w:rPr>
            </w:pPr>
          </w:p>
        </w:tc>
        <w:tc>
          <w:tcPr>
            <w:tcW w:w="377" w:type="pct"/>
            <w:tcBorders>
              <w:top w:val="single" w:color="auto" w:sz="4" w:space="0"/>
              <w:left w:val="single" w:color="auto" w:sz="4" w:space="0"/>
              <w:bottom w:val="single" w:color="auto" w:sz="4" w:space="0"/>
              <w:right w:val="single" w:color="auto" w:sz="4" w:space="0"/>
            </w:tcBorders>
            <w:vAlign w:val="center"/>
          </w:tcPr>
          <w:p w14:paraId="15C14FE8">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儒洞河东水段治理项目</w:t>
            </w:r>
          </w:p>
        </w:tc>
        <w:tc>
          <w:tcPr>
            <w:tcW w:w="521" w:type="pct"/>
            <w:tcBorders>
              <w:top w:val="single" w:color="auto" w:sz="4" w:space="0"/>
              <w:left w:val="single" w:color="auto" w:sz="4" w:space="0"/>
              <w:bottom w:val="single" w:color="auto" w:sz="4" w:space="0"/>
              <w:right w:val="single" w:color="auto" w:sz="4" w:space="0"/>
            </w:tcBorders>
            <w:vAlign w:val="center"/>
          </w:tcPr>
          <w:p w14:paraId="6A1215A1">
            <w:pPr>
              <w:pStyle w:val="40"/>
              <w:jc w:val="center"/>
              <w:rPr>
                <w:rFonts w:ascii="Times New Roman" w:hAnsi="Times New Roman" w:cs="Times New Roman"/>
                <w:color w:val="000000" w:themeColor="text1"/>
              </w:rPr>
            </w:pPr>
            <w:r>
              <w:rPr>
                <w:rFonts w:ascii="Times New Roman" w:hAnsi="Times New Roman" w:cs="Times New Roman"/>
                <w:color w:val="000000" w:themeColor="text1"/>
              </w:rPr>
              <w:t>阳西县新墟镇</w:t>
            </w:r>
          </w:p>
        </w:tc>
        <w:tc>
          <w:tcPr>
            <w:tcW w:w="1139" w:type="pct"/>
            <w:tcBorders>
              <w:top w:val="single" w:color="auto" w:sz="4" w:space="0"/>
              <w:left w:val="single" w:color="auto" w:sz="4" w:space="0"/>
              <w:bottom w:val="single" w:color="auto" w:sz="4" w:space="0"/>
              <w:right w:val="single" w:color="auto" w:sz="4" w:space="0"/>
            </w:tcBorders>
            <w:vAlign w:val="center"/>
          </w:tcPr>
          <w:p w14:paraId="4C7E84C3">
            <w:pPr>
              <w:pStyle w:val="40"/>
              <w:rPr>
                <w:rFonts w:ascii="Times New Roman" w:hAnsi="Times New Roman" w:cs="Times New Roman"/>
                <w:color w:val="000000" w:themeColor="text1"/>
                <w:lang w:eastAsia="zh-CN"/>
              </w:rPr>
            </w:pPr>
            <w:r>
              <w:rPr>
                <w:rFonts w:hint="eastAsia" w:ascii="Times New Roman" w:hAnsi="Times New Roman" w:cs="Times New Roman"/>
                <w:color w:val="000000" w:themeColor="text1"/>
                <w:lang w:eastAsia="zh-CN"/>
              </w:rPr>
              <w:t>整治</w:t>
            </w:r>
            <w:r>
              <w:rPr>
                <w:rFonts w:ascii="Times New Roman" w:hAnsi="Times New Roman" w:cs="Times New Roman"/>
                <w:color w:val="000000" w:themeColor="text1"/>
                <w:lang w:eastAsia="zh-CN"/>
              </w:rPr>
              <w:t>护岸长度9.53公里，其中:左岸5.53公里，右岸4公里;新增景观节点3处;重建汀步4处、桥函1座;新建水陂1座、箱涵1座。</w:t>
            </w:r>
          </w:p>
        </w:tc>
        <w:tc>
          <w:tcPr>
            <w:tcW w:w="328" w:type="pct"/>
            <w:tcBorders>
              <w:top w:val="single" w:color="auto" w:sz="4" w:space="0"/>
              <w:left w:val="single" w:color="auto" w:sz="4" w:space="0"/>
              <w:bottom w:val="single" w:color="auto" w:sz="4" w:space="0"/>
              <w:right w:val="single" w:color="auto" w:sz="4" w:space="0"/>
            </w:tcBorders>
            <w:vAlign w:val="center"/>
          </w:tcPr>
          <w:p w14:paraId="33B5F359">
            <w:pPr>
              <w:pStyle w:val="40"/>
              <w:jc w:val="center"/>
              <w:rPr>
                <w:rFonts w:ascii="Times New Roman" w:hAnsi="Times New Roman" w:cs="Times New Roman"/>
                <w:color w:val="000000" w:themeColor="text1"/>
              </w:rPr>
            </w:pPr>
            <w:r>
              <w:rPr>
                <w:rFonts w:ascii="Times New Roman" w:hAnsi="Times New Roman" w:cs="Times New Roman"/>
                <w:color w:val="000000" w:themeColor="text1"/>
              </w:rPr>
              <w:t>2025-2027</w:t>
            </w:r>
          </w:p>
        </w:tc>
        <w:tc>
          <w:tcPr>
            <w:tcW w:w="399" w:type="pct"/>
            <w:tcBorders>
              <w:top w:val="single" w:color="auto" w:sz="4" w:space="0"/>
              <w:left w:val="single" w:color="auto" w:sz="4" w:space="0"/>
              <w:bottom w:val="single" w:color="auto" w:sz="4" w:space="0"/>
              <w:right w:val="single" w:color="auto" w:sz="4" w:space="0"/>
            </w:tcBorders>
            <w:vAlign w:val="center"/>
          </w:tcPr>
          <w:p w14:paraId="19CD15C7">
            <w:pPr>
              <w:pStyle w:val="40"/>
              <w:jc w:val="center"/>
              <w:rPr>
                <w:rFonts w:ascii="Times New Roman" w:hAnsi="Times New Roman" w:cs="Times New Roman"/>
                <w:color w:val="000000" w:themeColor="text1"/>
              </w:rPr>
            </w:pPr>
            <w:r>
              <w:rPr>
                <w:rFonts w:ascii="Times New Roman" w:hAnsi="Times New Roman" w:cs="Times New Roman"/>
                <w:color w:val="000000" w:themeColor="text1"/>
              </w:rPr>
              <w:t>3095</w:t>
            </w:r>
          </w:p>
        </w:tc>
        <w:tc>
          <w:tcPr>
            <w:tcW w:w="453" w:type="pct"/>
            <w:tcBorders>
              <w:top w:val="single" w:color="auto" w:sz="4" w:space="0"/>
              <w:left w:val="single" w:color="auto" w:sz="4" w:space="0"/>
              <w:bottom w:val="single" w:color="auto" w:sz="4" w:space="0"/>
              <w:right w:val="single" w:color="auto" w:sz="4" w:space="0"/>
            </w:tcBorders>
            <w:vAlign w:val="center"/>
          </w:tcPr>
          <w:p w14:paraId="6B15803C">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河道治理河长6.17公里</w:t>
            </w:r>
            <w:r>
              <w:rPr>
                <w:rFonts w:hint="eastAsia" w:ascii="Times New Roman" w:hAnsi="Times New Roman" w:cs="Times New Roman"/>
                <w:color w:val="000000" w:themeColor="text1"/>
                <w:lang w:eastAsia="zh-CN"/>
              </w:rPr>
              <w:t>。</w:t>
            </w:r>
          </w:p>
        </w:tc>
        <w:tc>
          <w:tcPr>
            <w:tcW w:w="690" w:type="pct"/>
            <w:tcBorders>
              <w:top w:val="single" w:color="auto" w:sz="4" w:space="0"/>
              <w:left w:val="single" w:color="auto" w:sz="4" w:space="0"/>
              <w:bottom w:val="single" w:color="auto" w:sz="4" w:space="0"/>
              <w:right w:val="single" w:color="auto" w:sz="4" w:space="0"/>
            </w:tcBorders>
            <w:vAlign w:val="center"/>
          </w:tcPr>
          <w:p w14:paraId="6453AA56">
            <w:pPr>
              <w:pStyle w:val="40"/>
              <w:jc w:val="center"/>
              <w:rPr>
                <w:rFonts w:ascii="Times New Roman" w:hAnsi="Times New Roman" w:cs="Times New Roman"/>
                <w:color w:val="000000" w:themeColor="text1"/>
              </w:rPr>
            </w:pPr>
            <w:r>
              <w:rPr>
                <w:rFonts w:ascii="Times New Roman" w:hAnsi="Times New Roman" w:cs="Times New Roman"/>
                <w:color w:val="000000" w:themeColor="text1"/>
              </w:rPr>
              <w:t>阳西县水务局</w:t>
            </w:r>
          </w:p>
        </w:tc>
        <w:tc>
          <w:tcPr>
            <w:tcW w:w="285" w:type="pct"/>
            <w:tcBorders>
              <w:top w:val="single" w:color="auto" w:sz="4" w:space="0"/>
              <w:left w:val="single" w:color="auto" w:sz="4" w:space="0"/>
              <w:bottom w:val="single" w:color="auto" w:sz="4" w:space="0"/>
              <w:right w:val="single" w:color="auto" w:sz="4" w:space="0"/>
            </w:tcBorders>
            <w:vAlign w:val="center"/>
          </w:tcPr>
          <w:p w14:paraId="57F85C08">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规划</w:t>
            </w:r>
          </w:p>
        </w:tc>
      </w:tr>
      <w:tr w14:paraId="14046F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1" w:hRule="atLeast"/>
        </w:trPr>
        <w:tc>
          <w:tcPr>
            <w:tcW w:w="217" w:type="pct"/>
            <w:tcBorders>
              <w:top w:val="single" w:color="auto" w:sz="4" w:space="0"/>
              <w:left w:val="single" w:color="auto" w:sz="4" w:space="0"/>
              <w:bottom w:val="single" w:color="auto" w:sz="4" w:space="0"/>
              <w:right w:val="single" w:color="auto" w:sz="4" w:space="0"/>
            </w:tcBorders>
            <w:vAlign w:val="center"/>
          </w:tcPr>
          <w:p w14:paraId="3323BC50">
            <w:pPr>
              <w:pStyle w:val="40"/>
              <w:jc w:val="center"/>
              <w:rPr>
                <w:rFonts w:ascii="Times New Roman" w:hAnsi="Times New Roman" w:cs="Times New Roman"/>
                <w:color w:val="000000" w:themeColor="text1"/>
                <w:lang w:val="en-US" w:eastAsia="zh-CN"/>
              </w:rPr>
            </w:pPr>
            <w:r>
              <w:rPr>
                <w:rFonts w:hint="eastAsia" w:ascii="Times New Roman" w:hAnsi="Times New Roman" w:cs="Times New Roman"/>
                <w:color w:val="000000" w:themeColor="text1"/>
                <w:lang w:val="en-US" w:eastAsia="zh-CN"/>
              </w:rPr>
              <w:t>32</w:t>
            </w:r>
          </w:p>
        </w:tc>
        <w:tc>
          <w:tcPr>
            <w:tcW w:w="310" w:type="pct"/>
            <w:vMerge w:val="continue"/>
            <w:tcBorders>
              <w:left w:val="single" w:color="auto" w:sz="4" w:space="0"/>
              <w:right w:val="single" w:color="auto" w:sz="4" w:space="0"/>
            </w:tcBorders>
            <w:vAlign w:val="center"/>
          </w:tcPr>
          <w:p w14:paraId="3096A2B6">
            <w:pPr>
              <w:pStyle w:val="40"/>
              <w:jc w:val="center"/>
              <w:rPr>
                <w:rFonts w:ascii="Times New Roman" w:hAnsi="Times New Roman" w:cs="Times New Roman"/>
                <w:color w:val="000000" w:themeColor="text1"/>
              </w:rPr>
            </w:pPr>
          </w:p>
        </w:tc>
        <w:tc>
          <w:tcPr>
            <w:tcW w:w="281" w:type="pct"/>
            <w:vMerge w:val="continue"/>
            <w:tcBorders>
              <w:left w:val="single" w:color="auto" w:sz="4" w:space="0"/>
              <w:right w:val="single" w:color="auto" w:sz="4" w:space="0"/>
            </w:tcBorders>
            <w:vAlign w:val="center"/>
          </w:tcPr>
          <w:p w14:paraId="5DA0F195">
            <w:pPr>
              <w:pStyle w:val="40"/>
              <w:rPr>
                <w:rFonts w:ascii="Times New Roman" w:hAnsi="Times New Roman" w:cs="Times New Roman"/>
                <w:color w:val="000000" w:themeColor="text1"/>
              </w:rPr>
            </w:pPr>
          </w:p>
        </w:tc>
        <w:tc>
          <w:tcPr>
            <w:tcW w:w="377" w:type="pct"/>
            <w:tcBorders>
              <w:top w:val="single" w:color="auto" w:sz="4" w:space="0"/>
              <w:left w:val="single" w:color="auto" w:sz="4" w:space="0"/>
              <w:bottom w:val="single" w:color="auto" w:sz="4" w:space="0"/>
              <w:right w:val="single" w:color="auto" w:sz="4" w:space="0"/>
            </w:tcBorders>
            <w:vAlign w:val="center"/>
          </w:tcPr>
          <w:p w14:paraId="45E6C22D">
            <w:pPr>
              <w:pStyle w:val="40"/>
              <w:rPr>
                <w:rFonts w:ascii="Times New Roman" w:hAnsi="Times New Roman" w:cs="Times New Roman"/>
                <w:color w:val="000000" w:themeColor="text1"/>
              </w:rPr>
            </w:pPr>
            <w:r>
              <w:rPr>
                <w:rFonts w:ascii="Times New Roman" w:hAnsi="Times New Roman" w:cs="Times New Roman"/>
                <w:color w:val="000000" w:themeColor="text1"/>
              </w:rPr>
              <w:t>中小河流治理工程</w:t>
            </w:r>
          </w:p>
        </w:tc>
        <w:tc>
          <w:tcPr>
            <w:tcW w:w="521" w:type="pct"/>
            <w:tcBorders>
              <w:top w:val="single" w:color="auto" w:sz="4" w:space="0"/>
              <w:left w:val="single" w:color="auto" w:sz="4" w:space="0"/>
              <w:bottom w:val="single" w:color="auto" w:sz="4" w:space="0"/>
              <w:right w:val="single" w:color="auto" w:sz="4" w:space="0"/>
            </w:tcBorders>
            <w:vAlign w:val="center"/>
          </w:tcPr>
          <w:p w14:paraId="78C8357F">
            <w:pPr>
              <w:pStyle w:val="40"/>
              <w:jc w:val="center"/>
              <w:rPr>
                <w:rFonts w:ascii="Times New Roman" w:hAnsi="Times New Roman" w:cs="Times New Roman"/>
                <w:color w:val="000000" w:themeColor="text1"/>
              </w:rPr>
            </w:pPr>
            <w:r>
              <w:rPr>
                <w:rFonts w:ascii="Times New Roman" w:hAnsi="Times New Roman" w:cs="Times New Roman"/>
                <w:color w:val="000000" w:themeColor="text1"/>
              </w:rPr>
              <w:t>阳江市全域</w:t>
            </w:r>
          </w:p>
        </w:tc>
        <w:tc>
          <w:tcPr>
            <w:tcW w:w="1139" w:type="pct"/>
            <w:tcBorders>
              <w:top w:val="single" w:color="auto" w:sz="4" w:space="0"/>
              <w:left w:val="single" w:color="auto" w:sz="4" w:space="0"/>
              <w:bottom w:val="single" w:color="auto" w:sz="4" w:space="0"/>
              <w:right w:val="single" w:color="auto" w:sz="4" w:space="0"/>
            </w:tcBorders>
            <w:vAlign w:val="center"/>
          </w:tcPr>
          <w:p w14:paraId="6D9C97AC">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工程措施主要为堤防建设、护岸护坡、清淤疏浚闸涵穿堤建筑物等。</w:t>
            </w:r>
          </w:p>
        </w:tc>
        <w:tc>
          <w:tcPr>
            <w:tcW w:w="328" w:type="pct"/>
            <w:tcBorders>
              <w:top w:val="single" w:color="auto" w:sz="4" w:space="0"/>
              <w:left w:val="single" w:color="auto" w:sz="4" w:space="0"/>
              <w:bottom w:val="single" w:color="auto" w:sz="4" w:space="0"/>
              <w:right w:val="single" w:color="auto" w:sz="4" w:space="0"/>
            </w:tcBorders>
            <w:vAlign w:val="center"/>
          </w:tcPr>
          <w:p w14:paraId="579A5861">
            <w:pPr>
              <w:pStyle w:val="40"/>
              <w:jc w:val="center"/>
              <w:rPr>
                <w:rFonts w:ascii="Times New Roman" w:hAnsi="Times New Roman" w:cs="Times New Roman"/>
                <w:color w:val="000000" w:themeColor="text1"/>
              </w:rPr>
            </w:pPr>
            <w:r>
              <w:rPr>
                <w:rFonts w:ascii="Times New Roman" w:hAnsi="Times New Roman" w:cs="Times New Roman"/>
                <w:color w:val="000000" w:themeColor="text1"/>
              </w:rPr>
              <w:t>2021-2035年</w:t>
            </w:r>
          </w:p>
        </w:tc>
        <w:tc>
          <w:tcPr>
            <w:tcW w:w="399" w:type="pct"/>
            <w:tcBorders>
              <w:top w:val="single" w:color="auto" w:sz="4" w:space="0"/>
              <w:left w:val="single" w:color="auto" w:sz="4" w:space="0"/>
              <w:bottom w:val="single" w:color="auto" w:sz="4" w:space="0"/>
              <w:right w:val="single" w:color="auto" w:sz="4" w:space="0"/>
            </w:tcBorders>
            <w:vAlign w:val="center"/>
          </w:tcPr>
          <w:p w14:paraId="761C6210">
            <w:pPr>
              <w:pStyle w:val="40"/>
              <w:jc w:val="center"/>
              <w:rPr>
                <w:rFonts w:ascii="Times New Roman" w:hAnsi="Times New Roman" w:cs="Times New Roman"/>
                <w:color w:val="000000" w:themeColor="text1"/>
              </w:rPr>
            </w:pPr>
            <w:r>
              <w:rPr>
                <w:rFonts w:ascii="Times New Roman" w:hAnsi="Times New Roman" w:cs="Times New Roman"/>
                <w:color w:val="000000" w:themeColor="text1"/>
              </w:rPr>
              <w:t>28000</w:t>
            </w:r>
          </w:p>
        </w:tc>
        <w:tc>
          <w:tcPr>
            <w:tcW w:w="453" w:type="pct"/>
            <w:tcBorders>
              <w:top w:val="single" w:color="auto" w:sz="4" w:space="0"/>
              <w:left w:val="single" w:color="auto" w:sz="4" w:space="0"/>
              <w:bottom w:val="single" w:color="auto" w:sz="4" w:space="0"/>
              <w:right w:val="single" w:color="auto" w:sz="4" w:space="0"/>
            </w:tcBorders>
            <w:vAlign w:val="center"/>
          </w:tcPr>
          <w:p w14:paraId="47019134">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规划阳江市中小河流治理50河段，规划治理总长为733公里。</w:t>
            </w:r>
          </w:p>
        </w:tc>
        <w:tc>
          <w:tcPr>
            <w:tcW w:w="690" w:type="pct"/>
            <w:tcBorders>
              <w:top w:val="single" w:color="auto" w:sz="4" w:space="0"/>
              <w:left w:val="single" w:color="auto" w:sz="4" w:space="0"/>
              <w:bottom w:val="single" w:color="auto" w:sz="4" w:space="0"/>
              <w:right w:val="single" w:color="auto" w:sz="4" w:space="0"/>
            </w:tcBorders>
            <w:vAlign w:val="center"/>
          </w:tcPr>
          <w:p w14:paraId="5F5844D1">
            <w:pPr>
              <w:pStyle w:val="40"/>
              <w:jc w:val="center"/>
              <w:rPr>
                <w:rFonts w:ascii="Times New Roman" w:hAnsi="Times New Roman" w:cs="Times New Roman"/>
                <w:color w:val="000000" w:themeColor="text1"/>
              </w:rPr>
            </w:pPr>
            <w:r>
              <w:rPr>
                <w:rFonts w:ascii="Times New Roman" w:hAnsi="Times New Roman" w:cs="Times New Roman"/>
                <w:color w:val="000000" w:themeColor="text1"/>
              </w:rPr>
              <w:t>阳江市水务局</w:t>
            </w:r>
          </w:p>
        </w:tc>
        <w:tc>
          <w:tcPr>
            <w:tcW w:w="285" w:type="pct"/>
            <w:tcBorders>
              <w:top w:val="single" w:color="auto" w:sz="4" w:space="0"/>
              <w:left w:val="single" w:color="auto" w:sz="4" w:space="0"/>
              <w:bottom w:val="single" w:color="auto" w:sz="4" w:space="0"/>
              <w:right w:val="single" w:color="auto" w:sz="4" w:space="0"/>
            </w:tcBorders>
            <w:vAlign w:val="center"/>
          </w:tcPr>
          <w:p w14:paraId="08DC18BD">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在建</w:t>
            </w:r>
          </w:p>
        </w:tc>
      </w:tr>
      <w:tr w14:paraId="635484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1" w:hRule="atLeast"/>
        </w:trPr>
        <w:tc>
          <w:tcPr>
            <w:tcW w:w="217" w:type="pct"/>
            <w:tcBorders>
              <w:top w:val="single" w:color="auto" w:sz="4" w:space="0"/>
              <w:left w:val="single" w:color="auto" w:sz="4" w:space="0"/>
              <w:bottom w:val="single" w:color="auto" w:sz="4" w:space="0"/>
              <w:right w:val="single" w:color="auto" w:sz="4" w:space="0"/>
            </w:tcBorders>
            <w:vAlign w:val="center"/>
          </w:tcPr>
          <w:p w14:paraId="3BD48F62">
            <w:pPr>
              <w:pStyle w:val="40"/>
              <w:jc w:val="center"/>
              <w:rPr>
                <w:rFonts w:ascii="Times New Roman" w:hAnsi="Times New Roman" w:cs="Times New Roman"/>
                <w:color w:val="000000" w:themeColor="text1"/>
                <w:lang w:val="en-US" w:eastAsia="zh-CN"/>
              </w:rPr>
            </w:pPr>
            <w:r>
              <w:rPr>
                <w:rFonts w:hint="eastAsia" w:ascii="Times New Roman" w:hAnsi="Times New Roman" w:cs="Times New Roman"/>
                <w:color w:val="000000" w:themeColor="text1"/>
                <w:lang w:val="en-US" w:eastAsia="zh-CN"/>
              </w:rPr>
              <w:t>33</w:t>
            </w:r>
          </w:p>
        </w:tc>
        <w:tc>
          <w:tcPr>
            <w:tcW w:w="310" w:type="pct"/>
            <w:vMerge w:val="continue"/>
            <w:tcBorders>
              <w:left w:val="single" w:color="auto" w:sz="4" w:space="0"/>
              <w:right w:val="single" w:color="auto" w:sz="4" w:space="0"/>
            </w:tcBorders>
            <w:vAlign w:val="center"/>
          </w:tcPr>
          <w:p w14:paraId="3E79F050">
            <w:pPr>
              <w:pStyle w:val="40"/>
              <w:jc w:val="center"/>
              <w:rPr>
                <w:rFonts w:ascii="Times New Roman" w:hAnsi="Times New Roman" w:cs="Times New Roman"/>
                <w:color w:val="000000" w:themeColor="text1"/>
              </w:rPr>
            </w:pPr>
          </w:p>
        </w:tc>
        <w:tc>
          <w:tcPr>
            <w:tcW w:w="281" w:type="pct"/>
            <w:vMerge w:val="continue"/>
            <w:tcBorders>
              <w:left w:val="single" w:color="auto" w:sz="4" w:space="0"/>
              <w:right w:val="single" w:color="auto" w:sz="4" w:space="0"/>
            </w:tcBorders>
            <w:vAlign w:val="center"/>
          </w:tcPr>
          <w:p w14:paraId="1B27C0E1">
            <w:pPr>
              <w:pStyle w:val="40"/>
              <w:rPr>
                <w:rFonts w:ascii="Times New Roman" w:hAnsi="Times New Roman" w:cs="Times New Roman"/>
                <w:color w:val="000000" w:themeColor="text1"/>
                <w:lang w:eastAsia="zh-CN"/>
              </w:rPr>
            </w:pPr>
          </w:p>
        </w:tc>
        <w:tc>
          <w:tcPr>
            <w:tcW w:w="377" w:type="pct"/>
            <w:tcBorders>
              <w:top w:val="single" w:color="auto" w:sz="4" w:space="0"/>
              <w:left w:val="single" w:color="auto" w:sz="4" w:space="0"/>
              <w:bottom w:val="single" w:color="auto" w:sz="4" w:space="0"/>
              <w:right w:val="single" w:color="auto" w:sz="4" w:space="0"/>
            </w:tcBorders>
            <w:vAlign w:val="center"/>
          </w:tcPr>
          <w:p w14:paraId="1393DAB8">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阳东区中心河流治理工程</w:t>
            </w:r>
          </w:p>
        </w:tc>
        <w:tc>
          <w:tcPr>
            <w:tcW w:w="521" w:type="pct"/>
            <w:tcBorders>
              <w:top w:val="single" w:color="auto" w:sz="4" w:space="0"/>
              <w:left w:val="single" w:color="auto" w:sz="4" w:space="0"/>
              <w:bottom w:val="single" w:color="auto" w:sz="4" w:space="0"/>
              <w:right w:val="single" w:color="auto" w:sz="4" w:space="0"/>
            </w:tcBorders>
            <w:vAlign w:val="center"/>
          </w:tcPr>
          <w:p w14:paraId="17845C34">
            <w:pPr>
              <w:pStyle w:val="40"/>
              <w:jc w:val="center"/>
              <w:rPr>
                <w:rFonts w:ascii="Times New Roman" w:hAnsi="Times New Roman" w:cs="Times New Roman"/>
                <w:color w:val="000000" w:themeColor="text1"/>
              </w:rPr>
            </w:pPr>
            <w:r>
              <w:rPr>
                <w:rFonts w:ascii="Times New Roman" w:hAnsi="Times New Roman" w:cs="Times New Roman"/>
                <w:color w:val="000000" w:themeColor="text1"/>
              </w:rPr>
              <w:t>阳东区</w:t>
            </w:r>
          </w:p>
        </w:tc>
        <w:tc>
          <w:tcPr>
            <w:tcW w:w="1139" w:type="pct"/>
            <w:tcBorders>
              <w:top w:val="single" w:color="auto" w:sz="4" w:space="0"/>
              <w:left w:val="single" w:color="auto" w:sz="4" w:space="0"/>
              <w:bottom w:val="single" w:color="auto" w:sz="4" w:space="0"/>
              <w:right w:val="single" w:color="auto" w:sz="4" w:space="0"/>
            </w:tcBorders>
            <w:vAlign w:val="center"/>
          </w:tcPr>
          <w:p w14:paraId="3FA13D09">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涉及阳东区那龙河、三合河、 周亨河、大河、大迳河、沙湾河、 大</w:t>
            </w:r>
            <w:r>
              <w:rPr>
                <w:rFonts w:hint="eastAsia" w:ascii="Times New Roman" w:hAnsi="Times New Roman" w:cs="Times New Roman"/>
                <w:color w:val="000000" w:themeColor="text1"/>
                <w:lang w:eastAsia="zh-CN"/>
              </w:rPr>
              <w:t>坰</w:t>
            </w:r>
            <w:r>
              <w:rPr>
                <w:rFonts w:ascii="Times New Roman" w:hAnsi="Times New Roman" w:cs="Times New Roman"/>
                <w:color w:val="000000" w:themeColor="text1"/>
                <w:lang w:eastAsia="zh-CN"/>
              </w:rPr>
              <w:t>河、笏朝河、规壳河、 马尾河、珠环河、马朗河、中六河、蛉沟河、漠阳江雅韶段等16条中小河流</w:t>
            </w:r>
          </w:p>
        </w:tc>
        <w:tc>
          <w:tcPr>
            <w:tcW w:w="328" w:type="pct"/>
            <w:tcBorders>
              <w:top w:val="single" w:color="auto" w:sz="4" w:space="0"/>
              <w:left w:val="single" w:color="auto" w:sz="4" w:space="0"/>
              <w:bottom w:val="single" w:color="auto" w:sz="4" w:space="0"/>
              <w:right w:val="single" w:color="auto" w:sz="4" w:space="0"/>
            </w:tcBorders>
            <w:vAlign w:val="center"/>
          </w:tcPr>
          <w:p w14:paraId="1912E909">
            <w:pPr>
              <w:pStyle w:val="40"/>
              <w:jc w:val="center"/>
              <w:rPr>
                <w:rFonts w:ascii="Times New Roman" w:hAnsi="Times New Roman" w:cs="Times New Roman"/>
                <w:color w:val="000000" w:themeColor="text1"/>
              </w:rPr>
            </w:pPr>
            <w:r>
              <w:rPr>
                <w:rFonts w:ascii="Times New Roman" w:hAnsi="Times New Roman" w:cs="Times New Roman"/>
                <w:color w:val="000000" w:themeColor="text1"/>
              </w:rPr>
              <w:t>2021-2035</w:t>
            </w:r>
          </w:p>
        </w:tc>
        <w:tc>
          <w:tcPr>
            <w:tcW w:w="399" w:type="pct"/>
            <w:tcBorders>
              <w:top w:val="single" w:color="auto" w:sz="4" w:space="0"/>
              <w:left w:val="single" w:color="auto" w:sz="4" w:space="0"/>
              <w:bottom w:val="single" w:color="auto" w:sz="4" w:space="0"/>
              <w:right w:val="single" w:color="auto" w:sz="4" w:space="0"/>
            </w:tcBorders>
            <w:vAlign w:val="center"/>
          </w:tcPr>
          <w:p w14:paraId="553E7E1D">
            <w:pPr>
              <w:pStyle w:val="40"/>
              <w:jc w:val="center"/>
              <w:rPr>
                <w:rFonts w:ascii="Times New Roman" w:hAnsi="Times New Roman" w:cs="Times New Roman"/>
                <w:color w:val="000000" w:themeColor="text1"/>
              </w:rPr>
            </w:pPr>
            <w:r>
              <w:rPr>
                <w:rFonts w:ascii="Times New Roman" w:hAnsi="Times New Roman" w:cs="Times New Roman"/>
                <w:color w:val="000000" w:themeColor="text1"/>
              </w:rPr>
              <w:t>30000</w:t>
            </w:r>
          </w:p>
        </w:tc>
        <w:tc>
          <w:tcPr>
            <w:tcW w:w="453" w:type="pct"/>
            <w:tcBorders>
              <w:top w:val="single" w:color="auto" w:sz="4" w:space="0"/>
              <w:left w:val="single" w:color="auto" w:sz="4" w:space="0"/>
              <w:bottom w:val="single" w:color="auto" w:sz="4" w:space="0"/>
              <w:right w:val="single" w:color="auto" w:sz="4" w:space="0"/>
            </w:tcBorders>
            <w:vAlign w:val="center"/>
          </w:tcPr>
          <w:p w14:paraId="78A13F85">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治理河长约263公里。</w:t>
            </w:r>
          </w:p>
        </w:tc>
        <w:tc>
          <w:tcPr>
            <w:tcW w:w="690" w:type="pct"/>
            <w:tcBorders>
              <w:top w:val="single" w:color="auto" w:sz="4" w:space="0"/>
              <w:left w:val="single" w:color="auto" w:sz="4" w:space="0"/>
              <w:bottom w:val="single" w:color="auto" w:sz="4" w:space="0"/>
              <w:right w:val="single" w:color="auto" w:sz="4" w:space="0"/>
            </w:tcBorders>
            <w:vAlign w:val="center"/>
          </w:tcPr>
          <w:p w14:paraId="56D2B063">
            <w:pPr>
              <w:pStyle w:val="40"/>
              <w:jc w:val="center"/>
              <w:rPr>
                <w:rFonts w:ascii="Times New Roman" w:hAnsi="Times New Roman" w:cs="Times New Roman"/>
                <w:color w:val="000000" w:themeColor="text1"/>
              </w:rPr>
            </w:pPr>
            <w:r>
              <w:rPr>
                <w:rFonts w:ascii="Times New Roman" w:hAnsi="Times New Roman" w:cs="Times New Roman"/>
                <w:color w:val="000000" w:themeColor="text1"/>
              </w:rPr>
              <w:t>阳东区水务局</w:t>
            </w:r>
          </w:p>
        </w:tc>
        <w:tc>
          <w:tcPr>
            <w:tcW w:w="285" w:type="pct"/>
            <w:tcBorders>
              <w:top w:val="single" w:color="auto" w:sz="4" w:space="0"/>
              <w:left w:val="single" w:color="auto" w:sz="4" w:space="0"/>
              <w:bottom w:val="single" w:color="auto" w:sz="4" w:space="0"/>
              <w:right w:val="single" w:color="auto" w:sz="4" w:space="0"/>
            </w:tcBorders>
            <w:vAlign w:val="center"/>
          </w:tcPr>
          <w:p w14:paraId="36109548">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在建</w:t>
            </w:r>
          </w:p>
        </w:tc>
      </w:tr>
      <w:tr w14:paraId="7CE320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1" w:hRule="atLeast"/>
        </w:trPr>
        <w:tc>
          <w:tcPr>
            <w:tcW w:w="217" w:type="pct"/>
            <w:tcBorders>
              <w:top w:val="single" w:color="auto" w:sz="4" w:space="0"/>
              <w:left w:val="single" w:color="auto" w:sz="4" w:space="0"/>
              <w:bottom w:val="single" w:color="auto" w:sz="4" w:space="0"/>
              <w:right w:val="single" w:color="auto" w:sz="4" w:space="0"/>
            </w:tcBorders>
            <w:vAlign w:val="center"/>
          </w:tcPr>
          <w:p w14:paraId="706DD861">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val="en-US" w:eastAsia="zh-CN"/>
              </w:rPr>
              <w:t>34</w:t>
            </w:r>
          </w:p>
        </w:tc>
        <w:tc>
          <w:tcPr>
            <w:tcW w:w="310" w:type="pct"/>
            <w:vMerge w:val="continue"/>
            <w:tcBorders>
              <w:left w:val="single" w:color="auto" w:sz="4" w:space="0"/>
              <w:right w:val="single" w:color="auto" w:sz="4" w:space="0"/>
            </w:tcBorders>
            <w:vAlign w:val="center"/>
          </w:tcPr>
          <w:p w14:paraId="5E380B69">
            <w:pPr>
              <w:pStyle w:val="40"/>
              <w:jc w:val="center"/>
              <w:rPr>
                <w:rFonts w:ascii="Times New Roman" w:hAnsi="Times New Roman" w:cs="Times New Roman"/>
                <w:color w:val="000000" w:themeColor="text1"/>
              </w:rPr>
            </w:pPr>
          </w:p>
        </w:tc>
        <w:tc>
          <w:tcPr>
            <w:tcW w:w="281" w:type="pct"/>
            <w:vMerge w:val="continue"/>
            <w:tcBorders>
              <w:left w:val="single" w:color="auto" w:sz="4" w:space="0"/>
              <w:right w:val="single" w:color="auto" w:sz="4" w:space="0"/>
            </w:tcBorders>
            <w:vAlign w:val="center"/>
          </w:tcPr>
          <w:p w14:paraId="0648F91B">
            <w:pPr>
              <w:pStyle w:val="40"/>
              <w:rPr>
                <w:rFonts w:ascii="Times New Roman" w:hAnsi="Times New Roman" w:cs="Times New Roman"/>
                <w:color w:val="000000" w:themeColor="text1"/>
                <w:lang w:eastAsia="zh-CN"/>
              </w:rPr>
            </w:pPr>
          </w:p>
        </w:tc>
        <w:tc>
          <w:tcPr>
            <w:tcW w:w="377" w:type="pct"/>
            <w:tcBorders>
              <w:top w:val="single" w:color="auto" w:sz="4" w:space="0"/>
              <w:left w:val="single" w:color="auto" w:sz="4" w:space="0"/>
              <w:bottom w:val="single" w:color="auto" w:sz="4" w:space="0"/>
              <w:right w:val="single" w:color="auto" w:sz="4" w:space="0"/>
            </w:tcBorders>
            <w:vAlign w:val="center"/>
          </w:tcPr>
          <w:p w14:paraId="7F72F505">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阳春市岗美镇生风河黑臭水体水环境综合整治工程</w:t>
            </w:r>
          </w:p>
        </w:tc>
        <w:tc>
          <w:tcPr>
            <w:tcW w:w="521" w:type="pct"/>
            <w:tcBorders>
              <w:top w:val="single" w:color="auto" w:sz="4" w:space="0"/>
              <w:left w:val="single" w:color="auto" w:sz="4" w:space="0"/>
              <w:bottom w:val="single" w:color="auto" w:sz="4" w:space="0"/>
              <w:right w:val="single" w:color="auto" w:sz="4" w:space="0"/>
            </w:tcBorders>
            <w:vAlign w:val="center"/>
          </w:tcPr>
          <w:p w14:paraId="59898A72">
            <w:pPr>
              <w:pStyle w:val="40"/>
              <w:jc w:val="center"/>
              <w:rPr>
                <w:rFonts w:ascii="Times New Roman" w:hAnsi="Times New Roman" w:cs="Times New Roman"/>
                <w:color w:val="000000" w:themeColor="text1"/>
              </w:rPr>
            </w:pPr>
            <w:r>
              <w:rPr>
                <w:rFonts w:ascii="Times New Roman" w:hAnsi="Times New Roman" w:cs="Times New Roman"/>
                <w:color w:val="000000" w:themeColor="text1"/>
              </w:rPr>
              <w:t>阳春市岗美镇生风河</w:t>
            </w:r>
          </w:p>
        </w:tc>
        <w:tc>
          <w:tcPr>
            <w:tcW w:w="1139" w:type="pct"/>
            <w:tcBorders>
              <w:top w:val="single" w:color="auto" w:sz="4" w:space="0"/>
              <w:left w:val="single" w:color="auto" w:sz="4" w:space="0"/>
              <w:bottom w:val="single" w:color="auto" w:sz="4" w:space="0"/>
              <w:right w:val="single" w:color="auto" w:sz="4" w:space="0"/>
            </w:tcBorders>
            <w:vAlign w:val="center"/>
          </w:tcPr>
          <w:p w14:paraId="09D15689">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val="en-US" w:eastAsia="zh-CN"/>
              </w:rPr>
              <w:t>1.</w:t>
            </w:r>
            <w:r>
              <w:rPr>
                <w:rFonts w:ascii="Times New Roman" w:hAnsi="Times New Roman" w:cs="Times New Roman"/>
                <w:color w:val="000000" w:themeColor="text1"/>
                <w:lang w:eastAsia="zh-CN"/>
              </w:rPr>
              <w:t>控源截污工程：建设DN300-DN800生活污水收集管网8005米，配套检查井、接户井一批；</w:t>
            </w:r>
            <w:r>
              <w:rPr>
                <w:rFonts w:ascii="Times New Roman" w:hAnsi="Times New Roman" w:cs="Times New Roman"/>
                <w:color w:val="000000" w:themeColor="text1"/>
                <w:lang w:val="en-US" w:eastAsia="zh-CN"/>
              </w:rPr>
              <w:t>2.</w:t>
            </w:r>
            <w:r>
              <w:rPr>
                <w:rFonts w:ascii="Times New Roman" w:hAnsi="Times New Roman" w:cs="Times New Roman"/>
                <w:color w:val="000000" w:themeColor="text1"/>
                <w:lang w:eastAsia="zh-CN"/>
              </w:rPr>
              <w:t>湿地净化工程：最大处理规模4500立方米/天。</w:t>
            </w:r>
          </w:p>
        </w:tc>
        <w:tc>
          <w:tcPr>
            <w:tcW w:w="328" w:type="pct"/>
            <w:tcBorders>
              <w:top w:val="single" w:color="auto" w:sz="4" w:space="0"/>
              <w:left w:val="single" w:color="auto" w:sz="4" w:space="0"/>
              <w:bottom w:val="single" w:color="auto" w:sz="4" w:space="0"/>
              <w:right w:val="single" w:color="auto" w:sz="4" w:space="0"/>
            </w:tcBorders>
            <w:vAlign w:val="center"/>
          </w:tcPr>
          <w:p w14:paraId="34D6E9A9">
            <w:pPr>
              <w:pStyle w:val="40"/>
              <w:jc w:val="center"/>
              <w:rPr>
                <w:rFonts w:ascii="Times New Roman" w:hAnsi="Times New Roman" w:cs="Times New Roman"/>
                <w:color w:val="000000" w:themeColor="text1"/>
              </w:rPr>
            </w:pPr>
            <w:r>
              <w:rPr>
                <w:rFonts w:ascii="Times New Roman" w:hAnsi="Times New Roman" w:cs="Times New Roman"/>
                <w:color w:val="000000" w:themeColor="text1"/>
              </w:rPr>
              <w:t>2024-2025</w:t>
            </w:r>
          </w:p>
        </w:tc>
        <w:tc>
          <w:tcPr>
            <w:tcW w:w="399" w:type="pct"/>
            <w:tcBorders>
              <w:top w:val="single" w:color="auto" w:sz="4" w:space="0"/>
              <w:left w:val="single" w:color="auto" w:sz="4" w:space="0"/>
              <w:bottom w:val="single" w:color="auto" w:sz="4" w:space="0"/>
              <w:right w:val="single" w:color="auto" w:sz="4" w:space="0"/>
            </w:tcBorders>
            <w:vAlign w:val="center"/>
          </w:tcPr>
          <w:p w14:paraId="479C5914">
            <w:pPr>
              <w:pStyle w:val="40"/>
              <w:jc w:val="center"/>
              <w:rPr>
                <w:rFonts w:ascii="Times New Roman" w:hAnsi="Times New Roman" w:cs="Times New Roman"/>
                <w:color w:val="000000" w:themeColor="text1"/>
              </w:rPr>
            </w:pPr>
            <w:r>
              <w:rPr>
                <w:rFonts w:ascii="Times New Roman" w:hAnsi="Times New Roman" w:cs="Times New Roman"/>
                <w:color w:val="000000" w:themeColor="text1"/>
              </w:rPr>
              <w:t>4387.68</w:t>
            </w:r>
          </w:p>
        </w:tc>
        <w:tc>
          <w:tcPr>
            <w:tcW w:w="453" w:type="pct"/>
            <w:tcBorders>
              <w:top w:val="single" w:color="auto" w:sz="4" w:space="0"/>
              <w:left w:val="single" w:color="auto" w:sz="4" w:space="0"/>
              <w:bottom w:val="single" w:color="auto" w:sz="4" w:space="0"/>
              <w:right w:val="single" w:color="auto" w:sz="4" w:space="0"/>
            </w:tcBorders>
            <w:vAlign w:val="center"/>
          </w:tcPr>
          <w:p w14:paraId="4C4BAD64">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eastAsia="zh-CN"/>
              </w:rPr>
              <w:t>新增人工湿地面积1.5000公顷。</w:t>
            </w:r>
          </w:p>
        </w:tc>
        <w:tc>
          <w:tcPr>
            <w:tcW w:w="690" w:type="pct"/>
            <w:tcBorders>
              <w:top w:val="single" w:color="auto" w:sz="4" w:space="0"/>
              <w:left w:val="single" w:color="auto" w:sz="4" w:space="0"/>
              <w:bottom w:val="single" w:color="auto" w:sz="4" w:space="0"/>
              <w:right w:val="single" w:color="auto" w:sz="4" w:space="0"/>
            </w:tcBorders>
            <w:vAlign w:val="center"/>
          </w:tcPr>
          <w:p w14:paraId="75222DB7">
            <w:pPr>
              <w:pStyle w:val="40"/>
              <w:jc w:val="center"/>
              <w:rPr>
                <w:rFonts w:ascii="Times New Roman" w:hAnsi="Times New Roman" w:cs="Times New Roman"/>
                <w:color w:val="000000" w:themeColor="text1"/>
              </w:rPr>
            </w:pPr>
            <w:r>
              <w:rPr>
                <w:rFonts w:ascii="Times New Roman" w:hAnsi="Times New Roman" w:cs="Times New Roman"/>
                <w:color w:val="000000" w:themeColor="text1"/>
              </w:rPr>
              <w:t>岗美镇人民政府</w:t>
            </w:r>
          </w:p>
        </w:tc>
        <w:tc>
          <w:tcPr>
            <w:tcW w:w="285" w:type="pct"/>
            <w:tcBorders>
              <w:top w:val="single" w:color="auto" w:sz="4" w:space="0"/>
              <w:left w:val="single" w:color="auto" w:sz="4" w:space="0"/>
              <w:bottom w:val="single" w:color="auto" w:sz="4" w:space="0"/>
              <w:right w:val="single" w:color="auto" w:sz="4" w:space="0"/>
            </w:tcBorders>
            <w:vAlign w:val="center"/>
          </w:tcPr>
          <w:p w14:paraId="3EBF7DA0">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在建</w:t>
            </w:r>
          </w:p>
        </w:tc>
      </w:tr>
      <w:tr w14:paraId="0FAB93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1" w:hRule="atLeast"/>
        </w:trPr>
        <w:tc>
          <w:tcPr>
            <w:tcW w:w="217" w:type="pct"/>
            <w:tcBorders>
              <w:top w:val="single" w:color="auto" w:sz="4" w:space="0"/>
              <w:left w:val="single" w:color="auto" w:sz="4" w:space="0"/>
              <w:bottom w:val="single" w:color="auto" w:sz="4" w:space="0"/>
              <w:right w:val="single" w:color="auto" w:sz="4" w:space="0"/>
            </w:tcBorders>
            <w:vAlign w:val="center"/>
          </w:tcPr>
          <w:p w14:paraId="655610AA">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val="en-US" w:eastAsia="zh-CN"/>
              </w:rPr>
              <w:t>35</w:t>
            </w:r>
          </w:p>
        </w:tc>
        <w:tc>
          <w:tcPr>
            <w:tcW w:w="310" w:type="pct"/>
            <w:vMerge w:val="continue"/>
            <w:tcBorders>
              <w:left w:val="single" w:color="auto" w:sz="4" w:space="0"/>
              <w:right w:val="single" w:color="auto" w:sz="4" w:space="0"/>
            </w:tcBorders>
            <w:vAlign w:val="center"/>
          </w:tcPr>
          <w:p w14:paraId="4F0A3B9E">
            <w:pPr>
              <w:pStyle w:val="40"/>
              <w:jc w:val="center"/>
              <w:rPr>
                <w:rFonts w:ascii="Times New Roman" w:hAnsi="Times New Roman" w:cs="Times New Roman"/>
                <w:color w:val="000000" w:themeColor="text1"/>
                <w:lang w:eastAsia="zh-CN"/>
              </w:rPr>
            </w:pPr>
          </w:p>
        </w:tc>
        <w:tc>
          <w:tcPr>
            <w:tcW w:w="281" w:type="pct"/>
            <w:vMerge w:val="continue"/>
            <w:tcBorders>
              <w:left w:val="single" w:color="auto" w:sz="4" w:space="0"/>
              <w:right w:val="single" w:color="auto" w:sz="4" w:space="0"/>
            </w:tcBorders>
            <w:vAlign w:val="center"/>
          </w:tcPr>
          <w:p w14:paraId="69C8D1AE">
            <w:pPr>
              <w:pStyle w:val="40"/>
              <w:rPr>
                <w:rFonts w:ascii="Times New Roman" w:hAnsi="Times New Roman" w:cs="Times New Roman"/>
                <w:color w:val="000000" w:themeColor="text1"/>
                <w:lang w:eastAsia="zh-CN"/>
              </w:rPr>
            </w:pPr>
          </w:p>
        </w:tc>
        <w:tc>
          <w:tcPr>
            <w:tcW w:w="377" w:type="pct"/>
            <w:tcBorders>
              <w:top w:val="single" w:color="auto" w:sz="4" w:space="0"/>
              <w:left w:val="single" w:color="auto" w:sz="4" w:space="0"/>
              <w:bottom w:val="single" w:color="auto" w:sz="4" w:space="0"/>
              <w:right w:val="single" w:color="auto" w:sz="4" w:space="0"/>
            </w:tcBorders>
            <w:vAlign w:val="center"/>
          </w:tcPr>
          <w:p w14:paraId="0D735E7B">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阳春市城区黑臭水体整治工程</w:t>
            </w:r>
          </w:p>
        </w:tc>
        <w:tc>
          <w:tcPr>
            <w:tcW w:w="521" w:type="pct"/>
            <w:tcBorders>
              <w:top w:val="single" w:color="auto" w:sz="4" w:space="0"/>
              <w:left w:val="single" w:color="auto" w:sz="4" w:space="0"/>
              <w:bottom w:val="single" w:color="auto" w:sz="4" w:space="0"/>
              <w:right w:val="single" w:color="auto" w:sz="4" w:space="0"/>
            </w:tcBorders>
            <w:vAlign w:val="center"/>
          </w:tcPr>
          <w:p w14:paraId="1FD89298">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阳春市全域</w:t>
            </w:r>
          </w:p>
        </w:tc>
        <w:tc>
          <w:tcPr>
            <w:tcW w:w="1139" w:type="pct"/>
            <w:tcBorders>
              <w:top w:val="single" w:color="auto" w:sz="4" w:space="0"/>
              <w:left w:val="single" w:color="auto" w:sz="4" w:space="0"/>
              <w:bottom w:val="single" w:color="auto" w:sz="4" w:space="0"/>
              <w:right w:val="single" w:color="auto" w:sz="4" w:space="0"/>
            </w:tcBorders>
            <w:vAlign w:val="center"/>
          </w:tcPr>
          <w:p w14:paraId="5419DD97">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对龙湾河、牛迳河、田螺埒及新开河四条河涌合计约13公里开展控源截污、排口整治、清淤疏浚和生态修复等工程</w:t>
            </w:r>
            <w:r>
              <w:rPr>
                <w:rFonts w:hint="eastAsia" w:ascii="Times New Roman" w:hAnsi="Times New Roman" w:cs="Times New Roman"/>
                <w:color w:val="000000" w:themeColor="text1"/>
                <w:lang w:eastAsia="zh-CN"/>
              </w:rPr>
              <w:t>。</w:t>
            </w:r>
          </w:p>
        </w:tc>
        <w:tc>
          <w:tcPr>
            <w:tcW w:w="328" w:type="pct"/>
            <w:tcBorders>
              <w:top w:val="single" w:color="auto" w:sz="4" w:space="0"/>
              <w:left w:val="single" w:color="auto" w:sz="4" w:space="0"/>
              <w:bottom w:val="single" w:color="auto" w:sz="4" w:space="0"/>
              <w:right w:val="single" w:color="auto" w:sz="4" w:space="0"/>
            </w:tcBorders>
            <w:vAlign w:val="center"/>
          </w:tcPr>
          <w:p w14:paraId="428A1659">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2024年</w:t>
            </w:r>
          </w:p>
        </w:tc>
        <w:tc>
          <w:tcPr>
            <w:tcW w:w="399" w:type="pct"/>
            <w:tcBorders>
              <w:top w:val="single" w:color="auto" w:sz="4" w:space="0"/>
              <w:left w:val="single" w:color="auto" w:sz="4" w:space="0"/>
              <w:bottom w:val="single" w:color="auto" w:sz="4" w:space="0"/>
              <w:right w:val="single" w:color="auto" w:sz="4" w:space="0"/>
            </w:tcBorders>
            <w:vAlign w:val="center"/>
          </w:tcPr>
          <w:p w14:paraId="3998493D">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42700</w:t>
            </w:r>
          </w:p>
        </w:tc>
        <w:tc>
          <w:tcPr>
            <w:tcW w:w="453" w:type="pct"/>
            <w:tcBorders>
              <w:top w:val="single" w:color="auto" w:sz="4" w:space="0"/>
              <w:left w:val="single" w:color="auto" w:sz="4" w:space="0"/>
              <w:bottom w:val="single" w:color="auto" w:sz="4" w:space="0"/>
              <w:right w:val="single" w:color="auto" w:sz="4" w:space="0"/>
            </w:tcBorders>
            <w:vAlign w:val="center"/>
          </w:tcPr>
          <w:p w14:paraId="3DF3FFB1">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拟共建设污水管道约71.985公里</w:t>
            </w:r>
            <w:r>
              <w:rPr>
                <w:rFonts w:hint="eastAsia" w:ascii="Times New Roman" w:hAnsi="Times New Roman" w:cs="Times New Roman"/>
                <w:color w:val="000000" w:themeColor="text1"/>
                <w:lang w:eastAsia="zh-CN"/>
              </w:rPr>
              <w:t>。</w:t>
            </w:r>
          </w:p>
        </w:tc>
        <w:tc>
          <w:tcPr>
            <w:tcW w:w="690" w:type="pct"/>
            <w:tcBorders>
              <w:top w:val="single" w:color="auto" w:sz="4" w:space="0"/>
              <w:left w:val="single" w:color="auto" w:sz="4" w:space="0"/>
              <w:bottom w:val="single" w:color="auto" w:sz="4" w:space="0"/>
              <w:right w:val="single" w:color="auto" w:sz="4" w:space="0"/>
            </w:tcBorders>
            <w:vAlign w:val="center"/>
          </w:tcPr>
          <w:p w14:paraId="76CDFB68">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阳春市政府</w:t>
            </w:r>
          </w:p>
        </w:tc>
        <w:tc>
          <w:tcPr>
            <w:tcW w:w="285" w:type="pct"/>
            <w:tcBorders>
              <w:top w:val="single" w:color="auto" w:sz="4" w:space="0"/>
              <w:left w:val="single" w:color="auto" w:sz="4" w:space="0"/>
              <w:bottom w:val="single" w:color="auto" w:sz="4" w:space="0"/>
              <w:right w:val="single" w:color="auto" w:sz="4" w:space="0"/>
            </w:tcBorders>
            <w:vAlign w:val="center"/>
          </w:tcPr>
          <w:p w14:paraId="2FE13AEB">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在建</w:t>
            </w:r>
          </w:p>
        </w:tc>
      </w:tr>
      <w:tr w14:paraId="21ABA1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1" w:hRule="atLeast"/>
        </w:trPr>
        <w:tc>
          <w:tcPr>
            <w:tcW w:w="217" w:type="pct"/>
            <w:tcBorders>
              <w:top w:val="single" w:color="auto" w:sz="4" w:space="0"/>
              <w:left w:val="single" w:color="auto" w:sz="4" w:space="0"/>
              <w:bottom w:val="single" w:color="auto" w:sz="4" w:space="0"/>
              <w:right w:val="single" w:color="auto" w:sz="4" w:space="0"/>
            </w:tcBorders>
            <w:vAlign w:val="center"/>
          </w:tcPr>
          <w:p w14:paraId="46A268F2">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val="en-US" w:eastAsia="zh-CN"/>
              </w:rPr>
              <w:t>36</w:t>
            </w:r>
          </w:p>
        </w:tc>
        <w:tc>
          <w:tcPr>
            <w:tcW w:w="310" w:type="pct"/>
            <w:vMerge w:val="continue"/>
            <w:tcBorders>
              <w:left w:val="single" w:color="auto" w:sz="4" w:space="0"/>
              <w:bottom w:val="single" w:color="auto" w:sz="4" w:space="0"/>
              <w:right w:val="single" w:color="auto" w:sz="4" w:space="0"/>
            </w:tcBorders>
            <w:vAlign w:val="center"/>
          </w:tcPr>
          <w:p w14:paraId="634F5760">
            <w:pPr>
              <w:pStyle w:val="40"/>
              <w:jc w:val="center"/>
              <w:rPr>
                <w:rFonts w:ascii="Times New Roman" w:hAnsi="Times New Roman" w:cs="Times New Roman"/>
                <w:color w:val="000000" w:themeColor="text1"/>
                <w:lang w:eastAsia="zh-CN"/>
              </w:rPr>
            </w:pPr>
          </w:p>
        </w:tc>
        <w:tc>
          <w:tcPr>
            <w:tcW w:w="281" w:type="pct"/>
            <w:vMerge w:val="continue"/>
            <w:tcBorders>
              <w:left w:val="single" w:color="auto" w:sz="4" w:space="0"/>
              <w:bottom w:val="single" w:color="auto" w:sz="4" w:space="0"/>
              <w:right w:val="single" w:color="auto" w:sz="4" w:space="0"/>
            </w:tcBorders>
            <w:vAlign w:val="center"/>
          </w:tcPr>
          <w:p w14:paraId="04FB2BD9">
            <w:pPr>
              <w:pStyle w:val="40"/>
              <w:rPr>
                <w:rFonts w:ascii="Times New Roman" w:hAnsi="Times New Roman" w:cs="Times New Roman"/>
                <w:color w:val="000000" w:themeColor="text1"/>
                <w:lang w:eastAsia="zh-CN"/>
              </w:rPr>
            </w:pPr>
          </w:p>
        </w:tc>
        <w:tc>
          <w:tcPr>
            <w:tcW w:w="377" w:type="pct"/>
            <w:tcBorders>
              <w:top w:val="single" w:color="auto" w:sz="4" w:space="0"/>
              <w:left w:val="single" w:color="auto" w:sz="4" w:space="0"/>
              <w:bottom w:val="single" w:color="auto" w:sz="4" w:space="0"/>
              <w:right w:val="single" w:color="auto" w:sz="4" w:space="0"/>
            </w:tcBorders>
            <w:vAlign w:val="center"/>
          </w:tcPr>
          <w:p w14:paraId="07F7D587">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阳春市漠阳江水环境综合整治项目(春城至春湾段)</w:t>
            </w:r>
          </w:p>
        </w:tc>
        <w:tc>
          <w:tcPr>
            <w:tcW w:w="521" w:type="pct"/>
            <w:tcBorders>
              <w:top w:val="single" w:color="auto" w:sz="4" w:space="0"/>
              <w:left w:val="single" w:color="auto" w:sz="4" w:space="0"/>
              <w:bottom w:val="single" w:color="auto" w:sz="4" w:space="0"/>
              <w:right w:val="single" w:color="auto" w:sz="4" w:space="0"/>
            </w:tcBorders>
            <w:vAlign w:val="center"/>
          </w:tcPr>
          <w:p w14:paraId="788926DA">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rPr>
              <w:t>阳春市春城街道</w:t>
            </w:r>
          </w:p>
        </w:tc>
        <w:tc>
          <w:tcPr>
            <w:tcW w:w="1139" w:type="pct"/>
            <w:tcBorders>
              <w:top w:val="single" w:color="auto" w:sz="4" w:space="0"/>
              <w:left w:val="single" w:color="auto" w:sz="4" w:space="0"/>
              <w:bottom w:val="single" w:color="auto" w:sz="4" w:space="0"/>
              <w:right w:val="single" w:color="auto" w:sz="4" w:space="0"/>
            </w:tcBorders>
            <w:vAlign w:val="center"/>
          </w:tcPr>
          <w:p w14:paraId="3B859E83">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清淤疏，提高河道通航能力，提升防洪减灾能力，提升水环境水质治理，包括两岸公路等。</w:t>
            </w:r>
          </w:p>
        </w:tc>
        <w:tc>
          <w:tcPr>
            <w:tcW w:w="328" w:type="pct"/>
            <w:tcBorders>
              <w:top w:val="single" w:color="auto" w:sz="4" w:space="0"/>
              <w:left w:val="single" w:color="auto" w:sz="4" w:space="0"/>
              <w:bottom w:val="single" w:color="auto" w:sz="4" w:space="0"/>
              <w:right w:val="single" w:color="auto" w:sz="4" w:space="0"/>
            </w:tcBorders>
            <w:vAlign w:val="center"/>
          </w:tcPr>
          <w:p w14:paraId="6964DA90">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2024年</w:t>
            </w:r>
          </w:p>
        </w:tc>
        <w:tc>
          <w:tcPr>
            <w:tcW w:w="399" w:type="pct"/>
            <w:tcBorders>
              <w:top w:val="single" w:color="auto" w:sz="4" w:space="0"/>
              <w:left w:val="single" w:color="auto" w:sz="4" w:space="0"/>
              <w:bottom w:val="single" w:color="auto" w:sz="4" w:space="0"/>
              <w:right w:val="single" w:color="auto" w:sz="4" w:space="0"/>
            </w:tcBorders>
            <w:vAlign w:val="center"/>
          </w:tcPr>
          <w:p w14:paraId="3F12CDEE">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130000</w:t>
            </w:r>
          </w:p>
        </w:tc>
        <w:tc>
          <w:tcPr>
            <w:tcW w:w="453" w:type="pct"/>
            <w:tcBorders>
              <w:top w:val="single" w:color="auto" w:sz="4" w:space="0"/>
              <w:left w:val="single" w:color="auto" w:sz="4" w:space="0"/>
              <w:bottom w:val="single" w:color="auto" w:sz="4" w:space="0"/>
              <w:right w:val="single" w:color="auto" w:sz="4" w:space="0"/>
            </w:tcBorders>
            <w:vAlign w:val="center"/>
          </w:tcPr>
          <w:p w14:paraId="3153877A">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治理河道38公里</w:t>
            </w:r>
            <w:r>
              <w:rPr>
                <w:rFonts w:hint="eastAsia" w:ascii="Times New Roman" w:hAnsi="Times New Roman" w:cs="Times New Roman"/>
                <w:color w:val="000000" w:themeColor="text1"/>
                <w:lang w:eastAsia="zh-CN"/>
              </w:rPr>
              <w:t>。</w:t>
            </w:r>
          </w:p>
        </w:tc>
        <w:tc>
          <w:tcPr>
            <w:tcW w:w="690" w:type="pct"/>
            <w:tcBorders>
              <w:top w:val="single" w:color="auto" w:sz="4" w:space="0"/>
              <w:left w:val="single" w:color="auto" w:sz="4" w:space="0"/>
              <w:bottom w:val="single" w:color="auto" w:sz="4" w:space="0"/>
              <w:right w:val="single" w:color="auto" w:sz="4" w:space="0"/>
            </w:tcBorders>
            <w:vAlign w:val="center"/>
          </w:tcPr>
          <w:p w14:paraId="475BAEEB">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阳春市水务局</w:t>
            </w:r>
          </w:p>
        </w:tc>
        <w:tc>
          <w:tcPr>
            <w:tcW w:w="285" w:type="pct"/>
            <w:tcBorders>
              <w:top w:val="single" w:color="auto" w:sz="4" w:space="0"/>
              <w:left w:val="single" w:color="auto" w:sz="4" w:space="0"/>
              <w:bottom w:val="single" w:color="auto" w:sz="4" w:space="0"/>
              <w:right w:val="single" w:color="auto" w:sz="4" w:space="0"/>
            </w:tcBorders>
            <w:vAlign w:val="center"/>
          </w:tcPr>
          <w:p w14:paraId="2B33ACB5">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在建</w:t>
            </w:r>
          </w:p>
        </w:tc>
      </w:tr>
      <w:tr w14:paraId="1E7F28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1" w:hRule="atLeast"/>
        </w:trPr>
        <w:tc>
          <w:tcPr>
            <w:tcW w:w="217" w:type="pct"/>
            <w:tcBorders>
              <w:top w:val="single" w:color="auto" w:sz="4" w:space="0"/>
              <w:left w:val="single" w:color="auto" w:sz="4" w:space="0"/>
              <w:bottom w:val="single" w:color="auto" w:sz="4" w:space="0"/>
              <w:right w:val="single" w:color="auto" w:sz="4" w:space="0"/>
            </w:tcBorders>
            <w:vAlign w:val="center"/>
          </w:tcPr>
          <w:p w14:paraId="60B74614">
            <w:pPr>
              <w:pStyle w:val="40"/>
              <w:jc w:val="center"/>
              <w:rPr>
                <w:rFonts w:ascii="Times New Roman" w:hAnsi="Times New Roman" w:cs="Times New Roman"/>
                <w:color w:val="000000" w:themeColor="text1"/>
                <w:lang w:val="en-US" w:eastAsia="zh-CN"/>
              </w:rPr>
            </w:pPr>
            <w:r>
              <w:rPr>
                <w:rFonts w:hint="eastAsia" w:ascii="Times New Roman" w:hAnsi="Times New Roman" w:cs="Times New Roman"/>
                <w:color w:val="000000" w:themeColor="text1"/>
                <w:lang w:val="en-US" w:eastAsia="zh-CN"/>
              </w:rPr>
              <w:t>37</w:t>
            </w:r>
          </w:p>
        </w:tc>
        <w:tc>
          <w:tcPr>
            <w:tcW w:w="310" w:type="pct"/>
            <w:vMerge w:val="restart"/>
            <w:tcBorders>
              <w:top w:val="single" w:color="auto" w:sz="4" w:space="0"/>
              <w:left w:val="single" w:color="auto" w:sz="4" w:space="0"/>
              <w:bottom w:val="single" w:color="auto" w:sz="4" w:space="0"/>
              <w:right w:val="single" w:color="auto" w:sz="4" w:space="0"/>
            </w:tcBorders>
            <w:vAlign w:val="center"/>
          </w:tcPr>
          <w:p w14:paraId="50AE6A7B">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eastAsia="zh-CN"/>
              </w:rPr>
              <w:t>绿美阳江城市绿化工程</w:t>
            </w:r>
          </w:p>
        </w:tc>
        <w:tc>
          <w:tcPr>
            <w:tcW w:w="281" w:type="pct"/>
            <w:vMerge w:val="restart"/>
            <w:tcBorders>
              <w:top w:val="single" w:color="auto" w:sz="4" w:space="0"/>
              <w:left w:val="single" w:color="auto" w:sz="4" w:space="0"/>
              <w:right w:val="single" w:color="auto" w:sz="4" w:space="0"/>
            </w:tcBorders>
            <w:vAlign w:val="center"/>
          </w:tcPr>
          <w:p w14:paraId="0ED862EA">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城乡一体绿美提升行动</w:t>
            </w:r>
          </w:p>
        </w:tc>
        <w:tc>
          <w:tcPr>
            <w:tcW w:w="377" w:type="pct"/>
            <w:tcBorders>
              <w:top w:val="single" w:color="auto" w:sz="4" w:space="0"/>
              <w:left w:val="single" w:color="auto" w:sz="4" w:space="0"/>
              <w:bottom w:val="single" w:color="auto" w:sz="4" w:space="0"/>
              <w:right w:val="single" w:color="auto" w:sz="4" w:space="0"/>
            </w:tcBorders>
            <w:vAlign w:val="center"/>
          </w:tcPr>
          <w:p w14:paraId="15527065">
            <w:pPr>
              <w:pStyle w:val="40"/>
              <w:rPr>
                <w:rFonts w:ascii="Times New Roman" w:hAnsi="Times New Roman" w:cs="Times New Roman"/>
                <w:color w:val="000000" w:themeColor="text1"/>
              </w:rPr>
            </w:pPr>
            <w:r>
              <w:rPr>
                <w:rFonts w:ascii="Times New Roman" w:hAnsi="Times New Roman" w:cs="Times New Roman"/>
                <w:color w:val="000000" w:themeColor="text1"/>
              </w:rPr>
              <w:t>绿美示范点建设</w:t>
            </w:r>
          </w:p>
        </w:tc>
        <w:tc>
          <w:tcPr>
            <w:tcW w:w="521" w:type="pct"/>
            <w:tcBorders>
              <w:top w:val="single" w:color="auto" w:sz="4" w:space="0"/>
              <w:left w:val="single" w:color="auto" w:sz="4" w:space="0"/>
              <w:bottom w:val="single" w:color="auto" w:sz="4" w:space="0"/>
              <w:right w:val="single" w:color="auto" w:sz="4" w:space="0"/>
            </w:tcBorders>
            <w:vAlign w:val="center"/>
          </w:tcPr>
          <w:p w14:paraId="557A2E0B">
            <w:pPr>
              <w:pStyle w:val="40"/>
              <w:rPr>
                <w:rFonts w:ascii="Times New Roman" w:hAnsi="Times New Roman" w:cs="Times New Roman"/>
                <w:color w:val="000000" w:themeColor="text1"/>
              </w:rPr>
            </w:pPr>
            <w:r>
              <w:rPr>
                <w:rFonts w:ascii="Times New Roman" w:hAnsi="Times New Roman" w:cs="Times New Roman"/>
                <w:color w:val="000000" w:themeColor="text1"/>
              </w:rPr>
              <w:t>东湖森林公园</w:t>
            </w:r>
          </w:p>
        </w:tc>
        <w:tc>
          <w:tcPr>
            <w:tcW w:w="1139" w:type="pct"/>
            <w:tcBorders>
              <w:top w:val="single" w:color="auto" w:sz="4" w:space="0"/>
              <w:left w:val="single" w:color="auto" w:sz="4" w:space="0"/>
              <w:bottom w:val="single" w:color="auto" w:sz="4" w:space="0"/>
              <w:right w:val="single" w:color="auto" w:sz="4" w:space="0"/>
            </w:tcBorders>
            <w:vAlign w:val="center"/>
          </w:tcPr>
          <w:p w14:paraId="098BA42E">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东湖森林公园二期新建及一期提升改造</w:t>
            </w:r>
          </w:p>
        </w:tc>
        <w:tc>
          <w:tcPr>
            <w:tcW w:w="328" w:type="pct"/>
            <w:tcBorders>
              <w:top w:val="single" w:color="auto" w:sz="4" w:space="0"/>
              <w:left w:val="single" w:color="auto" w:sz="4" w:space="0"/>
              <w:bottom w:val="single" w:color="auto" w:sz="4" w:space="0"/>
              <w:right w:val="single" w:color="auto" w:sz="4" w:space="0"/>
            </w:tcBorders>
            <w:vAlign w:val="center"/>
          </w:tcPr>
          <w:p w14:paraId="7B145F86">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eastAsia="zh-CN"/>
              </w:rPr>
              <w:t>2024-2035</w:t>
            </w:r>
          </w:p>
        </w:tc>
        <w:tc>
          <w:tcPr>
            <w:tcW w:w="399" w:type="pct"/>
            <w:tcBorders>
              <w:top w:val="single" w:color="auto" w:sz="4" w:space="0"/>
              <w:left w:val="single" w:color="auto" w:sz="4" w:space="0"/>
              <w:bottom w:val="single" w:color="auto" w:sz="4" w:space="0"/>
              <w:right w:val="single" w:color="auto" w:sz="4" w:space="0"/>
            </w:tcBorders>
            <w:vAlign w:val="center"/>
          </w:tcPr>
          <w:p w14:paraId="3D827D8D">
            <w:pPr>
              <w:pStyle w:val="40"/>
              <w:jc w:val="center"/>
              <w:rPr>
                <w:rFonts w:ascii="Times New Roman" w:hAnsi="Times New Roman" w:cs="Times New Roman"/>
                <w:color w:val="000000" w:themeColor="text1"/>
              </w:rPr>
            </w:pPr>
            <w:r>
              <w:rPr>
                <w:rFonts w:ascii="Times New Roman" w:hAnsi="Times New Roman" w:cs="Times New Roman"/>
                <w:color w:val="000000" w:themeColor="text1"/>
              </w:rPr>
              <w:t>4545</w:t>
            </w:r>
          </w:p>
        </w:tc>
        <w:tc>
          <w:tcPr>
            <w:tcW w:w="453" w:type="pct"/>
            <w:tcBorders>
              <w:top w:val="single" w:color="auto" w:sz="4" w:space="0"/>
              <w:left w:val="single" w:color="auto" w:sz="4" w:space="0"/>
              <w:bottom w:val="single" w:color="auto" w:sz="4" w:space="0"/>
              <w:right w:val="single" w:color="auto" w:sz="4" w:space="0"/>
            </w:tcBorders>
            <w:vAlign w:val="center"/>
          </w:tcPr>
          <w:p w14:paraId="04E8AA73">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eastAsia="zh-CN"/>
              </w:rPr>
              <w:t>119.23公顷</w:t>
            </w:r>
          </w:p>
        </w:tc>
        <w:tc>
          <w:tcPr>
            <w:tcW w:w="690" w:type="pct"/>
            <w:tcBorders>
              <w:top w:val="single" w:color="auto" w:sz="4" w:space="0"/>
              <w:left w:val="single" w:color="auto" w:sz="4" w:space="0"/>
              <w:bottom w:val="single" w:color="auto" w:sz="4" w:space="0"/>
              <w:right w:val="single" w:color="auto" w:sz="4" w:space="0"/>
            </w:tcBorders>
            <w:vAlign w:val="center"/>
          </w:tcPr>
          <w:p w14:paraId="1C1AA36E">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阳江市阳西县城市管理和综合执法局</w:t>
            </w:r>
          </w:p>
        </w:tc>
        <w:tc>
          <w:tcPr>
            <w:tcW w:w="285" w:type="pct"/>
            <w:tcBorders>
              <w:top w:val="single" w:color="auto" w:sz="4" w:space="0"/>
              <w:left w:val="single" w:color="auto" w:sz="4" w:space="0"/>
              <w:bottom w:val="single" w:color="auto" w:sz="4" w:space="0"/>
              <w:right w:val="single" w:color="auto" w:sz="4" w:space="0"/>
            </w:tcBorders>
            <w:vAlign w:val="center"/>
          </w:tcPr>
          <w:p w14:paraId="1E30B267">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eastAsia="zh-CN"/>
              </w:rPr>
              <w:t>规划</w:t>
            </w:r>
          </w:p>
        </w:tc>
      </w:tr>
      <w:tr w14:paraId="2AA1C8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1" w:hRule="atLeast"/>
        </w:trPr>
        <w:tc>
          <w:tcPr>
            <w:tcW w:w="217" w:type="pct"/>
            <w:tcBorders>
              <w:top w:val="single" w:color="auto" w:sz="4" w:space="0"/>
              <w:left w:val="single" w:color="auto" w:sz="4" w:space="0"/>
              <w:bottom w:val="single" w:color="auto" w:sz="4" w:space="0"/>
              <w:right w:val="single" w:color="auto" w:sz="4" w:space="0"/>
            </w:tcBorders>
            <w:vAlign w:val="center"/>
          </w:tcPr>
          <w:p w14:paraId="2FC2555A">
            <w:pPr>
              <w:pStyle w:val="40"/>
              <w:jc w:val="center"/>
              <w:rPr>
                <w:rFonts w:ascii="Times New Roman" w:hAnsi="Times New Roman" w:cs="Times New Roman"/>
                <w:b/>
                <w:color w:val="000000" w:themeColor="text1"/>
                <w:lang w:eastAsia="zh-CN"/>
              </w:rPr>
            </w:pPr>
            <w:r>
              <w:rPr>
                <w:rFonts w:hint="eastAsia" w:ascii="Times New Roman" w:hAnsi="Times New Roman" w:cs="Times New Roman"/>
                <w:color w:val="000000" w:themeColor="text1"/>
                <w:lang w:val="en-US" w:eastAsia="zh-CN"/>
              </w:rPr>
              <w:t>38</w:t>
            </w:r>
          </w:p>
        </w:tc>
        <w:tc>
          <w:tcPr>
            <w:tcW w:w="310" w:type="pct"/>
            <w:vMerge w:val="continue"/>
            <w:tcBorders>
              <w:top w:val="single" w:color="auto" w:sz="4" w:space="0"/>
              <w:left w:val="single" w:color="auto" w:sz="4" w:space="0"/>
              <w:bottom w:val="single" w:color="auto" w:sz="4" w:space="0"/>
              <w:right w:val="single" w:color="auto" w:sz="4" w:space="0"/>
            </w:tcBorders>
            <w:vAlign w:val="center"/>
          </w:tcPr>
          <w:p w14:paraId="56A7FA08">
            <w:pPr>
              <w:pStyle w:val="40"/>
              <w:jc w:val="center"/>
              <w:rPr>
                <w:rFonts w:ascii="Times New Roman" w:hAnsi="Times New Roman" w:cs="Times New Roman"/>
                <w:color w:val="000000" w:themeColor="text1"/>
              </w:rPr>
            </w:pPr>
          </w:p>
        </w:tc>
        <w:tc>
          <w:tcPr>
            <w:tcW w:w="281" w:type="pct"/>
            <w:vMerge w:val="continue"/>
            <w:tcBorders>
              <w:left w:val="single" w:color="auto" w:sz="4" w:space="0"/>
              <w:bottom w:val="single" w:color="auto" w:sz="4" w:space="0"/>
              <w:right w:val="single" w:color="auto" w:sz="4" w:space="0"/>
            </w:tcBorders>
            <w:vAlign w:val="center"/>
          </w:tcPr>
          <w:p w14:paraId="698A4770">
            <w:pPr>
              <w:pStyle w:val="40"/>
              <w:jc w:val="center"/>
              <w:rPr>
                <w:rFonts w:ascii="Times New Roman" w:hAnsi="Times New Roman" w:cs="Times New Roman"/>
                <w:color w:val="000000" w:themeColor="text1"/>
              </w:rPr>
            </w:pPr>
          </w:p>
        </w:tc>
        <w:tc>
          <w:tcPr>
            <w:tcW w:w="377" w:type="pct"/>
            <w:tcBorders>
              <w:top w:val="single" w:color="auto" w:sz="4" w:space="0"/>
              <w:left w:val="single" w:color="auto" w:sz="4" w:space="0"/>
              <w:bottom w:val="single" w:color="auto" w:sz="4" w:space="0"/>
              <w:right w:val="single" w:color="auto" w:sz="4" w:space="0"/>
            </w:tcBorders>
            <w:vAlign w:val="center"/>
          </w:tcPr>
          <w:p w14:paraId="6D6CA9F3">
            <w:pPr>
              <w:pStyle w:val="40"/>
              <w:rPr>
                <w:rFonts w:ascii="Times New Roman" w:hAnsi="Times New Roman" w:cs="Times New Roman"/>
                <w:color w:val="000000" w:themeColor="text1"/>
              </w:rPr>
            </w:pPr>
            <w:r>
              <w:rPr>
                <w:rFonts w:ascii="Times New Roman" w:hAnsi="Times New Roman" w:cs="Times New Roman"/>
                <w:color w:val="000000" w:themeColor="text1"/>
                <w:lang w:eastAsia="zh-CN"/>
              </w:rPr>
              <w:t>城乡一体绿美提升行动</w:t>
            </w:r>
          </w:p>
        </w:tc>
        <w:tc>
          <w:tcPr>
            <w:tcW w:w="521" w:type="pct"/>
            <w:tcBorders>
              <w:top w:val="single" w:color="auto" w:sz="4" w:space="0"/>
              <w:left w:val="single" w:color="auto" w:sz="4" w:space="0"/>
              <w:bottom w:val="single" w:color="auto" w:sz="4" w:space="0"/>
              <w:right w:val="single" w:color="auto" w:sz="4" w:space="0"/>
            </w:tcBorders>
            <w:vAlign w:val="center"/>
          </w:tcPr>
          <w:p w14:paraId="6CB51E19">
            <w:pPr>
              <w:pStyle w:val="40"/>
              <w:rPr>
                <w:rFonts w:ascii="Times New Roman" w:hAnsi="Times New Roman" w:cs="Times New Roman"/>
                <w:color w:val="000000" w:themeColor="text1"/>
              </w:rPr>
            </w:pPr>
            <w:r>
              <w:rPr>
                <w:rFonts w:ascii="Times New Roman" w:hAnsi="Times New Roman" w:cs="Times New Roman"/>
                <w:color w:val="000000" w:themeColor="text1"/>
              </w:rPr>
              <w:t>阳江市全域</w:t>
            </w:r>
          </w:p>
        </w:tc>
        <w:tc>
          <w:tcPr>
            <w:tcW w:w="1139" w:type="pct"/>
            <w:tcBorders>
              <w:top w:val="single" w:color="auto" w:sz="4" w:space="0"/>
              <w:left w:val="single" w:color="auto" w:sz="4" w:space="0"/>
              <w:bottom w:val="single" w:color="auto" w:sz="4" w:space="0"/>
              <w:right w:val="single" w:color="auto" w:sz="4" w:space="0"/>
            </w:tcBorders>
            <w:vAlign w:val="center"/>
          </w:tcPr>
          <w:p w14:paraId="700CA561">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加快创建国家生态园林城市，巩固国家园林城市成果，鼓励县城、城镇积极创建省级园林城市。</w:t>
            </w:r>
          </w:p>
        </w:tc>
        <w:tc>
          <w:tcPr>
            <w:tcW w:w="328" w:type="pct"/>
            <w:tcBorders>
              <w:top w:val="single" w:color="auto" w:sz="4" w:space="0"/>
              <w:left w:val="single" w:color="auto" w:sz="4" w:space="0"/>
              <w:bottom w:val="single" w:color="auto" w:sz="4" w:space="0"/>
              <w:right w:val="single" w:color="auto" w:sz="4" w:space="0"/>
            </w:tcBorders>
            <w:vAlign w:val="center"/>
          </w:tcPr>
          <w:p w14:paraId="797F2A5D">
            <w:pPr>
              <w:pStyle w:val="40"/>
              <w:jc w:val="center"/>
              <w:rPr>
                <w:rFonts w:ascii="Times New Roman" w:hAnsi="Times New Roman" w:cs="Times New Roman"/>
                <w:color w:val="000000" w:themeColor="text1"/>
              </w:rPr>
            </w:pPr>
            <w:r>
              <w:rPr>
                <w:rFonts w:ascii="Times New Roman" w:hAnsi="Times New Roman" w:cs="Times New Roman"/>
                <w:color w:val="000000" w:themeColor="text1"/>
              </w:rPr>
              <w:t>2023-2035</w:t>
            </w:r>
          </w:p>
        </w:tc>
        <w:tc>
          <w:tcPr>
            <w:tcW w:w="399" w:type="pct"/>
            <w:tcBorders>
              <w:top w:val="single" w:color="auto" w:sz="4" w:space="0"/>
              <w:left w:val="single" w:color="auto" w:sz="4" w:space="0"/>
              <w:bottom w:val="single" w:color="auto" w:sz="4" w:space="0"/>
              <w:right w:val="single" w:color="auto" w:sz="4" w:space="0"/>
            </w:tcBorders>
            <w:vAlign w:val="center"/>
          </w:tcPr>
          <w:p w14:paraId="7862E289">
            <w:pPr>
              <w:pStyle w:val="40"/>
              <w:jc w:val="center"/>
              <w:rPr>
                <w:rFonts w:ascii="Times New Roman" w:hAnsi="Times New Roman" w:cs="Times New Roman"/>
                <w:color w:val="000000" w:themeColor="text1"/>
              </w:rPr>
            </w:pPr>
            <w:r>
              <w:rPr>
                <w:rFonts w:hint="eastAsia" w:ascii="Times New Roman" w:hAnsi="Times New Roman" w:cs="Times New Roman"/>
                <w:color w:val="000000" w:themeColor="text1"/>
              </w:rPr>
              <w:t>/</w:t>
            </w:r>
          </w:p>
        </w:tc>
        <w:tc>
          <w:tcPr>
            <w:tcW w:w="453" w:type="pct"/>
            <w:tcBorders>
              <w:top w:val="single" w:color="auto" w:sz="4" w:space="0"/>
              <w:left w:val="single" w:color="auto" w:sz="4" w:space="0"/>
              <w:bottom w:val="single" w:color="auto" w:sz="4" w:space="0"/>
              <w:right w:val="single" w:color="auto" w:sz="4" w:space="0"/>
            </w:tcBorders>
            <w:vAlign w:val="center"/>
          </w:tcPr>
          <w:p w14:paraId="0EAD4F3D">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eastAsia="zh-CN"/>
              </w:rPr>
              <w:t>/</w:t>
            </w:r>
          </w:p>
        </w:tc>
        <w:tc>
          <w:tcPr>
            <w:tcW w:w="690" w:type="pct"/>
            <w:tcBorders>
              <w:top w:val="single" w:color="auto" w:sz="4" w:space="0"/>
              <w:left w:val="single" w:color="auto" w:sz="4" w:space="0"/>
              <w:bottom w:val="single" w:color="auto" w:sz="4" w:space="0"/>
              <w:right w:val="single" w:color="auto" w:sz="4" w:space="0"/>
            </w:tcBorders>
            <w:vAlign w:val="center"/>
          </w:tcPr>
          <w:p w14:paraId="3D7F56A0">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阳江市城市管理和综合执法局</w:t>
            </w:r>
          </w:p>
        </w:tc>
        <w:tc>
          <w:tcPr>
            <w:tcW w:w="285" w:type="pct"/>
            <w:tcBorders>
              <w:top w:val="single" w:color="auto" w:sz="4" w:space="0"/>
              <w:left w:val="single" w:color="auto" w:sz="4" w:space="0"/>
              <w:bottom w:val="single" w:color="auto" w:sz="4" w:space="0"/>
              <w:right w:val="single" w:color="auto" w:sz="4" w:space="0"/>
            </w:tcBorders>
            <w:vAlign w:val="center"/>
          </w:tcPr>
          <w:p w14:paraId="1A6B012E">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在建</w:t>
            </w:r>
          </w:p>
        </w:tc>
      </w:tr>
      <w:tr w14:paraId="0C92B2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1" w:hRule="atLeast"/>
        </w:trPr>
        <w:tc>
          <w:tcPr>
            <w:tcW w:w="217" w:type="pct"/>
            <w:tcBorders>
              <w:top w:val="single" w:color="auto" w:sz="4" w:space="0"/>
              <w:left w:val="single" w:color="auto" w:sz="4" w:space="0"/>
              <w:bottom w:val="single" w:color="auto" w:sz="4" w:space="0"/>
              <w:right w:val="single" w:color="auto" w:sz="4" w:space="0"/>
            </w:tcBorders>
            <w:vAlign w:val="center"/>
          </w:tcPr>
          <w:p w14:paraId="11EED6E3">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val="en-US" w:eastAsia="zh-CN"/>
              </w:rPr>
              <w:t>39</w:t>
            </w:r>
          </w:p>
        </w:tc>
        <w:tc>
          <w:tcPr>
            <w:tcW w:w="310" w:type="pct"/>
            <w:vMerge w:val="continue"/>
            <w:tcBorders>
              <w:top w:val="single" w:color="auto" w:sz="4" w:space="0"/>
              <w:left w:val="single" w:color="auto" w:sz="4" w:space="0"/>
              <w:bottom w:val="single" w:color="auto" w:sz="4" w:space="0"/>
              <w:right w:val="single" w:color="auto" w:sz="4" w:space="0"/>
            </w:tcBorders>
            <w:vAlign w:val="center"/>
          </w:tcPr>
          <w:p w14:paraId="5B61C5E0">
            <w:pPr>
              <w:pStyle w:val="40"/>
              <w:jc w:val="center"/>
              <w:rPr>
                <w:rFonts w:ascii="Times New Roman" w:hAnsi="Times New Roman" w:cs="Times New Roman"/>
                <w:color w:val="000000" w:themeColor="text1"/>
              </w:rPr>
            </w:pPr>
          </w:p>
        </w:tc>
        <w:tc>
          <w:tcPr>
            <w:tcW w:w="281" w:type="pct"/>
            <w:tcBorders>
              <w:top w:val="single" w:color="auto" w:sz="4" w:space="0"/>
              <w:left w:val="single" w:color="auto" w:sz="4" w:space="0"/>
              <w:bottom w:val="single" w:color="auto" w:sz="4" w:space="0"/>
              <w:right w:val="single" w:color="auto" w:sz="4" w:space="0"/>
            </w:tcBorders>
            <w:vAlign w:val="center"/>
          </w:tcPr>
          <w:p w14:paraId="7EA37EA4">
            <w:pPr>
              <w:pStyle w:val="40"/>
              <w:jc w:val="center"/>
              <w:rPr>
                <w:rFonts w:ascii="Times New Roman" w:hAnsi="Times New Roman" w:cs="Times New Roman"/>
                <w:color w:val="000000" w:themeColor="text1"/>
              </w:rPr>
            </w:pPr>
            <w:r>
              <w:rPr>
                <w:rFonts w:ascii="Times New Roman" w:hAnsi="Times New Roman" w:cs="Times New Roman"/>
                <w:color w:val="000000" w:themeColor="text1"/>
              </w:rPr>
              <w:t>森林质量精准提升</w:t>
            </w:r>
          </w:p>
        </w:tc>
        <w:tc>
          <w:tcPr>
            <w:tcW w:w="377" w:type="pct"/>
            <w:tcBorders>
              <w:top w:val="single" w:color="auto" w:sz="4" w:space="0"/>
              <w:left w:val="single" w:color="auto" w:sz="4" w:space="0"/>
              <w:bottom w:val="single" w:color="auto" w:sz="4" w:space="0"/>
              <w:right w:val="single" w:color="auto" w:sz="4" w:space="0"/>
            </w:tcBorders>
            <w:vAlign w:val="center"/>
          </w:tcPr>
          <w:p w14:paraId="3008C577">
            <w:pPr>
              <w:pStyle w:val="40"/>
              <w:rPr>
                <w:rFonts w:ascii="Times New Roman" w:hAnsi="Times New Roman" w:cs="Times New Roman"/>
                <w:color w:val="000000" w:themeColor="text1"/>
              </w:rPr>
            </w:pPr>
            <w:r>
              <w:rPr>
                <w:rFonts w:ascii="Times New Roman" w:hAnsi="Times New Roman" w:cs="Times New Roman"/>
                <w:color w:val="000000" w:themeColor="text1"/>
              </w:rPr>
              <w:t>森林质量精准提升</w:t>
            </w:r>
          </w:p>
        </w:tc>
        <w:tc>
          <w:tcPr>
            <w:tcW w:w="521" w:type="pct"/>
            <w:tcBorders>
              <w:top w:val="single" w:color="auto" w:sz="4" w:space="0"/>
              <w:left w:val="single" w:color="auto" w:sz="4" w:space="0"/>
              <w:bottom w:val="single" w:color="auto" w:sz="4" w:space="0"/>
              <w:right w:val="single" w:color="auto" w:sz="4" w:space="0"/>
            </w:tcBorders>
            <w:vAlign w:val="center"/>
          </w:tcPr>
          <w:p w14:paraId="632F48A4">
            <w:pPr>
              <w:pStyle w:val="40"/>
              <w:rPr>
                <w:rFonts w:ascii="Times New Roman" w:hAnsi="Times New Roman" w:cs="Times New Roman"/>
                <w:color w:val="000000" w:themeColor="text1"/>
              </w:rPr>
            </w:pPr>
            <w:r>
              <w:rPr>
                <w:rFonts w:ascii="Times New Roman" w:hAnsi="Times New Roman" w:cs="Times New Roman"/>
                <w:color w:val="000000" w:themeColor="text1"/>
              </w:rPr>
              <w:t>阳江市全域</w:t>
            </w:r>
          </w:p>
        </w:tc>
        <w:tc>
          <w:tcPr>
            <w:tcW w:w="1139" w:type="pct"/>
            <w:tcBorders>
              <w:top w:val="single" w:color="auto" w:sz="4" w:space="0"/>
              <w:left w:val="single" w:color="auto" w:sz="4" w:space="0"/>
              <w:bottom w:val="single" w:color="auto" w:sz="4" w:space="0"/>
              <w:right w:val="single" w:color="auto" w:sz="4" w:space="0"/>
            </w:tcBorders>
            <w:vAlign w:val="center"/>
          </w:tcPr>
          <w:p w14:paraId="58519738">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优化林分结构，持续改善林相，提升林分质量。</w:t>
            </w:r>
          </w:p>
        </w:tc>
        <w:tc>
          <w:tcPr>
            <w:tcW w:w="328" w:type="pct"/>
            <w:tcBorders>
              <w:top w:val="single" w:color="auto" w:sz="4" w:space="0"/>
              <w:left w:val="single" w:color="auto" w:sz="4" w:space="0"/>
              <w:bottom w:val="single" w:color="auto" w:sz="4" w:space="0"/>
              <w:right w:val="single" w:color="auto" w:sz="4" w:space="0"/>
            </w:tcBorders>
            <w:vAlign w:val="center"/>
          </w:tcPr>
          <w:p w14:paraId="4B4DD2F7">
            <w:pPr>
              <w:pStyle w:val="40"/>
              <w:jc w:val="center"/>
              <w:rPr>
                <w:rFonts w:ascii="Times New Roman" w:hAnsi="Times New Roman" w:cs="Times New Roman"/>
                <w:color w:val="000000" w:themeColor="text1"/>
              </w:rPr>
            </w:pPr>
            <w:r>
              <w:rPr>
                <w:rFonts w:ascii="Times New Roman" w:hAnsi="Times New Roman" w:cs="Times New Roman"/>
                <w:color w:val="000000" w:themeColor="text1"/>
              </w:rPr>
              <w:t>2023-2027</w:t>
            </w:r>
          </w:p>
        </w:tc>
        <w:tc>
          <w:tcPr>
            <w:tcW w:w="399" w:type="pct"/>
            <w:tcBorders>
              <w:top w:val="single" w:color="auto" w:sz="4" w:space="0"/>
              <w:left w:val="single" w:color="auto" w:sz="4" w:space="0"/>
              <w:bottom w:val="single" w:color="auto" w:sz="4" w:space="0"/>
              <w:right w:val="single" w:color="auto" w:sz="4" w:space="0"/>
            </w:tcBorders>
            <w:vAlign w:val="center"/>
          </w:tcPr>
          <w:p w14:paraId="16AF1C29">
            <w:pPr>
              <w:pStyle w:val="40"/>
              <w:jc w:val="center"/>
              <w:rPr>
                <w:rFonts w:ascii="Times New Roman" w:hAnsi="Times New Roman" w:cs="Times New Roman"/>
                <w:color w:val="000000" w:themeColor="text1"/>
              </w:rPr>
            </w:pPr>
            <w:r>
              <w:rPr>
                <w:rFonts w:ascii="Times New Roman" w:hAnsi="Times New Roman" w:cs="Times New Roman"/>
                <w:color w:val="000000" w:themeColor="text1"/>
              </w:rPr>
              <w:t>22854</w:t>
            </w:r>
          </w:p>
        </w:tc>
        <w:tc>
          <w:tcPr>
            <w:tcW w:w="453" w:type="pct"/>
            <w:tcBorders>
              <w:top w:val="single" w:color="auto" w:sz="4" w:space="0"/>
              <w:left w:val="single" w:color="auto" w:sz="4" w:space="0"/>
              <w:bottom w:val="single" w:color="auto" w:sz="4" w:space="0"/>
              <w:right w:val="single" w:color="auto" w:sz="4" w:space="0"/>
            </w:tcBorders>
            <w:vAlign w:val="center"/>
          </w:tcPr>
          <w:p w14:paraId="5AE7818C">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eastAsia="zh-CN"/>
              </w:rPr>
              <w:t>林分优化提升11.01万亩，森林抚育提升27.11万亩。</w:t>
            </w:r>
          </w:p>
        </w:tc>
        <w:tc>
          <w:tcPr>
            <w:tcW w:w="690" w:type="pct"/>
            <w:tcBorders>
              <w:top w:val="single" w:color="auto" w:sz="4" w:space="0"/>
              <w:left w:val="single" w:color="auto" w:sz="4" w:space="0"/>
              <w:bottom w:val="single" w:color="auto" w:sz="4" w:space="0"/>
              <w:right w:val="single" w:color="auto" w:sz="4" w:space="0"/>
            </w:tcBorders>
            <w:vAlign w:val="center"/>
          </w:tcPr>
          <w:p w14:paraId="7B329B77">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各县（市、区）和市属国有林场</w:t>
            </w:r>
          </w:p>
        </w:tc>
        <w:tc>
          <w:tcPr>
            <w:tcW w:w="285" w:type="pct"/>
            <w:tcBorders>
              <w:top w:val="single" w:color="auto" w:sz="4" w:space="0"/>
              <w:left w:val="single" w:color="auto" w:sz="4" w:space="0"/>
              <w:bottom w:val="single" w:color="auto" w:sz="4" w:space="0"/>
              <w:right w:val="single" w:color="auto" w:sz="4" w:space="0"/>
            </w:tcBorders>
            <w:vAlign w:val="center"/>
          </w:tcPr>
          <w:p w14:paraId="105BA4D1">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在建</w:t>
            </w:r>
          </w:p>
        </w:tc>
      </w:tr>
      <w:tr w14:paraId="75460F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1" w:hRule="atLeast"/>
        </w:trPr>
        <w:tc>
          <w:tcPr>
            <w:tcW w:w="217" w:type="pct"/>
            <w:tcBorders>
              <w:top w:val="single" w:color="auto" w:sz="4" w:space="0"/>
              <w:left w:val="single" w:color="auto" w:sz="4" w:space="0"/>
              <w:bottom w:val="single" w:color="auto" w:sz="4" w:space="0"/>
              <w:right w:val="single" w:color="auto" w:sz="4" w:space="0"/>
            </w:tcBorders>
            <w:vAlign w:val="center"/>
          </w:tcPr>
          <w:p w14:paraId="51D98FD1">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val="en-US" w:eastAsia="zh-CN"/>
              </w:rPr>
              <w:t>40</w:t>
            </w:r>
          </w:p>
        </w:tc>
        <w:tc>
          <w:tcPr>
            <w:tcW w:w="310" w:type="pct"/>
            <w:vMerge w:val="restart"/>
            <w:tcBorders>
              <w:top w:val="single" w:color="auto" w:sz="4" w:space="0"/>
              <w:left w:val="single" w:color="auto" w:sz="4" w:space="0"/>
              <w:right w:val="single" w:color="auto" w:sz="4" w:space="0"/>
            </w:tcBorders>
            <w:vAlign w:val="center"/>
          </w:tcPr>
          <w:p w14:paraId="735EFDE7">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城镇</w:t>
            </w:r>
            <w:r>
              <w:rPr>
                <w:rFonts w:hint="eastAsia" w:ascii="Times New Roman" w:hAnsi="Times New Roman" w:cs="Times New Roman"/>
                <w:color w:val="000000" w:themeColor="text1"/>
                <w:lang w:eastAsia="zh-CN"/>
              </w:rPr>
              <w:t>景观品质提升</w:t>
            </w:r>
            <w:r>
              <w:rPr>
                <w:rFonts w:ascii="Times New Roman" w:hAnsi="Times New Roman" w:cs="Times New Roman"/>
                <w:color w:val="000000" w:themeColor="text1"/>
                <w:lang w:eastAsia="zh-CN"/>
              </w:rPr>
              <w:t>和修复重点工程</w:t>
            </w:r>
          </w:p>
        </w:tc>
        <w:tc>
          <w:tcPr>
            <w:tcW w:w="281" w:type="pct"/>
            <w:tcBorders>
              <w:top w:val="single" w:color="auto" w:sz="4" w:space="0"/>
              <w:left w:val="single" w:color="auto" w:sz="4" w:space="0"/>
              <w:right w:val="single" w:color="auto" w:sz="4" w:space="0"/>
            </w:tcBorders>
            <w:vAlign w:val="center"/>
          </w:tcPr>
          <w:p w14:paraId="06F888CC">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南亚热带滨海绿色开敞空间体系建设工程</w:t>
            </w:r>
          </w:p>
        </w:tc>
        <w:tc>
          <w:tcPr>
            <w:tcW w:w="377" w:type="pct"/>
            <w:tcBorders>
              <w:top w:val="single" w:color="auto" w:sz="4" w:space="0"/>
              <w:left w:val="single" w:color="auto" w:sz="4" w:space="0"/>
              <w:bottom w:val="single" w:color="auto" w:sz="4" w:space="0"/>
              <w:right w:val="single" w:color="auto" w:sz="4" w:space="0"/>
            </w:tcBorders>
            <w:vAlign w:val="center"/>
          </w:tcPr>
          <w:p w14:paraId="31B54322">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阳江市城市“公园+”服务设施提质项目</w:t>
            </w:r>
          </w:p>
        </w:tc>
        <w:tc>
          <w:tcPr>
            <w:tcW w:w="521" w:type="pct"/>
            <w:tcBorders>
              <w:top w:val="single" w:color="auto" w:sz="4" w:space="0"/>
              <w:left w:val="single" w:color="auto" w:sz="4" w:space="0"/>
              <w:bottom w:val="single" w:color="auto" w:sz="4" w:space="0"/>
              <w:right w:val="single" w:color="auto" w:sz="4" w:space="0"/>
            </w:tcBorders>
            <w:vAlign w:val="center"/>
          </w:tcPr>
          <w:p w14:paraId="31A29F56">
            <w:pPr>
              <w:pStyle w:val="40"/>
              <w:jc w:val="center"/>
              <w:rPr>
                <w:rFonts w:ascii="Times New Roman" w:hAnsi="Times New Roman" w:cs="Times New Roman"/>
                <w:color w:val="000000" w:themeColor="text1"/>
              </w:rPr>
            </w:pPr>
            <w:r>
              <w:rPr>
                <w:rFonts w:ascii="Times New Roman" w:hAnsi="Times New Roman" w:cs="Times New Roman"/>
                <w:color w:val="000000" w:themeColor="text1"/>
              </w:rPr>
              <w:t>阳江市中心城区</w:t>
            </w:r>
          </w:p>
        </w:tc>
        <w:tc>
          <w:tcPr>
            <w:tcW w:w="1139" w:type="pct"/>
            <w:tcBorders>
              <w:top w:val="single" w:color="auto" w:sz="4" w:space="0"/>
              <w:left w:val="single" w:color="auto" w:sz="4" w:space="0"/>
              <w:bottom w:val="single" w:color="auto" w:sz="4" w:space="0"/>
              <w:right w:val="single" w:color="auto" w:sz="4" w:space="0"/>
            </w:tcBorders>
            <w:vAlign w:val="center"/>
          </w:tcPr>
          <w:p w14:paraId="6D9FEFBC">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按照“公园+体育、公园+文化、公园+科普、公园+旅游”等模式，积极谋划一批口袋公园，实施城市微更新，全面梳理城市公园空间，实施设施完善、环境美化、品质提升，构建“公园15分钟”生活新模式，增强公园活力，为市民群众提供更加宜游宜交流的城市公园。</w:t>
            </w:r>
          </w:p>
        </w:tc>
        <w:tc>
          <w:tcPr>
            <w:tcW w:w="328" w:type="pct"/>
            <w:tcBorders>
              <w:top w:val="single" w:color="auto" w:sz="4" w:space="0"/>
              <w:left w:val="single" w:color="auto" w:sz="4" w:space="0"/>
              <w:bottom w:val="single" w:color="auto" w:sz="4" w:space="0"/>
              <w:right w:val="single" w:color="auto" w:sz="4" w:space="0"/>
            </w:tcBorders>
            <w:vAlign w:val="center"/>
          </w:tcPr>
          <w:p w14:paraId="26F08962">
            <w:pPr>
              <w:pStyle w:val="40"/>
              <w:jc w:val="center"/>
              <w:rPr>
                <w:rFonts w:ascii="Times New Roman" w:hAnsi="Times New Roman" w:cs="Times New Roman"/>
                <w:color w:val="000000" w:themeColor="text1"/>
              </w:rPr>
            </w:pPr>
            <w:r>
              <w:rPr>
                <w:rFonts w:ascii="Times New Roman" w:hAnsi="Times New Roman" w:cs="Times New Roman"/>
                <w:color w:val="000000" w:themeColor="text1"/>
              </w:rPr>
              <w:t>2025-2030</w:t>
            </w:r>
          </w:p>
        </w:tc>
        <w:tc>
          <w:tcPr>
            <w:tcW w:w="399" w:type="pct"/>
            <w:tcBorders>
              <w:top w:val="single" w:color="auto" w:sz="4" w:space="0"/>
              <w:left w:val="single" w:color="auto" w:sz="4" w:space="0"/>
              <w:bottom w:val="single" w:color="auto" w:sz="4" w:space="0"/>
              <w:right w:val="single" w:color="auto" w:sz="4" w:space="0"/>
            </w:tcBorders>
            <w:vAlign w:val="center"/>
          </w:tcPr>
          <w:p w14:paraId="5F8E3A2F">
            <w:pPr>
              <w:pStyle w:val="40"/>
              <w:jc w:val="center"/>
              <w:rPr>
                <w:rFonts w:ascii="Times New Roman" w:hAnsi="Times New Roman" w:cs="Times New Roman"/>
                <w:color w:val="000000" w:themeColor="text1"/>
              </w:rPr>
            </w:pPr>
            <w:r>
              <w:rPr>
                <w:rFonts w:ascii="Times New Roman" w:hAnsi="Times New Roman" w:cs="Times New Roman"/>
                <w:color w:val="000000" w:themeColor="text1"/>
              </w:rPr>
              <w:t>15000</w:t>
            </w:r>
          </w:p>
        </w:tc>
        <w:tc>
          <w:tcPr>
            <w:tcW w:w="453" w:type="pct"/>
            <w:tcBorders>
              <w:top w:val="single" w:color="auto" w:sz="4" w:space="0"/>
              <w:left w:val="single" w:color="auto" w:sz="4" w:space="0"/>
              <w:bottom w:val="single" w:color="auto" w:sz="4" w:space="0"/>
              <w:right w:val="single" w:color="auto" w:sz="4" w:space="0"/>
            </w:tcBorders>
            <w:vAlign w:val="center"/>
          </w:tcPr>
          <w:p w14:paraId="1B54BED8">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eastAsia="zh-CN"/>
              </w:rPr>
              <w:t>/</w:t>
            </w:r>
          </w:p>
        </w:tc>
        <w:tc>
          <w:tcPr>
            <w:tcW w:w="690" w:type="pct"/>
            <w:tcBorders>
              <w:top w:val="single" w:color="auto" w:sz="4" w:space="0"/>
              <w:left w:val="single" w:color="auto" w:sz="4" w:space="0"/>
              <w:bottom w:val="single" w:color="auto" w:sz="4" w:space="0"/>
              <w:right w:val="single" w:color="auto" w:sz="4" w:space="0"/>
            </w:tcBorders>
            <w:vAlign w:val="center"/>
          </w:tcPr>
          <w:p w14:paraId="64A7AC2D">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阳江市城市管理和综合执法局</w:t>
            </w:r>
          </w:p>
        </w:tc>
        <w:tc>
          <w:tcPr>
            <w:tcW w:w="285" w:type="pct"/>
            <w:tcBorders>
              <w:top w:val="single" w:color="auto" w:sz="4" w:space="0"/>
              <w:left w:val="single" w:color="auto" w:sz="4" w:space="0"/>
              <w:bottom w:val="single" w:color="auto" w:sz="4" w:space="0"/>
              <w:right w:val="single" w:color="auto" w:sz="4" w:space="0"/>
            </w:tcBorders>
            <w:vAlign w:val="center"/>
          </w:tcPr>
          <w:p w14:paraId="7B7AB023">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规划</w:t>
            </w:r>
          </w:p>
        </w:tc>
      </w:tr>
      <w:tr w14:paraId="2C9C46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217" w:type="pct"/>
            <w:tcBorders>
              <w:top w:val="single" w:color="auto" w:sz="4" w:space="0"/>
              <w:left w:val="single" w:color="auto" w:sz="4" w:space="0"/>
              <w:bottom w:val="single" w:color="auto" w:sz="4" w:space="0"/>
              <w:right w:val="single" w:color="auto" w:sz="4" w:space="0"/>
            </w:tcBorders>
            <w:vAlign w:val="center"/>
          </w:tcPr>
          <w:p w14:paraId="6EBAB04C">
            <w:pPr>
              <w:pStyle w:val="40"/>
              <w:jc w:val="center"/>
              <w:rPr>
                <w:rFonts w:ascii="Times New Roman" w:hAnsi="Times New Roman" w:cs="Times New Roman"/>
                <w:color w:val="000000" w:themeColor="text1"/>
                <w:lang w:val="en-US" w:eastAsia="zh-CN"/>
              </w:rPr>
            </w:pPr>
            <w:r>
              <w:rPr>
                <w:rFonts w:ascii="Times New Roman" w:hAnsi="Times New Roman" w:cs="Times New Roman"/>
                <w:color w:val="000000" w:themeColor="text1"/>
                <w:lang w:val="en-US" w:eastAsia="zh-CN"/>
              </w:rPr>
              <w:t>41</w:t>
            </w:r>
          </w:p>
        </w:tc>
        <w:tc>
          <w:tcPr>
            <w:tcW w:w="310" w:type="pct"/>
            <w:vMerge w:val="continue"/>
            <w:tcBorders>
              <w:left w:val="single" w:color="auto" w:sz="4" w:space="0"/>
              <w:right w:val="single" w:color="auto" w:sz="4" w:space="0"/>
            </w:tcBorders>
            <w:vAlign w:val="center"/>
          </w:tcPr>
          <w:p w14:paraId="34C6C491">
            <w:pPr>
              <w:pStyle w:val="40"/>
              <w:jc w:val="center"/>
              <w:rPr>
                <w:rFonts w:ascii="Times New Roman" w:hAnsi="Times New Roman" w:cs="Times New Roman"/>
                <w:color w:val="000000" w:themeColor="text1"/>
              </w:rPr>
            </w:pPr>
          </w:p>
        </w:tc>
        <w:tc>
          <w:tcPr>
            <w:tcW w:w="281" w:type="pct"/>
            <w:tcBorders>
              <w:left w:val="single" w:color="auto" w:sz="4" w:space="0"/>
              <w:right w:val="single" w:color="auto" w:sz="4" w:space="0"/>
            </w:tcBorders>
            <w:vAlign w:val="center"/>
          </w:tcPr>
          <w:p w14:paraId="576C9002">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城市公共服务活动提升改造工程</w:t>
            </w:r>
          </w:p>
        </w:tc>
        <w:tc>
          <w:tcPr>
            <w:tcW w:w="377" w:type="pct"/>
            <w:tcBorders>
              <w:top w:val="single" w:color="auto" w:sz="4" w:space="0"/>
              <w:left w:val="single" w:color="auto" w:sz="4" w:space="0"/>
              <w:bottom w:val="single" w:color="auto" w:sz="4" w:space="0"/>
              <w:right w:val="single" w:color="auto" w:sz="4" w:space="0"/>
            </w:tcBorders>
            <w:vAlign w:val="center"/>
          </w:tcPr>
          <w:p w14:paraId="02F087B1">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阳江市城市户外运动健身步道公共服务设施示范段建设项目</w:t>
            </w:r>
          </w:p>
        </w:tc>
        <w:tc>
          <w:tcPr>
            <w:tcW w:w="521" w:type="pct"/>
            <w:tcBorders>
              <w:top w:val="single" w:color="auto" w:sz="4" w:space="0"/>
              <w:left w:val="single" w:color="auto" w:sz="4" w:space="0"/>
              <w:bottom w:val="single" w:color="auto" w:sz="4" w:space="0"/>
              <w:right w:val="single" w:color="auto" w:sz="4" w:space="0"/>
            </w:tcBorders>
            <w:vAlign w:val="center"/>
          </w:tcPr>
          <w:p w14:paraId="46BB9C18">
            <w:pPr>
              <w:pStyle w:val="40"/>
              <w:jc w:val="center"/>
              <w:rPr>
                <w:rFonts w:ascii="Times New Roman" w:hAnsi="Times New Roman" w:cs="Times New Roman"/>
                <w:color w:val="000000" w:themeColor="text1"/>
              </w:rPr>
            </w:pPr>
            <w:r>
              <w:rPr>
                <w:rFonts w:ascii="Times New Roman" w:hAnsi="Times New Roman" w:cs="Times New Roman"/>
                <w:color w:val="000000" w:themeColor="text1"/>
              </w:rPr>
              <w:t>阳江市中心城区</w:t>
            </w:r>
          </w:p>
        </w:tc>
        <w:tc>
          <w:tcPr>
            <w:tcW w:w="1139" w:type="pct"/>
            <w:tcBorders>
              <w:top w:val="single" w:color="auto" w:sz="4" w:space="0"/>
              <w:left w:val="single" w:color="auto" w:sz="4" w:space="0"/>
              <w:bottom w:val="single" w:color="auto" w:sz="4" w:space="0"/>
              <w:right w:val="single" w:color="auto" w:sz="4" w:space="0"/>
            </w:tcBorders>
            <w:vAlign w:val="center"/>
          </w:tcPr>
          <w:p w14:paraId="775C3FB8">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在城市现有绿道碧道基础上进行整合连通、优化提升，健全自行车、跑步、健身等基础服务设施，在沿线起讫点南国风筝场主门口，以及沿线节点鸳鸯湖公园、南山公园、江湾公园、连围湿地生态公园、漠阳湖公园、儿童公园、城南西路带状公园、滨江东路带状公园、金山路带状公园、金鸡岭森林公园、共青湖公园、金山植物公园、金山湖公园、鸳鸯湖北湖公园等配建文化旅游、户外运动、休闲健身、停车场和充电桩点和其他服务站点，健全城市活力健康生活空间，方便市民游客休闲游憩、健身运动、城市体验以及城市马拉松赛事需求。该项目建成后提供约48公里（含新建及改建）线性高水平城市公共生活空间，为城市马拉松提供标准（42.195公里）里程。</w:t>
            </w:r>
          </w:p>
        </w:tc>
        <w:tc>
          <w:tcPr>
            <w:tcW w:w="328" w:type="pct"/>
            <w:tcBorders>
              <w:top w:val="single" w:color="auto" w:sz="4" w:space="0"/>
              <w:left w:val="single" w:color="auto" w:sz="4" w:space="0"/>
              <w:bottom w:val="single" w:color="auto" w:sz="4" w:space="0"/>
              <w:right w:val="single" w:color="auto" w:sz="4" w:space="0"/>
            </w:tcBorders>
            <w:vAlign w:val="center"/>
          </w:tcPr>
          <w:p w14:paraId="1CDA5F36">
            <w:pPr>
              <w:pStyle w:val="40"/>
              <w:jc w:val="center"/>
              <w:rPr>
                <w:rFonts w:ascii="Times New Roman" w:hAnsi="Times New Roman" w:cs="Times New Roman"/>
                <w:color w:val="000000" w:themeColor="text1"/>
              </w:rPr>
            </w:pPr>
            <w:r>
              <w:rPr>
                <w:rFonts w:ascii="Times New Roman" w:hAnsi="Times New Roman" w:cs="Times New Roman"/>
                <w:color w:val="000000" w:themeColor="text1"/>
              </w:rPr>
              <w:t>2025-2030</w:t>
            </w:r>
          </w:p>
        </w:tc>
        <w:tc>
          <w:tcPr>
            <w:tcW w:w="399" w:type="pct"/>
            <w:tcBorders>
              <w:top w:val="single" w:color="auto" w:sz="4" w:space="0"/>
              <w:left w:val="single" w:color="auto" w:sz="4" w:space="0"/>
              <w:bottom w:val="single" w:color="auto" w:sz="4" w:space="0"/>
              <w:right w:val="single" w:color="auto" w:sz="4" w:space="0"/>
            </w:tcBorders>
            <w:vAlign w:val="center"/>
          </w:tcPr>
          <w:p w14:paraId="567D29A5">
            <w:pPr>
              <w:pStyle w:val="40"/>
              <w:jc w:val="center"/>
              <w:rPr>
                <w:rFonts w:ascii="Times New Roman" w:hAnsi="Times New Roman" w:cs="Times New Roman"/>
                <w:color w:val="000000" w:themeColor="text1"/>
              </w:rPr>
            </w:pPr>
            <w:r>
              <w:rPr>
                <w:rFonts w:ascii="Times New Roman" w:hAnsi="Times New Roman" w:cs="Times New Roman"/>
                <w:color w:val="000000" w:themeColor="text1"/>
              </w:rPr>
              <w:t>22000</w:t>
            </w:r>
          </w:p>
        </w:tc>
        <w:tc>
          <w:tcPr>
            <w:tcW w:w="453" w:type="pct"/>
            <w:tcBorders>
              <w:top w:val="single" w:color="auto" w:sz="4" w:space="0"/>
              <w:left w:val="single" w:color="auto" w:sz="4" w:space="0"/>
              <w:bottom w:val="single" w:color="auto" w:sz="4" w:space="0"/>
              <w:right w:val="single" w:color="auto" w:sz="4" w:space="0"/>
            </w:tcBorders>
            <w:vAlign w:val="center"/>
          </w:tcPr>
          <w:p w14:paraId="1FD69085">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eastAsia="zh-CN"/>
              </w:rPr>
              <w:t>约48公里（含新建及改建）线性高水平城市公共生活空间。</w:t>
            </w:r>
          </w:p>
        </w:tc>
        <w:tc>
          <w:tcPr>
            <w:tcW w:w="690" w:type="pct"/>
            <w:tcBorders>
              <w:top w:val="single" w:color="auto" w:sz="4" w:space="0"/>
              <w:left w:val="single" w:color="auto" w:sz="4" w:space="0"/>
              <w:bottom w:val="single" w:color="auto" w:sz="4" w:space="0"/>
              <w:right w:val="single" w:color="auto" w:sz="4" w:space="0"/>
            </w:tcBorders>
            <w:vAlign w:val="center"/>
          </w:tcPr>
          <w:p w14:paraId="24F0F9C0">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阳江市城市管理和综合执法局</w:t>
            </w:r>
          </w:p>
        </w:tc>
        <w:tc>
          <w:tcPr>
            <w:tcW w:w="285" w:type="pct"/>
            <w:tcBorders>
              <w:top w:val="single" w:color="auto" w:sz="4" w:space="0"/>
              <w:left w:val="single" w:color="auto" w:sz="4" w:space="0"/>
              <w:bottom w:val="single" w:color="auto" w:sz="4" w:space="0"/>
              <w:right w:val="single" w:color="auto" w:sz="4" w:space="0"/>
            </w:tcBorders>
            <w:vAlign w:val="center"/>
          </w:tcPr>
          <w:p w14:paraId="604FE891">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规划</w:t>
            </w:r>
          </w:p>
        </w:tc>
      </w:tr>
      <w:tr w14:paraId="211D05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1" w:hRule="atLeast"/>
        </w:trPr>
        <w:tc>
          <w:tcPr>
            <w:tcW w:w="217" w:type="pct"/>
            <w:tcBorders>
              <w:top w:val="single" w:color="auto" w:sz="4" w:space="0"/>
              <w:left w:val="single" w:color="auto" w:sz="4" w:space="0"/>
              <w:bottom w:val="single" w:color="auto" w:sz="4" w:space="0"/>
              <w:right w:val="single" w:color="auto" w:sz="4" w:space="0"/>
            </w:tcBorders>
            <w:vAlign w:val="center"/>
          </w:tcPr>
          <w:p w14:paraId="4E3B5092">
            <w:pPr>
              <w:pStyle w:val="40"/>
              <w:jc w:val="center"/>
              <w:rPr>
                <w:rFonts w:ascii="Times New Roman" w:hAnsi="Times New Roman" w:cs="Times New Roman"/>
                <w:color w:val="000000" w:themeColor="text1"/>
                <w:lang w:val="en-US" w:eastAsia="zh-CN"/>
              </w:rPr>
            </w:pPr>
            <w:r>
              <w:rPr>
                <w:rFonts w:ascii="Times New Roman" w:hAnsi="Times New Roman" w:cs="Times New Roman"/>
                <w:color w:val="000000" w:themeColor="text1"/>
              </w:rPr>
              <w:t>4</w:t>
            </w:r>
            <w:r>
              <w:rPr>
                <w:rFonts w:ascii="Times New Roman" w:hAnsi="Times New Roman" w:cs="Times New Roman"/>
                <w:color w:val="000000" w:themeColor="text1"/>
                <w:lang w:val="en-US" w:eastAsia="zh-CN"/>
              </w:rPr>
              <w:t>2</w:t>
            </w:r>
          </w:p>
        </w:tc>
        <w:tc>
          <w:tcPr>
            <w:tcW w:w="310" w:type="pct"/>
            <w:vMerge w:val="continue"/>
            <w:tcBorders>
              <w:left w:val="single" w:color="auto" w:sz="4" w:space="0"/>
              <w:right w:val="single" w:color="auto" w:sz="4" w:space="0"/>
            </w:tcBorders>
            <w:vAlign w:val="center"/>
          </w:tcPr>
          <w:p w14:paraId="750B2F71">
            <w:pPr>
              <w:pStyle w:val="40"/>
              <w:jc w:val="center"/>
              <w:rPr>
                <w:rFonts w:ascii="Times New Roman" w:hAnsi="Times New Roman" w:cs="Times New Roman"/>
                <w:color w:val="000000" w:themeColor="text1"/>
              </w:rPr>
            </w:pPr>
          </w:p>
        </w:tc>
        <w:tc>
          <w:tcPr>
            <w:tcW w:w="281" w:type="pct"/>
            <w:tcBorders>
              <w:left w:val="single" w:color="auto" w:sz="4" w:space="0"/>
              <w:right w:val="single" w:color="auto" w:sz="4" w:space="0"/>
            </w:tcBorders>
            <w:vAlign w:val="center"/>
          </w:tcPr>
          <w:p w14:paraId="3DDB0F7A">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城市公共服务活动提升改造工程</w:t>
            </w:r>
          </w:p>
        </w:tc>
        <w:tc>
          <w:tcPr>
            <w:tcW w:w="377" w:type="pct"/>
            <w:tcBorders>
              <w:top w:val="single" w:color="auto" w:sz="4" w:space="0"/>
              <w:left w:val="single" w:color="auto" w:sz="4" w:space="0"/>
              <w:bottom w:val="single" w:color="auto" w:sz="4" w:space="0"/>
              <w:right w:val="single" w:color="auto" w:sz="4" w:space="0"/>
            </w:tcBorders>
            <w:vAlign w:val="center"/>
          </w:tcPr>
          <w:p w14:paraId="08576B25">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鸳鸯湖北湖滨水公共空间服务设施完善工程</w:t>
            </w:r>
          </w:p>
        </w:tc>
        <w:tc>
          <w:tcPr>
            <w:tcW w:w="521" w:type="pct"/>
            <w:tcBorders>
              <w:top w:val="single" w:color="auto" w:sz="4" w:space="0"/>
              <w:left w:val="single" w:color="auto" w:sz="4" w:space="0"/>
              <w:bottom w:val="single" w:color="auto" w:sz="4" w:space="0"/>
              <w:right w:val="single" w:color="auto" w:sz="4" w:space="0"/>
            </w:tcBorders>
            <w:vAlign w:val="center"/>
          </w:tcPr>
          <w:p w14:paraId="244ADB17">
            <w:pPr>
              <w:pStyle w:val="40"/>
              <w:jc w:val="center"/>
              <w:rPr>
                <w:rFonts w:ascii="Times New Roman" w:hAnsi="Times New Roman" w:cs="Times New Roman"/>
                <w:color w:val="000000" w:themeColor="text1"/>
              </w:rPr>
            </w:pPr>
            <w:r>
              <w:rPr>
                <w:rFonts w:ascii="Times New Roman" w:hAnsi="Times New Roman" w:cs="Times New Roman"/>
                <w:color w:val="000000" w:themeColor="text1"/>
              </w:rPr>
              <w:t>阳江市中心城区</w:t>
            </w:r>
          </w:p>
        </w:tc>
        <w:tc>
          <w:tcPr>
            <w:tcW w:w="1139" w:type="pct"/>
            <w:tcBorders>
              <w:top w:val="single" w:color="auto" w:sz="4" w:space="0"/>
              <w:left w:val="single" w:color="auto" w:sz="4" w:space="0"/>
              <w:bottom w:val="single" w:color="auto" w:sz="4" w:space="0"/>
              <w:right w:val="single" w:color="auto" w:sz="4" w:space="0"/>
            </w:tcBorders>
            <w:vAlign w:val="center"/>
          </w:tcPr>
          <w:p w14:paraId="3F63EB5F">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健全环湖步道系统，优化设施服务功能，增强滨水空间活力。</w:t>
            </w:r>
          </w:p>
        </w:tc>
        <w:tc>
          <w:tcPr>
            <w:tcW w:w="328" w:type="pct"/>
            <w:tcBorders>
              <w:top w:val="single" w:color="auto" w:sz="4" w:space="0"/>
              <w:left w:val="single" w:color="auto" w:sz="4" w:space="0"/>
              <w:bottom w:val="single" w:color="auto" w:sz="4" w:space="0"/>
              <w:right w:val="single" w:color="auto" w:sz="4" w:space="0"/>
            </w:tcBorders>
            <w:vAlign w:val="center"/>
          </w:tcPr>
          <w:p w14:paraId="2407E424">
            <w:pPr>
              <w:pStyle w:val="40"/>
              <w:jc w:val="center"/>
              <w:rPr>
                <w:rFonts w:ascii="Times New Roman" w:hAnsi="Times New Roman" w:cs="Times New Roman"/>
                <w:color w:val="000000" w:themeColor="text1"/>
              </w:rPr>
            </w:pPr>
            <w:r>
              <w:rPr>
                <w:rFonts w:ascii="Times New Roman" w:hAnsi="Times New Roman" w:cs="Times New Roman"/>
                <w:color w:val="000000" w:themeColor="text1"/>
              </w:rPr>
              <w:t>2025-2028</w:t>
            </w:r>
          </w:p>
        </w:tc>
        <w:tc>
          <w:tcPr>
            <w:tcW w:w="399" w:type="pct"/>
            <w:tcBorders>
              <w:top w:val="single" w:color="auto" w:sz="4" w:space="0"/>
              <w:left w:val="single" w:color="auto" w:sz="4" w:space="0"/>
              <w:bottom w:val="single" w:color="auto" w:sz="4" w:space="0"/>
              <w:right w:val="single" w:color="auto" w:sz="4" w:space="0"/>
            </w:tcBorders>
            <w:vAlign w:val="center"/>
          </w:tcPr>
          <w:p w14:paraId="55E94FCD">
            <w:pPr>
              <w:pStyle w:val="40"/>
              <w:jc w:val="center"/>
              <w:rPr>
                <w:rFonts w:ascii="Times New Roman" w:hAnsi="Times New Roman" w:cs="Times New Roman"/>
                <w:color w:val="000000" w:themeColor="text1"/>
              </w:rPr>
            </w:pPr>
            <w:r>
              <w:rPr>
                <w:rFonts w:ascii="Times New Roman" w:hAnsi="Times New Roman" w:cs="Times New Roman"/>
                <w:color w:val="000000" w:themeColor="text1"/>
              </w:rPr>
              <w:t>1500</w:t>
            </w:r>
          </w:p>
        </w:tc>
        <w:tc>
          <w:tcPr>
            <w:tcW w:w="453" w:type="pct"/>
            <w:tcBorders>
              <w:top w:val="single" w:color="auto" w:sz="4" w:space="0"/>
              <w:left w:val="single" w:color="auto" w:sz="4" w:space="0"/>
              <w:bottom w:val="single" w:color="auto" w:sz="4" w:space="0"/>
              <w:right w:val="single" w:color="auto" w:sz="4" w:space="0"/>
            </w:tcBorders>
            <w:vAlign w:val="center"/>
          </w:tcPr>
          <w:p w14:paraId="69CABC55">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整治岸线环境面积15</w:t>
            </w:r>
            <w:r>
              <w:rPr>
                <w:rFonts w:hint="eastAsia" w:ascii="Times New Roman" w:hAnsi="Times New Roman" w:cs="Times New Roman"/>
                <w:color w:val="000000" w:themeColor="text1"/>
                <w:lang w:eastAsia="zh-CN"/>
              </w:rPr>
              <w:t>公顷。</w:t>
            </w:r>
          </w:p>
        </w:tc>
        <w:tc>
          <w:tcPr>
            <w:tcW w:w="690" w:type="pct"/>
            <w:tcBorders>
              <w:top w:val="single" w:color="auto" w:sz="4" w:space="0"/>
              <w:left w:val="single" w:color="auto" w:sz="4" w:space="0"/>
              <w:bottom w:val="single" w:color="auto" w:sz="4" w:space="0"/>
              <w:right w:val="single" w:color="auto" w:sz="4" w:space="0"/>
            </w:tcBorders>
            <w:vAlign w:val="center"/>
          </w:tcPr>
          <w:p w14:paraId="39E49209">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阳江市城市管理和综合执法局</w:t>
            </w:r>
          </w:p>
        </w:tc>
        <w:tc>
          <w:tcPr>
            <w:tcW w:w="285" w:type="pct"/>
            <w:tcBorders>
              <w:top w:val="single" w:color="auto" w:sz="4" w:space="0"/>
              <w:left w:val="single" w:color="auto" w:sz="4" w:space="0"/>
              <w:bottom w:val="single" w:color="auto" w:sz="4" w:space="0"/>
              <w:right w:val="single" w:color="auto" w:sz="4" w:space="0"/>
            </w:tcBorders>
            <w:vAlign w:val="center"/>
          </w:tcPr>
          <w:p w14:paraId="1ABCDA53">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规划</w:t>
            </w:r>
          </w:p>
        </w:tc>
      </w:tr>
      <w:tr w14:paraId="459E21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1" w:hRule="atLeast"/>
        </w:trPr>
        <w:tc>
          <w:tcPr>
            <w:tcW w:w="217" w:type="pct"/>
            <w:tcBorders>
              <w:top w:val="single" w:color="auto" w:sz="4" w:space="0"/>
              <w:left w:val="single" w:color="auto" w:sz="4" w:space="0"/>
              <w:bottom w:val="single" w:color="auto" w:sz="4" w:space="0"/>
              <w:right w:val="single" w:color="auto" w:sz="4" w:space="0"/>
            </w:tcBorders>
            <w:vAlign w:val="center"/>
          </w:tcPr>
          <w:p w14:paraId="5AE2FB4D">
            <w:pPr>
              <w:pStyle w:val="40"/>
              <w:jc w:val="center"/>
              <w:rPr>
                <w:rFonts w:ascii="Times New Roman" w:hAnsi="Times New Roman" w:cs="Times New Roman"/>
                <w:color w:val="000000" w:themeColor="text1"/>
                <w:lang w:val="en-US" w:eastAsia="zh-CN"/>
              </w:rPr>
            </w:pPr>
            <w:r>
              <w:rPr>
                <w:rFonts w:ascii="Times New Roman" w:hAnsi="Times New Roman" w:cs="Times New Roman"/>
                <w:color w:val="000000" w:themeColor="text1"/>
              </w:rPr>
              <w:t>4</w:t>
            </w:r>
            <w:r>
              <w:rPr>
                <w:rFonts w:ascii="Times New Roman" w:hAnsi="Times New Roman" w:cs="Times New Roman"/>
                <w:color w:val="000000" w:themeColor="text1"/>
                <w:lang w:val="en-US" w:eastAsia="zh-CN"/>
              </w:rPr>
              <w:t>3</w:t>
            </w:r>
          </w:p>
        </w:tc>
        <w:tc>
          <w:tcPr>
            <w:tcW w:w="310" w:type="pct"/>
            <w:vMerge w:val="continue"/>
            <w:tcBorders>
              <w:left w:val="single" w:color="auto" w:sz="4" w:space="0"/>
              <w:right w:val="single" w:color="auto" w:sz="4" w:space="0"/>
            </w:tcBorders>
            <w:vAlign w:val="center"/>
          </w:tcPr>
          <w:p w14:paraId="7DF10346">
            <w:pPr>
              <w:pStyle w:val="40"/>
              <w:jc w:val="center"/>
              <w:rPr>
                <w:rFonts w:ascii="Times New Roman" w:hAnsi="Times New Roman" w:cs="Times New Roman"/>
                <w:color w:val="000000" w:themeColor="text1"/>
              </w:rPr>
            </w:pPr>
          </w:p>
        </w:tc>
        <w:tc>
          <w:tcPr>
            <w:tcW w:w="281" w:type="pct"/>
            <w:vMerge w:val="restart"/>
            <w:tcBorders>
              <w:left w:val="single" w:color="auto" w:sz="4" w:space="0"/>
              <w:right w:val="single" w:color="auto" w:sz="4" w:space="0"/>
            </w:tcBorders>
            <w:vAlign w:val="center"/>
          </w:tcPr>
          <w:p w14:paraId="56A2C7B4">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城市生态韧性建设提升工程</w:t>
            </w:r>
          </w:p>
        </w:tc>
        <w:tc>
          <w:tcPr>
            <w:tcW w:w="377" w:type="pct"/>
            <w:tcBorders>
              <w:top w:val="single" w:color="auto" w:sz="4" w:space="0"/>
              <w:left w:val="single" w:color="auto" w:sz="4" w:space="0"/>
              <w:bottom w:val="single" w:color="auto" w:sz="4" w:space="0"/>
              <w:right w:val="single" w:color="auto" w:sz="4" w:space="0"/>
            </w:tcBorders>
            <w:vAlign w:val="center"/>
          </w:tcPr>
          <w:p w14:paraId="6A56AD89">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市区污水处理及排水排污管网改造项目</w:t>
            </w:r>
          </w:p>
        </w:tc>
        <w:tc>
          <w:tcPr>
            <w:tcW w:w="521" w:type="pct"/>
            <w:tcBorders>
              <w:top w:val="single" w:color="auto" w:sz="4" w:space="0"/>
              <w:left w:val="single" w:color="auto" w:sz="4" w:space="0"/>
              <w:bottom w:val="single" w:color="auto" w:sz="4" w:space="0"/>
              <w:right w:val="single" w:color="auto" w:sz="4" w:space="0"/>
            </w:tcBorders>
            <w:vAlign w:val="center"/>
          </w:tcPr>
          <w:p w14:paraId="222D179B">
            <w:pPr>
              <w:pStyle w:val="40"/>
              <w:rPr>
                <w:rFonts w:ascii="Times New Roman" w:hAnsi="Times New Roman" w:cs="Times New Roman"/>
                <w:color w:val="000000" w:themeColor="text1"/>
              </w:rPr>
            </w:pPr>
            <w:r>
              <w:rPr>
                <w:rFonts w:ascii="Times New Roman" w:hAnsi="Times New Roman" w:cs="Times New Roman"/>
                <w:color w:val="000000" w:themeColor="text1"/>
              </w:rPr>
              <w:t>阳江市中心城区</w:t>
            </w:r>
          </w:p>
        </w:tc>
        <w:tc>
          <w:tcPr>
            <w:tcW w:w="1139" w:type="pct"/>
            <w:tcBorders>
              <w:top w:val="single" w:color="auto" w:sz="4" w:space="0"/>
              <w:left w:val="single" w:color="auto" w:sz="4" w:space="0"/>
              <w:bottom w:val="single" w:color="auto" w:sz="4" w:space="0"/>
              <w:right w:val="single" w:color="auto" w:sz="4" w:space="0"/>
            </w:tcBorders>
            <w:vAlign w:val="center"/>
          </w:tcPr>
          <w:p w14:paraId="53B2A836">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新建雨污管渠294.71公里，改造雨污管渠157.61公里。累计新建改建管径300～800毫米雨污管渠434.3公里，大于800毫米雨污干管渠18.02公里，另外整治市政雨污管错接混接560处。达到综合治理面积83.59平方公里，城市河涌（暗渠）27.15公里。城南污水处理厂三期扩建增容规模4万吨／日，中洲岛污水处理厂二期扩建增容规模2万吨/日。</w:t>
            </w:r>
          </w:p>
        </w:tc>
        <w:tc>
          <w:tcPr>
            <w:tcW w:w="328" w:type="pct"/>
            <w:tcBorders>
              <w:top w:val="single" w:color="auto" w:sz="4" w:space="0"/>
              <w:left w:val="single" w:color="auto" w:sz="4" w:space="0"/>
              <w:bottom w:val="single" w:color="auto" w:sz="4" w:space="0"/>
              <w:right w:val="single" w:color="auto" w:sz="4" w:space="0"/>
            </w:tcBorders>
            <w:vAlign w:val="center"/>
          </w:tcPr>
          <w:p w14:paraId="1B83BC6B">
            <w:pPr>
              <w:pStyle w:val="40"/>
              <w:jc w:val="center"/>
              <w:rPr>
                <w:rFonts w:ascii="Times New Roman" w:hAnsi="Times New Roman" w:cs="Times New Roman"/>
                <w:color w:val="000000" w:themeColor="text1"/>
              </w:rPr>
            </w:pPr>
            <w:r>
              <w:rPr>
                <w:rFonts w:ascii="Times New Roman" w:hAnsi="Times New Roman" w:cs="Times New Roman"/>
                <w:color w:val="000000" w:themeColor="text1"/>
              </w:rPr>
              <w:t>2024-2028</w:t>
            </w:r>
          </w:p>
        </w:tc>
        <w:tc>
          <w:tcPr>
            <w:tcW w:w="399" w:type="pct"/>
            <w:tcBorders>
              <w:top w:val="single" w:color="auto" w:sz="4" w:space="0"/>
              <w:left w:val="single" w:color="auto" w:sz="4" w:space="0"/>
              <w:bottom w:val="single" w:color="auto" w:sz="4" w:space="0"/>
              <w:right w:val="single" w:color="auto" w:sz="4" w:space="0"/>
            </w:tcBorders>
            <w:vAlign w:val="center"/>
          </w:tcPr>
          <w:p w14:paraId="5CA2FC19">
            <w:pPr>
              <w:pStyle w:val="40"/>
              <w:jc w:val="center"/>
              <w:rPr>
                <w:rFonts w:ascii="Times New Roman" w:hAnsi="Times New Roman" w:cs="Times New Roman"/>
                <w:color w:val="000000" w:themeColor="text1"/>
              </w:rPr>
            </w:pPr>
            <w:r>
              <w:rPr>
                <w:rFonts w:ascii="Times New Roman" w:hAnsi="Times New Roman" w:cs="Times New Roman"/>
                <w:color w:val="000000" w:themeColor="text1"/>
              </w:rPr>
              <w:t>172608</w:t>
            </w:r>
          </w:p>
        </w:tc>
        <w:tc>
          <w:tcPr>
            <w:tcW w:w="453" w:type="pct"/>
            <w:tcBorders>
              <w:top w:val="single" w:color="auto" w:sz="4" w:space="0"/>
              <w:left w:val="single" w:color="auto" w:sz="4" w:space="0"/>
              <w:bottom w:val="single" w:color="auto" w:sz="4" w:space="0"/>
              <w:right w:val="single" w:color="auto" w:sz="4" w:space="0"/>
            </w:tcBorders>
            <w:vAlign w:val="center"/>
          </w:tcPr>
          <w:p w14:paraId="01EFDFCF">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eastAsia="zh-CN"/>
              </w:rPr>
              <w:t>/</w:t>
            </w:r>
          </w:p>
        </w:tc>
        <w:tc>
          <w:tcPr>
            <w:tcW w:w="690" w:type="pct"/>
            <w:tcBorders>
              <w:top w:val="single" w:color="auto" w:sz="4" w:space="0"/>
              <w:left w:val="single" w:color="auto" w:sz="4" w:space="0"/>
              <w:bottom w:val="single" w:color="auto" w:sz="4" w:space="0"/>
              <w:right w:val="single" w:color="auto" w:sz="4" w:space="0"/>
            </w:tcBorders>
            <w:vAlign w:val="center"/>
          </w:tcPr>
          <w:p w14:paraId="164DB83F">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阳江市城市管理和综合执法局</w:t>
            </w:r>
          </w:p>
        </w:tc>
        <w:tc>
          <w:tcPr>
            <w:tcW w:w="285" w:type="pct"/>
            <w:tcBorders>
              <w:top w:val="single" w:color="auto" w:sz="4" w:space="0"/>
              <w:left w:val="single" w:color="auto" w:sz="4" w:space="0"/>
              <w:bottom w:val="single" w:color="auto" w:sz="4" w:space="0"/>
              <w:right w:val="single" w:color="auto" w:sz="4" w:space="0"/>
            </w:tcBorders>
            <w:vAlign w:val="center"/>
          </w:tcPr>
          <w:p w14:paraId="72E16DFF">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在建</w:t>
            </w:r>
          </w:p>
        </w:tc>
      </w:tr>
      <w:tr w14:paraId="66648D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1" w:hRule="atLeast"/>
        </w:trPr>
        <w:tc>
          <w:tcPr>
            <w:tcW w:w="217" w:type="pct"/>
            <w:tcBorders>
              <w:top w:val="single" w:color="auto" w:sz="4" w:space="0"/>
              <w:left w:val="single" w:color="auto" w:sz="4" w:space="0"/>
              <w:bottom w:val="single" w:color="auto" w:sz="4" w:space="0"/>
              <w:right w:val="single" w:color="auto" w:sz="4" w:space="0"/>
            </w:tcBorders>
            <w:vAlign w:val="center"/>
          </w:tcPr>
          <w:p w14:paraId="3D96122F">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val="en-US" w:eastAsia="zh-CN"/>
              </w:rPr>
              <w:t>44</w:t>
            </w:r>
          </w:p>
        </w:tc>
        <w:tc>
          <w:tcPr>
            <w:tcW w:w="310" w:type="pct"/>
            <w:vMerge w:val="continue"/>
            <w:tcBorders>
              <w:left w:val="single" w:color="auto" w:sz="4" w:space="0"/>
              <w:right w:val="single" w:color="auto" w:sz="4" w:space="0"/>
            </w:tcBorders>
            <w:vAlign w:val="center"/>
          </w:tcPr>
          <w:p w14:paraId="038882D6">
            <w:pPr>
              <w:pStyle w:val="40"/>
              <w:jc w:val="center"/>
              <w:rPr>
                <w:rFonts w:ascii="Times New Roman" w:hAnsi="Times New Roman" w:cs="Times New Roman"/>
                <w:color w:val="000000" w:themeColor="text1"/>
              </w:rPr>
            </w:pPr>
          </w:p>
        </w:tc>
        <w:tc>
          <w:tcPr>
            <w:tcW w:w="281" w:type="pct"/>
            <w:vMerge w:val="continue"/>
            <w:tcBorders>
              <w:left w:val="single" w:color="auto" w:sz="4" w:space="0"/>
              <w:right w:val="single" w:color="auto" w:sz="4" w:space="0"/>
            </w:tcBorders>
            <w:vAlign w:val="center"/>
          </w:tcPr>
          <w:p w14:paraId="6DFC1D2A">
            <w:pPr>
              <w:pStyle w:val="40"/>
              <w:rPr>
                <w:rFonts w:ascii="Times New Roman" w:hAnsi="Times New Roman" w:cs="Times New Roman"/>
                <w:color w:val="000000" w:themeColor="text1"/>
                <w:lang w:eastAsia="zh-CN"/>
              </w:rPr>
            </w:pPr>
          </w:p>
        </w:tc>
        <w:tc>
          <w:tcPr>
            <w:tcW w:w="377" w:type="pct"/>
            <w:tcBorders>
              <w:top w:val="single" w:color="auto" w:sz="4" w:space="0"/>
              <w:left w:val="single" w:color="auto" w:sz="4" w:space="0"/>
              <w:bottom w:val="single" w:color="auto" w:sz="4" w:space="0"/>
              <w:right w:val="single" w:color="auto" w:sz="4" w:space="0"/>
            </w:tcBorders>
            <w:vAlign w:val="center"/>
          </w:tcPr>
          <w:p w14:paraId="240818EE">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阳东区城区雨污管网建设工程</w:t>
            </w:r>
          </w:p>
        </w:tc>
        <w:tc>
          <w:tcPr>
            <w:tcW w:w="521" w:type="pct"/>
            <w:tcBorders>
              <w:top w:val="single" w:color="auto" w:sz="4" w:space="0"/>
              <w:left w:val="single" w:color="auto" w:sz="4" w:space="0"/>
              <w:bottom w:val="single" w:color="auto" w:sz="4" w:space="0"/>
              <w:right w:val="single" w:color="auto" w:sz="4" w:space="0"/>
            </w:tcBorders>
            <w:vAlign w:val="center"/>
          </w:tcPr>
          <w:p w14:paraId="20950F63">
            <w:pPr>
              <w:pStyle w:val="40"/>
              <w:rPr>
                <w:rFonts w:ascii="Times New Roman" w:hAnsi="Times New Roman" w:cs="Times New Roman"/>
                <w:color w:val="000000" w:themeColor="text1"/>
              </w:rPr>
            </w:pPr>
            <w:r>
              <w:rPr>
                <w:rFonts w:ascii="Times New Roman" w:hAnsi="Times New Roman" w:cs="Times New Roman"/>
                <w:color w:val="000000" w:themeColor="text1"/>
              </w:rPr>
              <w:t>阳东区</w:t>
            </w:r>
          </w:p>
        </w:tc>
        <w:tc>
          <w:tcPr>
            <w:tcW w:w="1139" w:type="pct"/>
            <w:tcBorders>
              <w:top w:val="single" w:color="auto" w:sz="4" w:space="0"/>
              <w:left w:val="single" w:color="auto" w:sz="4" w:space="0"/>
              <w:bottom w:val="single" w:color="auto" w:sz="4" w:space="0"/>
              <w:right w:val="single" w:color="auto" w:sz="4" w:space="0"/>
            </w:tcBorders>
            <w:vAlign w:val="center"/>
          </w:tcPr>
          <w:p w14:paraId="0B6E3217">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该工程主要建设内容包括对城区德政路、福兴路、广雅路、新江路、新昌路、龙日路、兴宁路等道路进行雨污水管道建设，对缺少污水管的道路及巷道增加污水管网，对现状雨水管管径较小、易发生内涝的路段，新建适宜管径的雨水管。</w:t>
            </w:r>
          </w:p>
        </w:tc>
        <w:tc>
          <w:tcPr>
            <w:tcW w:w="328" w:type="pct"/>
            <w:tcBorders>
              <w:top w:val="single" w:color="auto" w:sz="4" w:space="0"/>
              <w:left w:val="single" w:color="auto" w:sz="4" w:space="0"/>
              <w:bottom w:val="single" w:color="auto" w:sz="4" w:space="0"/>
              <w:right w:val="single" w:color="auto" w:sz="4" w:space="0"/>
            </w:tcBorders>
            <w:vAlign w:val="center"/>
          </w:tcPr>
          <w:p w14:paraId="1A1880C5">
            <w:pPr>
              <w:pStyle w:val="40"/>
              <w:jc w:val="center"/>
              <w:rPr>
                <w:rFonts w:ascii="Times New Roman" w:hAnsi="Times New Roman" w:cs="Times New Roman"/>
                <w:color w:val="000000" w:themeColor="text1"/>
              </w:rPr>
            </w:pPr>
            <w:r>
              <w:rPr>
                <w:rFonts w:ascii="Times New Roman" w:hAnsi="Times New Roman" w:cs="Times New Roman"/>
                <w:color w:val="000000" w:themeColor="text1"/>
              </w:rPr>
              <w:t>2025-2030</w:t>
            </w:r>
          </w:p>
        </w:tc>
        <w:tc>
          <w:tcPr>
            <w:tcW w:w="399" w:type="pct"/>
            <w:tcBorders>
              <w:top w:val="single" w:color="auto" w:sz="4" w:space="0"/>
              <w:left w:val="single" w:color="auto" w:sz="4" w:space="0"/>
              <w:bottom w:val="single" w:color="auto" w:sz="4" w:space="0"/>
              <w:right w:val="single" w:color="auto" w:sz="4" w:space="0"/>
            </w:tcBorders>
            <w:vAlign w:val="center"/>
          </w:tcPr>
          <w:p w14:paraId="3E04590B">
            <w:pPr>
              <w:pStyle w:val="40"/>
              <w:jc w:val="center"/>
              <w:rPr>
                <w:rFonts w:ascii="Times New Roman" w:hAnsi="Times New Roman" w:cs="Times New Roman"/>
                <w:color w:val="000000" w:themeColor="text1"/>
              </w:rPr>
            </w:pPr>
            <w:r>
              <w:rPr>
                <w:rFonts w:ascii="Times New Roman" w:hAnsi="Times New Roman" w:cs="Times New Roman"/>
                <w:color w:val="000000" w:themeColor="text1"/>
              </w:rPr>
              <w:t>53000</w:t>
            </w:r>
          </w:p>
        </w:tc>
        <w:tc>
          <w:tcPr>
            <w:tcW w:w="453" w:type="pct"/>
            <w:tcBorders>
              <w:top w:val="single" w:color="auto" w:sz="4" w:space="0"/>
              <w:left w:val="single" w:color="auto" w:sz="4" w:space="0"/>
              <w:bottom w:val="single" w:color="auto" w:sz="4" w:space="0"/>
              <w:right w:val="single" w:color="auto" w:sz="4" w:space="0"/>
            </w:tcBorders>
            <w:vAlign w:val="center"/>
          </w:tcPr>
          <w:p w14:paraId="3507303F">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eastAsia="zh-CN"/>
              </w:rPr>
              <w:t>/</w:t>
            </w:r>
          </w:p>
        </w:tc>
        <w:tc>
          <w:tcPr>
            <w:tcW w:w="690" w:type="pct"/>
            <w:tcBorders>
              <w:top w:val="single" w:color="auto" w:sz="4" w:space="0"/>
              <w:left w:val="single" w:color="auto" w:sz="4" w:space="0"/>
              <w:bottom w:val="single" w:color="auto" w:sz="4" w:space="0"/>
              <w:right w:val="single" w:color="auto" w:sz="4" w:space="0"/>
            </w:tcBorders>
            <w:vAlign w:val="center"/>
          </w:tcPr>
          <w:p w14:paraId="01265AFF">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阳东区城市管理和综合执法局</w:t>
            </w:r>
          </w:p>
        </w:tc>
        <w:tc>
          <w:tcPr>
            <w:tcW w:w="285" w:type="pct"/>
            <w:tcBorders>
              <w:top w:val="single" w:color="auto" w:sz="4" w:space="0"/>
              <w:left w:val="single" w:color="auto" w:sz="4" w:space="0"/>
              <w:bottom w:val="single" w:color="auto" w:sz="4" w:space="0"/>
              <w:right w:val="single" w:color="auto" w:sz="4" w:space="0"/>
            </w:tcBorders>
            <w:vAlign w:val="center"/>
          </w:tcPr>
          <w:p w14:paraId="37C985F0">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规划</w:t>
            </w:r>
          </w:p>
        </w:tc>
      </w:tr>
      <w:tr w14:paraId="69424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1" w:hRule="atLeast"/>
        </w:trPr>
        <w:tc>
          <w:tcPr>
            <w:tcW w:w="217" w:type="pct"/>
            <w:tcBorders>
              <w:top w:val="single" w:color="auto" w:sz="4" w:space="0"/>
              <w:left w:val="single" w:color="auto" w:sz="4" w:space="0"/>
              <w:bottom w:val="single" w:color="auto" w:sz="4" w:space="0"/>
              <w:right w:val="single" w:color="auto" w:sz="4" w:space="0"/>
            </w:tcBorders>
            <w:vAlign w:val="center"/>
          </w:tcPr>
          <w:p w14:paraId="613BC9B8">
            <w:pPr>
              <w:pStyle w:val="40"/>
              <w:jc w:val="center"/>
              <w:rPr>
                <w:rFonts w:ascii="Times New Roman" w:hAnsi="Times New Roman" w:cs="Times New Roman"/>
                <w:color w:val="000000" w:themeColor="text1"/>
                <w:lang w:val="en-US" w:eastAsia="zh-CN"/>
              </w:rPr>
            </w:pPr>
            <w:r>
              <w:rPr>
                <w:rFonts w:ascii="Times New Roman" w:hAnsi="Times New Roman" w:cs="Times New Roman"/>
                <w:color w:val="000000" w:themeColor="text1"/>
              </w:rPr>
              <w:t>4</w:t>
            </w:r>
            <w:r>
              <w:rPr>
                <w:rFonts w:ascii="Times New Roman" w:hAnsi="Times New Roman" w:cs="Times New Roman"/>
                <w:color w:val="000000" w:themeColor="text1"/>
                <w:lang w:val="en-US" w:eastAsia="zh-CN"/>
              </w:rPr>
              <w:t>5</w:t>
            </w:r>
          </w:p>
        </w:tc>
        <w:tc>
          <w:tcPr>
            <w:tcW w:w="310" w:type="pct"/>
            <w:vMerge w:val="continue"/>
            <w:tcBorders>
              <w:left w:val="single" w:color="auto" w:sz="4" w:space="0"/>
              <w:right w:val="single" w:color="auto" w:sz="4" w:space="0"/>
            </w:tcBorders>
            <w:vAlign w:val="center"/>
          </w:tcPr>
          <w:p w14:paraId="26EEB9DB">
            <w:pPr>
              <w:pStyle w:val="40"/>
              <w:jc w:val="center"/>
              <w:rPr>
                <w:rFonts w:ascii="Times New Roman" w:hAnsi="Times New Roman" w:cs="Times New Roman"/>
                <w:color w:val="000000" w:themeColor="text1"/>
              </w:rPr>
            </w:pPr>
          </w:p>
        </w:tc>
        <w:tc>
          <w:tcPr>
            <w:tcW w:w="281" w:type="pct"/>
            <w:vMerge w:val="continue"/>
            <w:tcBorders>
              <w:left w:val="single" w:color="auto" w:sz="4" w:space="0"/>
              <w:right w:val="single" w:color="auto" w:sz="4" w:space="0"/>
            </w:tcBorders>
            <w:vAlign w:val="center"/>
          </w:tcPr>
          <w:p w14:paraId="4E797FA2">
            <w:pPr>
              <w:pStyle w:val="40"/>
              <w:rPr>
                <w:rFonts w:ascii="Times New Roman" w:hAnsi="Times New Roman" w:cs="Times New Roman"/>
                <w:color w:val="000000" w:themeColor="text1"/>
                <w:lang w:eastAsia="zh-CN"/>
              </w:rPr>
            </w:pPr>
          </w:p>
        </w:tc>
        <w:tc>
          <w:tcPr>
            <w:tcW w:w="377" w:type="pct"/>
            <w:tcBorders>
              <w:top w:val="single" w:color="auto" w:sz="4" w:space="0"/>
              <w:left w:val="single" w:color="auto" w:sz="4" w:space="0"/>
              <w:bottom w:val="single" w:color="auto" w:sz="4" w:space="0"/>
              <w:right w:val="single" w:color="auto" w:sz="4" w:space="0"/>
            </w:tcBorders>
            <w:vAlign w:val="center"/>
          </w:tcPr>
          <w:p w14:paraId="6EB55442">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阳东区广雅路（永安路至文化路）增加雨水管工程</w:t>
            </w:r>
          </w:p>
        </w:tc>
        <w:tc>
          <w:tcPr>
            <w:tcW w:w="521" w:type="pct"/>
            <w:tcBorders>
              <w:top w:val="single" w:color="auto" w:sz="4" w:space="0"/>
              <w:left w:val="single" w:color="auto" w:sz="4" w:space="0"/>
              <w:bottom w:val="single" w:color="auto" w:sz="4" w:space="0"/>
              <w:right w:val="single" w:color="auto" w:sz="4" w:space="0"/>
            </w:tcBorders>
            <w:vAlign w:val="center"/>
          </w:tcPr>
          <w:p w14:paraId="297D228E">
            <w:pPr>
              <w:pStyle w:val="40"/>
              <w:rPr>
                <w:rFonts w:ascii="Times New Roman" w:hAnsi="Times New Roman" w:cs="Times New Roman"/>
                <w:color w:val="000000" w:themeColor="text1"/>
              </w:rPr>
            </w:pPr>
            <w:r>
              <w:rPr>
                <w:rFonts w:ascii="Times New Roman" w:hAnsi="Times New Roman" w:cs="Times New Roman"/>
                <w:color w:val="000000" w:themeColor="text1"/>
              </w:rPr>
              <w:t>阳东区</w:t>
            </w:r>
          </w:p>
        </w:tc>
        <w:tc>
          <w:tcPr>
            <w:tcW w:w="1139" w:type="pct"/>
            <w:tcBorders>
              <w:top w:val="single" w:color="auto" w:sz="4" w:space="0"/>
              <w:left w:val="single" w:color="auto" w:sz="4" w:space="0"/>
              <w:bottom w:val="single" w:color="auto" w:sz="4" w:space="0"/>
              <w:right w:val="single" w:color="auto" w:sz="4" w:space="0"/>
            </w:tcBorders>
            <w:vAlign w:val="center"/>
          </w:tcPr>
          <w:p w14:paraId="1375E174">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该工程主要建设内容是在城区广雅路（永安路至文化路)新建长度4780米雨水管，管径0.6米。</w:t>
            </w:r>
          </w:p>
        </w:tc>
        <w:tc>
          <w:tcPr>
            <w:tcW w:w="328" w:type="pct"/>
            <w:tcBorders>
              <w:top w:val="single" w:color="auto" w:sz="4" w:space="0"/>
              <w:left w:val="single" w:color="auto" w:sz="4" w:space="0"/>
              <w:bottom w:val="single" w:color="auto" w:sz="4" w:space="0"/>
              <w:right w:val="single" w:color="auto" w:sz="4" w:space="0"/>
            </w:tcBorders>
            <w:vAlign w:val="center"/>
          </w:tcPr>
          <w:p w14:paraId="0259058A">
            <w:pPr>
              <w:pStyle w:val="40"/>
              <w:jc w:val="center"/>
              <w:rPr>
                <w:rFonts w:ascii="Times New Roman" w:hAnsi="Times New Roman" w:cs="Times New Roman"/>
                <w:color w:val="000000" w:themeColor="text1"/>
              </w:rPr>
            </w:pPr>
            <w:r>
              <w:rPr>
                <w:rFonts w:ascii="Times New Roman" w:hAnsi="Times New Roman" w:cs="Times New Roman"/>
                <w:color w:val="000000" w:themeColor="text1"/>
              </w:rPr>
              <w:t>2025-2030</w:t>
            </w:r>
          </w:p>
        </w:tc>
        <w:tc>
          <w:tcPr>
            <w:tcW w:w="399" w:type="pct"/>
            <w:tcBorders>
              <w:top w:val="single" w:color="auto" w:sz="4" w:space="0"/>
              <w:left w:val="single" w:color="auto" w:sz="4" w:space="0"/>
              <w:bottom w:val="single" w:color="auto" w:sz="4" w:space="0"/>
              <w:right w:val="single" w:color="auto" w:sz="4" w:space="0"/>
            </w:tcBorders>
            <w:vAlign w:val="center"/>
          </w:tcPr>
          <w:p w14:paraId="3BFDB120">
            <w:pPr>
              <w:pStyle w:val="40"/>
              <w:jc w:val="center"/>
              <w:rPr>
                <w:rFonts w:ascii="Times New Roman" w:hAnsi="Times New Roman" w:cs="Times New Roman"/>
                <w:color w:val="000000" w:themeColor="text1"/>
              </w:rPr>
            </w:pPr>
            <w:r>
              <w:rPr>
                <w:rFonts w:ascii="Times New Roman" w:hAnsi="Times New Roman" w:cs="Times New Roman"/>
                <w:color w:val="000000" w:themeColor="text1"/>
              </w:rPr>
              <w:t>2000</w:t>
            </w:r>
          </w:p>
        </w:tc>
        <w:tc>
          <w:tcPr>
            <w:tcW w:w="453" w:type="pct"/>
            <w:tcBorders>
              <w:top w:val="single" w:color="auto" w:sz="4" w:space="0"/>
              <w:left w:val="single" w:color="auto" w:sz="4" w:space="0"/>
              <w:bottom w:val="single" w:color="auto" w:sz="4" w:space="0"/>
              <w:right w:val="single" w:color="auto" w:sz="4" w:space="0"/>
            </w:tcBorders>
            <w:vAlign w:val="center"/>
          </w:tcPr>
          <w:p w14:paraId="723067DC">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eastAsia="zh-CN"/>
              </w:rPr>
              <w:t>约4.78公里</w:t>
            </w:r>
          </w:p>
        </w:tc>
        <w:tc>
          <w:tcPr>
            <w:tcW w:w="690" w:type="pct"/>
            <w:tcBorders>
              <w:top w:val="single" w:color="auto" w:sz="4" w:space="0"/>
              <w:left w:val="single" w:color="auto" w:sz="4" w:space="0"/>
              <w:bottom w:val="single" w:color="auto" w:sz="4" w:space="0"/>
              <w:right w:val="single" w:color="auto" w:sz="4" w:space="0"/>
            </w:tcBorders>
            <w:vAlign w:val="center"/>
          </w:tcPr>
          <w:p w14:paraId="009EC97C">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阳东区</w:t>
            </w:r>
            <w:r>
              <w:rPr>
                <w:rFonts w:hint="eastAsia" w:ascii="Times New Roman" w:hAnsi="Times New Roman" w:cs="Times New Roman"/>
                <w:color w:val="000000" w:themeColor="text1"/>
                <w:lang w:eastAsia="zh-CN"/>
              </w:rPr>
              <w:t>水务局</w:t>
            </w:r>
          </w:p>
        </w:tc>
        <w:tc>
          <w:tcPr>
            <w:tcW w:w="285" w:type="pct"/>
            <w:tcBorders>
              <w:top w:val="single" w:color="auto" w:sz="4" w:space="0"/>
              <w:left w:val="single" w:color="auto" w:sz="4" w:space="0"/>
              <w:bottom w:val="single" w:color="auto" w:sz="4" w:space="0"/>
              <w:right w:val="single" w:color="auto" w:sz="4" w:space="0"/>
            </w:tcBorders>
            <w:vAlign w:val="center"/>
          </w:tcPr>
          <w:p w14:paraId="784B9DBC">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规划</w:t>
            </w:r>
          </w:p>
        </w:tc>
      </w:tr>
      <w:tr w14:paraId="6B1C1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1" w:hRule="atLeast"/>
        </w:trPr>
        <w:tc>
          <w:tcPr>
            <w:tcW w:w="217" w:type="pct"/>
            <w:tcBorders>
              <w:top w:val="single" w:color="auto" w:sz="4" w:space="0"/>
              <w:left w:val="single" w:color="auto" w:sz="4" w:space="0"/>
              <w:bottom w:val="single" w:color="auto" w:sz="4" w:space="0"/>
              <w:right w:val="single" w:color="auto" w:sz="4" w:space="0"/>
            </w:tcBorders>
            <w:vAlign w:val="center"/>
          </w:tcPr>
          <w:p w14:paraId="03A7440F">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rPr>
              <w:t>46</w:t>
            </w:r>
          </w:p>
        </w:tc>
        <w:tc>
          <w:tcPr>
            <w:tcW w:w="310" w:type="pct"/>
            <w:vMerge w:val="continue"/>
            <w:tcBorders>
              <w:left w:val="single" w:color="auto" w:sz="4" w:space="0"/>
              <w:right w:val="single" w:color="auto" w:sz="4" w:space="0"/>
            </w:tcBorders>
            <w:vAlign w:val="center"/>
          </w:tcPr>
          <w:p w14:paraId="7539F0AF">
            <w:pPr>
              <w:pStyle w:val="40"/>
              <w:jc w:val="center"/>
              <w:rPr>
                <w:rFonts w:ascii="Times New Roman" w:hAnsi="Times New Roman" w:cs="Times New Roman"/>
                <w:color w:val="000000" w:themeColor="text1"/>
              </w:rPr>
            </w:pPr>
          </w:p>
        </w:tc>
        <w:tc>
          <w:tcPr>
            <w:tcW w:w="281" w:type="pct"/>
            <w:vMerge w:val="continue"/>
            <w:tcBorders>
              <w:left w:val="single" w:color="auto" w:sz="4" w:space="0"/>
              <w:right w:val="single" w:color="auto" w:sz="4" w:space="0"/>
            </w:tcBorders>
            <w:vAlign w:val="center"/>
          </w:tcPr>
          <w:p w14:paraId="2AB6F9E4">
            <w:pPr>
              <w:pStyle w:val="40"/>
              <w:rPr>
                <w:rFonts w:ascii="Times New Roman" w:hAnsi="Times New Roman" w:cs="Times New Roman"/>
                <w:color w:val="000000" w:themeColor="text1"/>
                <w:lang w:eastAsia="zh-CN"/>
              </w:rPr>
            </w:pPr>
          </w:p>
        </w:tc>
        <w:tc>
          <w:tcPr>
            <w:tcW w:w="377" w:type="pct"/>
            <w:tcBorders>
              <w:top w:val="single" w:color="auto" w:sz="4" w:space="0"/>
              <w:left w:val="single" w:color="auto" w:sz="4" w:space="0"/>
              <w:bottom w:val="single" w:color="auto" w:sz="4" w:space="0"/>
              <w:right w:val="single" w:color="auto" w:sz="4" w:space="0"/>
            </w:tcBorders>
            <w:vAlign w:val="center"/>
          </w:tcPr>
          <w:p w14:paraId="36A2B234">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阳江市城市排涝综合整治化改造项目</w:t>
            </w:r>
          </w:p>
        </w:tc>
        <w:tc>
          <w:tcPr>
            <w:tcW w:w="521" w:type="pct"/>
            <w:tcBorders>
              <w:top w:val="single" w:color="auto" w:sz="4" w:space="0"/>
              <w:left w:val="single" w:color="auto" w:sz="4" w:space="0"/>
              <w:bottom w:val="single" w:color="auto" w:sz="4" w:space="0"/>
              <w:right w:val="single" w:color="auto" w:sz="4" w:space="0"/>
            </w:tcBorders>
            <w:vAlign w:val="center"/>
          </w:tcPr>
          <w:p w14:paraId="1BA8E60B">
            <w:pPr>
              <w:pStyle w:val="40"/>
              <w:rPr>
                <w:rFonts w:ascii="Times New Roman" w:hAnsi="Times New Roman" w:cs="Times New Roman"/>
                <w:color w:val="000000" w:themeColor="text1"/>
              </w:rPr>
            </w:pPr>
            <w:r>
              <w:rPr>
                <w:rFonts w:ascii="Times New Roman" w:hAnsi="Times New Roman" w:cs="Times New Roman"/>
                <w:color w:val="000000" w:themeColor="text1"/>
              </w:rPr>
              <w:t>阳江市中心城区</w:t>
            </w:r>
          </w:p>
        </w:tc>
        <w:tc>
          <w:tcPr>
            <w:tcW w:w="1139" w:type="pct"/>
            <w:tcBorders>
              <w:top w:val="single" w:color="auto" w:sz="4" w:space="0"/>
              <w:left w:val="single" w:color="auto" w:sz="4" w:space="0"/>
              <w:bottom w:val="single" w:color="auto" w:sz="4" w:space="0"/>
              <w:right w:val="single" w:color="auto" w:sz="4" w:space="0"/>
            </w:tcBorders>
            <w:vAlign w:val="center"/>
          </w:tcPr>
          <w:p w14:paraId="4E5E8982">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一是马南河小流域排涝治理工程，二是大垌河小流域排涝治理工程，三是新阳河小流域排涝治理工程，四是麻演河小流域排涝治理工程，五是环城河古城河风貌保护与利用工程。建设重点在清污分流基础上，提升排涝安全功能，强化水循环再造，生态河堤营造，滨水配套设施完善，暗渠适度明渠化，古河道风貌修复，并同步推进排涝及水生态智慧建设。</w:t>
            </w:r>
          </w:p>
        </w:tc>
        <w:tc>
          <w:tcPr>
            <w:tcW w:w="328" w:type="pct"/>
            <w:tcBorders>
              <w:top w:val="single" w:color="auto" w:sz="4" w:space="0"/>
              <w:left w:val="single" w:color="auto" w:sz="4" w:space="0"/>
              <w:bottom w:val="single" w:color="auto" w:sz="4" w:space="0"/>
              <w:right w:val="single" w:color="auto" w:sz="4" w:space="0"/>
            </w:tcBorders>
            <w:vAlign w:val="center"/>
          </w:tcPr>
          <w:p w14:paraId="0EB3AA35">
            <w:pPr>
              <w:pStyle w:val="40"/>
              <w:jc w:val="center"/>
              <w:rPr>
                <w:rFonts w:ascii="Times New Roman" w:hAnsi="Times New Roman" w:cs="Times New Roman"/>
                <w:color w:val="000000" w:themeColor="text1"/>
              </w:rPr>
            </w:pPr>
            <w:r>
              <w:rPr>
                <w:rFonts w:ascii="Times New Roman" w:hAnsi="Times New Roman" w:cs="Times New Roman"/>
                <w:color w:val="000000" w:themeColor="text1"/>
              </w:rPr>
              <w:t>2025-2030</w:t>
            </w:r>
          </w:p>
        </w:tc>
        <w:tc>
          <w:tcPr>
            <w:tcW w:w="399" w:type="pct"/>
            <w:tcBorders>
              <w:top w:val="single" w:color="auto" w:sz="4" w:space="0"/>
              <w:left w:val="single" w:color="auto" w:sz="4" w:space="0"/>
              <w:bottom w:val="single" w:color="auto" w:sz="4" w:space="0"/>
              <w:right w:val="single" w:color="auto" w:sz="4" w:space="0"/>
            </w:tcBorders>
            <w:vAlign w:val="center"/>
          </w:tcPr>
          <w:p w14:paraId="655F2800">
            <w:pPr>
              <w:pStyle w:val="40"/>
              <w:jc w:val="center"/>
              <w:rPr>
                <w:rFonts w:ascii="Times New Roman" w:hAnsi="Times New Roman" w:cs="Times New Roman"/>
                <w:color w:val="000000" w:themeColor="text1"/>
              </w:rPr>
            </w:pPr>
            <w:r>
              <w:rPr>
                <w:rFonts w:ascii="Times New Roman" w:hAnsi="Times New Roman" w:cs="Times New Roman"/>
                <w:color w:val="000000" w:themeColor="text1"/>
              </w:rPr>
              <w:t>38000</w:t>
            </w:r>
          </w:p>
        </w:tc>
        <w:tc>
          <w:tcPr>
            <w:tcW w:w="453" w:type="pct"/>
            <w:tcBorders>
              <w:top w:val="single" w:color="auto" w:sz="4" w:space="0"/>
              <w:left w:val="single" w:color="auto" w:sz="4" w:space="0"/>
              <w:bottom w:val="single" w:color="auto" w:sz="4" w:space="0"/>
              <w:right w:val="single" w:color="auto" w:sz="4" w:space="0"/>
            </w:tcBorders>
            <w:vAlign w:val="center"/>
          </w:tcPr>
          <w:p w14:paraId="2D8EBBAE">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综合治理城市排涝面积约70平方公里，修复城市河涌约26.5公里，古河道保护与利用2.4公里。</w:t>
            </w:r>
          </w:p>
        </w:tc>
        <w:tc>
          <w:tcPr>
            <w:tcW w:w="690" w:type="pct"/>
            <w:tcBorders>
              <w:top w:val="single" w:color="auto" w:sz="4" w:space="0"/>
              <w:left w:val="single" w:color="auto" w:sz="4" w:space="0"/>
              <w:bottom w:val="single" w:color="auto" w:sz="4" w:space="0"/>
              <w:right w:val="single" w:color="auto" w:sz="4" w:space="0"/>
            </w:tcBorders>
            <w:vAlign w:val="center"/>
          </w:tcPr>
          <w:p w14:paraId="2F1D1A4A">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阳江市城市管理和综合执法局</w:t>
            </w:r>
          </w:p>
        </w:tc>
        <w:tc>
          <w:tcPr>
            <w:tcW w:w="285" w:type="pct"/>
            <w:tcBorders>
              <w:top w:val="single" w:color="auto" w:sz="4" w:space="0"/>
              <w:left w:val="single" w:color="auto" w:sz="4" w:space="0"/>
              <w:bottom w:val="single" w:color="auto" w:sz="4" w:space="0"/>
              <w:right w:val="single" w:color="auto" w:sz="4" w:space="0"/>
            </w:tcBorders>
            <w:vAlign w:val="center"/>
          </w:tcPr>
          <w:p w14:paraId="5DC910D2">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规划</w:t>
            </w:r>
          </w:p>
        </w:tc>
      </w:tr>
      <w:tr w14:paraId="46760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1" w:hRule="atLeast"/>
        </w:trPr>
        <w:tc>
          <w:tcPr>
            <w:tcW w:w="217" w:type="pct"/>
            <w:tcBorders>
              <w:top w:val="single" w:color="auto" w:sz="4" w:space="0"/>
              <w:left w:val="single" w:color="auto" w:sz="4" w:space="0"/>
              <w:bottom w:val="single" w:color="auto" w:sz="4" w:space="0"/>
              <w:right w:val="single" w:color="auto" w:sz="4" w:space="0"/>
            </w:tcBorders>
            <w:vAlign w:val="center"/>
          </w:tcPr>
          <w:p w14:paraId="38492C98">
            <w:pPr>
              <w:pStyle w:val="40"/>
              <w:jc w:val="center"/>
              <w:rPr>
                <w:rFonts w:ascii="Times New Roman" w:hAnsi="Times New Roman" w:cs="Times New Roman"/>
                <w:color w:val="000000" w:themeColor="text1"/>
              </w:rPr>
            </w:pPr>
            <w:r>
              <w:rPr>
                <w:rFonts w:ascii="Times New Roman" w:hAnsi="Times New Roman" w:cs="Times New Roman"/>
                <w:color w:val="000000" w:themeColor="text1"/>
              </w:rPr>
              <w:t>4</w:t>
            </w:r>
            <w:r>
              <w:rPr>
                <w:rFonts w:ascii="Times New Roman" w:hAnsi="Times New Roman" w:cs="Times New Roman"/>
                <w:color w:val="000000" w:themeColor="text1"/>
                <w:lang w:val="en-US" w:eastAsia="zh-CN"/>
              </w:rPr>
              <w:t>7</w:t>
            </w:r>
          </w:p>
        </w:tc>
        <w:tc>
          <w:tcPr>
            <w:tcW w:w="310" w:type="pct"/>
            <w:vMerge w:val="restart"/>
            <w:tcBorders>
              <w:top w:val="single" w:color="auto" w:sz="4" w:space="0"/>
              <w:left w:val="single" w:color="auto" w:sz="4" w:space="0"/>
              <w:right w:val="single" w:color="auto" w:sz="4" w:space="0"/>
            </w:tcBorders>
            <w:vAlign w:val="center"/>
          </w:tcPr>
          <w:p w14:paraId="46A3B362">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自然保护地建设及生物多样性保护重点工程</w:t>
            </w:r>
          </w:p>
        </w:tc>
        <w:tc>
          <w:tcPr>
            <w:tcW w:w="281" w:type="pct"/>
            <w:tcBorders>
              <w:top w:val="single" w:color="auto" w:sz="4" w:space="0"/>
              <w:left w:val="single" w:color="auto" w:sz="4" w:space="0"/>
              <w:bottom w:val="single" w:color="auto" w:sz="4" w:space="0"/>
              <w:right w:val="single" w:color="auto" w:sz="4" w:space="0"/>
            </w:tcBorders>
            <w:vAlign w:val="center"/>
          </w:tcPr>
          <w:p w14:paraId="57E25146">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自然保护地管理建设</w:t>
            </w:r>
          </w:p>
        </w:tc>
        <w:tc>
          <w:tcPr>
            <w:tcW w:w="377" w:type="pct"/>
            <w:tcBorders>
              <w:top w:val="single" w:color="auto" w:sz="4" w:space="0"/>
              <w:left w:val="single" w:color="auto" w:sz="4" w:space="0"/>
              <w:bottom w:val="single" w:color="auto" w:sz="4" w:space="0"/>
              <w:right w:val="single" w:color="auto" w:sz="4" w:space="0"/>
            </w:tcBorders>
            <w:vAlign w:val="center"/>
          </w:tcPr>
          <w:p w14:paraId="2BA0BD67">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自然保护地整合优化</w:t>
            </w:r>
          </w:p>
        </w:tc>
        <w:tc>
          <w:tcPr>
            <w:tcW w:w="521" w:type="pct"/>
            <w:tcBorders>
              <w:top w:val="single" w:color="auto" w:sz="4" w:space="0"/>
              <w:left w:val="single" w:color="auto" w:sz="4" w:space="0"/>
              <w:bottom w:val="single" w:color="auto" w:sz="4" w:space="0"/>
              <w:right w:val="single" w:color="auto" w:sz="4" w:space="0"/>
            </w:tcBorders>
            <w:vAlign w:val="center"/>
          </w:tcPr>
          <w:p w14:paraId="7BDC48C2">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阳江市全域</w:t>
            </w:r>
          </w:p>
        </w:tc>
        <w:tc>
          <w:tcPr>
            <w:tcW w:w="1139" w:type="pct"/>
            <w:tcBorders>
              <w:top w:val="single" w:color="auto" w:sz="4" w:space="0"/>
              <w:left w:val="single" w:color="auto" w:sz="4" w:space="0"/>
              <w:bottom w:val="single" w:color="auto" w:sz="4" w:space="0"/>
              <w:right w:val="single" w:color="auto" w:sz="4" w:space="0"/>
            </w:tcBorders>
            <w:vAlign w:val="center"/>
          </w:tcPr>
          <w:p w14:paraId="1F3436B5">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开展自然保护地整合优化工作，解决自然保护地相互交叉重叠、多头管理、边界不清、权责不明、保护与发展矛盾突出等问题。</w:t>
            </w:r>
          </w:p>
        </w:tc>
        <w:tc>
          <w:tcPr>
            <w:tcW w:w="328" w:type="pct"/>
            <w:tcBorders>
              <w:top w:val="single" w:color="auto" w:sz="4" w:space="0"/>
              <w:left w:val="single" w:color="auto" w:sz="4" w:space="0"/>
              <w:bottom w:val="single" w:color="auto" w:sz="4" w:space="0"/>
              <w:right w:val="single" w:color="auto" w:sz="4" w:space="0"/>
            </w:tcBorders>
            <w:vAlign w:val="center"/>
          </w:tcPr>
          <w:p w14:paraId="766F1331">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2021-2025</w:t>
            </w:r>
          </w:p>
        </w:tc>
        <w:tc>
          <w:tcPr>
            <w:tcW w:w="399" w:type="pct"/>
            <w:tcBorders>
              <w:top w:val="single" w:color="auto" w:sz="4" w:space="0"/>
              <w:left w:val="single" w:color="auto" w:sz="4" w:space="0"/>
              <w:bottom w:val="single" w:color="auto" w:sz="4" w:space="0"/>
              <w:right w:val="single" w:color="auto" w:sz="4" w:space="0"/>
            </w:tcBorders>
            <w:vAlign w:val="center"/>
          </w:tcPr>
          <w:p w14:paraId="2391E80B">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120</w:t>
            </w:r>
          </w:p>
        </w:tc>
        <w:tc>
          <w:tcPr>
            <w:tcW w:w="453" w:type="pct"/>
            <w:tcBorders>
              <w:top w:val="single" w:color="auto" w:sz="4" w:space="0"/>
              <w:left w:val="single" w:color="auto" w:sz="4" w:space="0"/>
              <w:bottom w:val="single" w:color="auto" w:sz="4" w:space="0"/>
              <w:right w:val="single" w:color="auto" w:sz="4" w:space="0"/>
            </w:tcBorders>
            <w:vAlign w:val="center"/>
          </w:tcPr>
          <w:p w14:paraId="3DE9B81C">
            <w:pPr>
              <w:pStyle w:val="40"/>
              <w:jc w:val="center"/>
              <w:rPr>
                <w:rFonts w:ascii="Times New Roman" w:hAnsi="Times New Roman" w:cs="Times New Roman"/>
                <w:color w:val="000000" w:themeColor="text1"/>
                <w:lang w:eastAsia="zh-CN"/>
              </w:rPr>
            </w:pPr>
          </w:p>
        </w:tc>
        <w:tc>
          <w:tcPr>
            <w:tcW w:w="690" w:type="pct"/>
            <w:tcBorders>
              <w:top w:val="single" w:color="auto" w:sz="4" w:space="0"/>
              <w:left w:val="single" w:color="auto" w:sz="4" w:space="0"/>
              <w:bottom w:val="single" w:color="auto" w:sz="4" w:space="0"/>
              <w:right w:val="single" w:color="auto" w:sz="4" w:space="0"/>
            </w:tcBorders>
            <w:vAlign w:val="center"/>
          </w:tcPr>
          <w:p w14:paraId="6A47176C">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阳江市林业局</w:t>
            </w:r>
          </w:p>
        </w:tc>
        <w:tc>
          <w:tcPr>
            <w:tcW w:w="285" w:type="pct"/>
            <w:tcBorders>
              <w:top w:val="single" w:color="auto" w:sz="4" w:space="0"/>
              <w:left w:val="single" w:color="auto" w:sz="4" w:space="0"/>
              <w:bottom w:val="single" w:color="auto" w:sz="4" w:space="0"/>
              <w:right w:val="single" w:color="auto" w:sz="4" w:space="0"/>
            </w:tcBorders>
            <w:vAlign w:val="center"/>
          </w:tcPr>
          <w:p w14:paraId="4E2C12EF">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在建</w:t>
            </w:r>
          </w:p>
        </w:tc>
      </w:tr>
      <w:tr w14:paraId="52D3E6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1" w:hRule="atLeast"/>
        </w:trPr>
        <w:tc>
          <w:tcPr>
            <w:tcW w:w="217" w:type="pct"/>
            <w:tcBorders>
              <w:top w:val="single" w:color="auto" w:sz="4" w:space="0"/>
              <w:left w:val="single" w:color="auto" w:sz="4" w:space="0"/>
              <w:bottom w:val="single" w:color="auto" w:sz="4" w:space="0"/>
              <w:right w:val="single" w:color="auto" w:sz="4" w:space="0"/>
            </w:tcBorders>
            <w:vAlign w:val="center"/>
          </w:tcPr>
          <w:p w14:paraId="4F522836">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rPr>
              <w:t>48</w:t>
            </w:r>
          </w:p>
        </w:tc>
        <w:tc>
          <w:tcPr>
            <w:tcW w:w="310" w:type="pct"/>
            <w:vMerge w:val="continue"/>
            <w:tcBorders>
              <w:left w:val="single" w:color="auto" w:sz="4" w:space="0"/>
              <w:bottom w:val="single" w:color="auto" w:sz="4" w:space="0"/>
              <w:right w:val="single" w:color="auto" w:sz="4" w:space="0"/>
            </w:tcBorders>
            <w:vAlign w:val="center"/>
          </w:tcPr>
          <w:p w14:paraId="6D10B9E9">
            <w:pPr>
              <w:pStyle w:val="40"/>
              <w:jc w:val="center"/>
              <w:rPr>
                <w:rFonts w:ascii="Times New Roman" w:hAnsi="Times New Roman" w:cs="Times New Roman"/>
                <w:color w:val="000000" w:themeColor="text1"/>
              </w:rPr>
            </w:pPr>
          </w:p>
        </w:tc>
        <w:tc>
          <w:tcPr>
            <w:tcW w:w="281" w:type="pct"/>
            <w:tcBorders>
              <w:top w:val="single" w:color="auto" w:sz="4" w:space="0"/>
              <w:left w:val="single" w:color="auto" w:sz="4" w:space="0"/>
              <w:bottom w:val="single" w:color="auto" w:sz="4" w:space="0"/>
              <w:right w:val="single" w:color="auto" w:sz="4" w:space="0"/>
            </w:tcBorders>
            <w:vAlign w:val="center"/>
          </w:tcPr>
          <w:p w14:paraId="50FECD9F">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生物多样性保护工程</w:t>
            </w:r>
          </w:p>
        </w:tc>
        <w:tc>
          <w:tcPr>
            <w:tcW w:w="377" w:type="pct"/>
            <w:tcBorders>
              <w:top w:val="single" w:color="auto" w:sz="4" w:space="0"/>
              <w:left w:val="single" w:color="auto" w:sz="4" w:space="0"/>
              <w:bottom w:val="single" w:color="auto" w:sz="4" w:space="0"/>
              <w:right w:val="single" w:color="auto" w:sz="4" w:space="0"/>
            </w:tcBorders>
            <w:vAlign w:val="center"/>
          </w:tcPr>
          <w:p w14:paraId="3500927B">
            <w:pPr>
              <w:pStyle w:val="40"/>
              <w:rPr>
                <w:rFonts w:ascii="Times New Roman" w:hAnsi="Times New Roman" w:cs="Times New Roman"/>
                <w:color w:val="000000" w:themeColor="text1"/>
              </w:rPr>
            </w:pPr>
            <w:r>
              <w:rPr>
                <w:rFonts w:ascii="Times New Roman" w:hAnsi="Times New Roman" w:cs="Times New Roman"/>
                <w:color w:val="000000" w:themeColor="text1"/>
              </w:rPr>
              <w:t>互花米草清理项目</w:t>
            </w:r>
          </w:p>
        </w:tc>
        <w:tc>
          <w:tcPr>
            <w:tcW w:w="521" w:type="pct"/>
            <w:tcBorders>
              <w:top w:val="single" w:color="auto" w:sz="4" w:space="0"/>
              <w:left w:val="single" w:color="auto" w:sz="4" w:space="0"/>
              <w:bottom w:val="single" w:color="auto" w:sz="4" w:space="0"/>
              <w:right w:val="single" w:color="auto" w:sz="4" w:space="0"/>
            </w:tcBorders>
            <w:vAlign w:val="center"/>
          </w:tcPr>
          <w:p w14:paraId="673965D1">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阳西县、海陵区、阳东区</w:t>
            </w:r>
          </w:p>
        </w:tc>
        <w:tc>
          <w:tcPr>
            <w:tcW w:w="1139" w:type="pct"/>
            <w:tcBorders>
              <w:top w:val="single" w:color="auto" w:sz="4" w:space="0"/>
              <w:left w:val="single" w:color="auto" w:sz="4" w:space="0"/>
              <w:bottom w:val="single" w:color="auto" w:sz="4" w:space="0"/>
              <w:right w:val="single" w:color="auto" w:sz="4" w:space="0"/>
            </w:tcBorders>
            <w:vAlign w:val="center"/>
          </w:tcPr>
          <w:p w14:paraId="2C97F291">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通过在集中发生区机械刈割+覆膜面积及在零星分布区人工挖（拔）除等防治措施。</w:t>
            </w:r>
          </w:p>
        </w:tc>
        <w:tc>
          <w:tcPr>
            <w:tcW w:w="328" w:type="pct"/>
            <w:tcBorders>
              <w:top w:val="single" w:color="auto" w:sz="4" w:space="0"/>
              <w:left w:val="single" w:color="auto" w:sz="4" w:space="0"/>
              <w:bottom w:val="single" w:color="auto" w:sz="4" w:space="0"/>
              <w:right w:val="single" w:color="auto" w:sz="4" w:space="0"/>
            </w:tcBorders>
            <w:vAlign w:val="center"/>
          </w:tcPr>
          <w:p w14:paraId="327BE8FD">
            <w:pPr>
              <w:pStyle w:val="40"/>
              <w:jc w:val="center"/>
              <w:rPr>
                <w:rFonts w:ascii="Times New Roman" w:hAnsi="Times New Roman" w:cs="Times New Roman"/>
                <w:color w:val="000000" w:themeColor="text1"/>
              </w:rPr>
            </w:pPr>
            <w:r>
              <w:rPr>
                <w:rFonts w:ascii="Times New Roman" w:hAnsi="Times New Roman" w:cs="Times New Roman"/>
                <w:color w:val="000000" w:themeColor="text1"/>
              </w:rPr>
              <w:t>2024-2026</w:t>
            </w:r>
          </w:p>
        </w:tc>
        <w:tc>
          <w:tcPr>
            <w:tcW w:w="399" w:type="pct"/>
            <w:tcBorders>
              <w:top w:val="single" w:color="auto" w:sz="4" w:space="0"/>
              <w:left w:val="single" w:color="auto" w:sz="4" w:space="0"/>
              <w:bottom w:val="single" w:color="auto" w:sz="4" w:space="0"/>
              <w:right w:val="single" w:color="auto" w:sz="4" w:space="0"/>
            </w:tcBorders>
            <w:vAlign w:val="center"/>
          </w:tcPr>
          <w:p w14:paraId="590E5F0C">
            <w:pPr>
              <w:pStyle w:val="40"/>
              <w:jc w:val="center"/>
              <w:rPr>
                <w:rFonts w:ascii="Times New Roman" w:hAnsi="Times New Roman" w:cs="Times New Roman"/>
                <w:color w:val="000000" w:themeColor="text1"/>
              </w:rPr>
            </w:pPr>
            <w:r>
              <w:rPr>
                <w:rFonts w:ascii="Times New Roman" w:hAnsi="Times New Roman" w:cs="Times New Roman"/>
                <w:color w:val="000000" w:themeColor="text1"/>
              </w:rPr>
              <w:t>473</w:t>
            </w:r>
          </w:p>
        </w:tc>
        <w:tc>
          <w:tcPr>
            <w:tcW w:w="453" w:type="pct"/>
            <w:tcBorders>
              <w:top w:val="single" w:color="auto" w:sz="4" w:space="0"/>
              <w:left w:val="single" w:color="auto" w:sz="4" w:space="0"/>
              <w:bottom w:val="single" w:color="auto" w:sz="4" w:space="0"/>
              <w:right w:val="single" w:color="auto" w:sz="4" w:space="0"/>
            </w:tcBorders>
            <w:vAlign w:val="center"/>
          </w:tcPr>
          <w:p w14:paraId="568F4F7D">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eastAsia="zh-CN"/>
              </w:rPr>
              <w:t>约35.02公顷</w:t>
            </w:r>
          </w:p>
        </w:tc>
        <w:tc>
          <w:tcPr>
            <w:tcW w:w="690" w:type="pct"/>
            <w:tcBorders>
              <w:top w:val="single" w:color="auto" w:sz="4" w:space="0"/>
              <w:left w:val="single" w:color="auto" w:sz="4" w:space="0"/>
              <w:bottom w:val="single" w:color="auto" w:sz="4" w:space="0"/>
              <w:right w:val="single" w:color="auto" w:sz="4" w:space="0"/>
            </w:tcBorders>
            <w:vAlign w:val="center"/>
          </w:tcPr>
          <w:p w14:paraId="7D2F3196">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阳西县人民政府、阳东区人民政府、海陵试验区管委会</w:t>
            </w:r>
          </w:p>
        </w:tc>
        <w:tc>
          <w:tcPr>
            <w:tcW w:w="285" w:type="pct"/>
            <w:tcBorders>
              <w:top w:val="single" w:color="auto" w:sz="4" w:space="0"/>
              <w:left w:val="single" w:color="auto" w:sz="4" w:space="0"/>
              <w:bottom w:val="single" w:color="auto" w:sz="4" w:space="0"/>
              <w:right w:val="single" w:color="auto" w:sz="4" w:space="0"/>
            </w:tcBorders>
            <w:vAlign w:val="center"/>
          </w:tcPr>
          <w:p w14:paraId="5674F243">
            <w:pPr>
              <w:pStyle w:val="40"/>
              <w:jc w:val="center"/>
              <w:rPr>
                <w:rFonts w:ascii="Times New Roman" w:hAnsi="Times New Roman" w:cs="Times New Roman"/>
                <w:color w:val="000000" w:themeColor="text1"/>
              </w:rPr>
            </w:pPr>
            <w:r>
              <w:rPr>
                <w:rFonts w:ascii="Times New Roman" w:hAnsi="Times New Roman" w:cs="Times New Roman"/>
                <w:color w:val="000000" w:themeColor="text1"/>
                <w:lang w:eastAsia="zh-CN"/>
              </w:rPr>
              <w:t>在建</w:t>
            </w:r>
          </w:p>
        </w:tc>
      </w:tr>
      <w:tr w14:paraId="6FECB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1" w:hRule="atLeast"/>
        </w:trPr>
        <w:tc>
          <w:tcPr>
            <w:tcW w:w="217" w:type="pct"/>
            <w:tcBorders>
              <w:top w:val="single" w:color="auto" w:sz="4" w:space="0"/>
              <w:left w:val="single" w:color="auto" w:sz="4" w:space="0"/>
              <w:bottom w:val="single" w:color="auto" w:sz="4" w:space="0"/>
              <w:right w:val="single" w:color="auto" w:sz="4" w:space="0"/>
            </w:tcBorders>
            <w:vAlign w:val="center"/>
          </w:tcPr>
          <w:p w14:paraId="48E4E8E6">
            <w:pPr>
              <w:pStyle w:val="40"/>
              <w:jc w:val="center"/>
              <w:rPr>
                <w:rFonts w:ascii="Times New Roman" w:hAnsi="Times New Roman" w:cs="Times New Roman"/>
                <w:color w:val="000000" w:themeColor="text1"/>
              </w:rPr>
            </w:pPr>
            <w:r>
              <w:rPr>
                <w:rFonts w:ascii="Times New Roman" w:hAnsi="Times New Roman" w:cs="Times New Roman"/>
                <w:color w:val="000000" w:themeColor="text1"/>
              </w:rPr>
              <w:t>49</w:t>
            </w:r>
          </w:p>
        </w:tc>
        <w:tc>
          <w:tcPr>
            <w:tcW w:w="310" w:type="pct"/>
            <w:vMerge w:val="restart"/>
            <w:tcBorders>
              <w:left w:val="single" w:color="auto" w:sz="4" w:space="0"/>
              <w:right w:val="single" w:color="auto" w:sz="4" w:space="0"/>
            </w:tcBorders>
            <w:vAlign w:val="center"/>
          </w:tcPr>
          <w:p w14:paraId="05920A37">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生态保护和修复支撑体系重点工程</w:t>
            </w:r>
          </w:p>
        </w:tc>
        <w:tc>
          <w:tcPr>
            <w:tcW w:w="281" w:type="pct"/>
            <w:vMerge w:val="restart"/>
            <w:tcBorders>
              <w:top w:val="single" w:color="auto" w:sz="4" w:space="0"/>
              <w:left w:val="single" w:color="auto" w:sz="4" w:space="0"/>
              <w:right w:val="single" w:color="auto" w:sz="4" w:space="0"/>
            </w:tcBorders>
            <w:vAlign w:val="center"/>
          </w:tcPr>
          <w:p w14:paraId="6DF9A14B">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资源调查和生态监测工程</w:t>
            </w:r>
          </w:p>
        </w:tc>
        <w:tc>
          <w:tcPr>
            <w:tcW w:w="377" w:type="pct"/>
            <w:tcBorders>
              <w:top w:val="single" w:color="auto" w:sz="4" w:space="0"/>
              <w:left w:val="single" w:color="auto" w:sz="4" w:space="0"/>
              <w:bottom w:val="single" w:color="auto" w:sz="4" w:space="0"/>
              <w:right w:val="single" w:color="auto" w:sz="4" w:space="0"/>
            </w:tcBorders>
            <w:vAlign w:val="center"/>
          </w:tcPr>
          <w:p w14:paraId="1DF301AC">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自然资源专项监测</w:t>
            </w:r>
          </w:p>
        </w:tc>
        <w:tc>
          <w:tcPr>
            <w:tcW w:w="521" w:type="pct"/>
            <w:tcBorders>
              <w:top w:val="single" w:color="auto" w:sz="4" w:space="0"/>
              <w:left w:val="single" w:color="auto" w:sz="4" w:space="0"/>
              <w:bottom w:val="single" w:color="auto" w:sz="4" w:space="0"/>
              <w:right w:val="single" w:color="auto" w:sz="4" w:space="0"/>
            </w:tcBorders>
            <w:vAlign w:val="center"/>
          </w:tcPr>
          <w:p w14:paraId="2BA0135D">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阳江市全域</w:t>
            </w:r>
          </w:p>
        </w:tc>
        <w:tc>
          <w:tcPr>
            <w:tcW w:w="1139" w:type="pct"/>
            <w:tcBorders>
              <w:top w:val="single" w:color="auto" w:sz="4" w:space="0"/>
              <w:left w:val="single" w:color="auto" w:sz="4" w:space="0"/>
              <w:bottom w:val="single" w:color="auto" w:sz="4" w:space="0"/>
              <w:right w:val="single" w:color="auto" w:sz="4" w:space="0"/>
            </w:tcBorders>
            <w:vAlign w:val="center"/>
          </w:tcPr>
          <w:p w14:paraId="0105651B">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开展全市湿地综合调查。</w:t>
            </w:r>
          </w:p>
        </w:tc>
        <w:tc>
          <w:tcPr>
            <w:tcW w:w="328" w:type="pct"/>
            <w:tcBorders>
              <w:top w:val="single" w:color="auto" w:sz="4" w:space="0"/>
              <w:left w:val="single" w:color="auto" w:sz="4" w:space="0"/>
              <w:bottom w:val="single" w:color="auto" w:sz="4" w:space="0"/>
              <w:right w:val="single" w:color="auto" w:sz="4" w:space="0"/>
            </w:tcBorders>
            <w:vAlign w:val="center"/>
          </w:tcPr>
          <w:p w14:paraId="6F5D020C">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2021-2025</w:t>
            </w:r>
          </w:p>
        </w:tc>
        <w:tc>
          <w:tcPr>
            <w:tcW w:w="399" w:type="pct"/>
            <w:tcBorders>
              <w:top w:val="single" w:color="auto" w:sz="4" w:space="0"/>
              <w:left w:val="single" w:color="auto" w:sz="4" w:space="0"/>
              <w:bottom w:val="single" w:color="auto" w:sz="4" w:space="0"/>
              <w:right w:val="single" w:color="auto" w:sz="4" w:space="0"/>
            </w:tcBorders>
            <w:vAlign w:val="center"/>
          </w:tcPr>
          <w:p w14:paraId="284843A7">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40</w:t>
            </w:r>
          </w:p>
        </w:tc>
        <w:tc>
          <w:tcPr>
            <w:tcW w:w="453" w:type="pct"/>
            <w:tcBorders>
              <w:top w:val="single" w:color="auto" w:sz="4" w:space="0"/>
              <w:left w:val="single" w:color="auto" w:sz="4" w:space="0"/>
              <w:bottom w:val="single" w:color="auto" w:sz="4" w:space="0"/>
              <w:right w:val="single" w:color="auto" w:sz="4" w:space="0"/>
            </w:tcBorders>
            <w:vAlign w:val="center"/>
          </w:tcPr>
          <w:p w14:paraId="5ECB7330">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eastAsia="zh-CN"/>
              </w:rPr>
              <w:t>/</w:t>
            </w:r>
          </w:p>
        </w:tc>
        <w:tc>
          <w:tcPr>
            <w:tcW w:w="690" w:type="pct"/>
            <w:tcBorders>
              <w:top w:val="single" w:color="auto" w:sz="4" w:space="0"/>
              <w:left w:val="single" w:color="auto" w:sz="4" w:space="0"/>
              <w:bottom w:val="single" w:color="auto" w:sz="4" w:space="0"/>
              <w:right w:val="single" w:color="auto" w:sz="4" w:space="0"/>
            </w:tcBorders>
            <w:vAlign w:val="center"/>
          </w:tcPr>
          <w:p w14:paraId="1CEDF059">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阳江市林业局</w:t>
            </w:r>
          </w:p>
        </w:tc>
        <w:tc>
          <w:tcPr>
            <w:tcW w:w="285" w:type="pct"/>
            <w:tcBorders>
              <w:top w:val="single" w:color="auto" w:sz="4" w:space="0"/>
              <w:left w:val="single" w:color="auto" w:sz="4" w:space="0"/>
              <w:bottom w:val="single" w:color="auto" w:sz="4" w:space="0"/>
              <w:right w:val="single" w:color="auto" w:sz="4" w:space="0"/>
            </w:tcBorders>
            <w:vAlign w:val="center"/>
          </w:tcPr>
          <w:p w14:paraId="1F8D21C0">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在建</w:t>
            </w:r>
          </w:p>
        </w:tc>
      </w:tr>
      <w:tr w14:paraId="1181AA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1" w:hRule="atLeast"/>
        </w:trPr>
        <w:tc>
          <w:tcPr>
            <w:tcW w:w="217" w:type="pct"/>
            <w:tcBorders>
              <w:top w:val="single" w:color="auto" w:sz="4" w:space="0"/>
              <w:left w:val="single" w:color="auto" w:sz="4" w:space="0"/>
              <w:bottom w:val="single" w:color="auto" w:sz="4" w:space="0"/>
              <w:right w:val="single" w:color="auto" w:sz="4" w:space="0"/>
            </w:tcBorders>
            <w:vAlign w:val="center"/>
          </w:tcPr>
          <w:p w14:paraId="54C5A745">
            <w:pPr>
              <w:pStyle w:val="40"/>
              <w:jc w:val="center"/>
              <w:rPr>
                <w:rFonts w:ascii="Times New Roman" w:hAnsi="Times New Roman" w:cs="Times New Roman"/>
                <w:color w:val="000000" w:themeColor="text1"/>
              </w:rPr>
            </w:pPr>
            <w:r>
              <w:rPr>
                <w:rFonts w:hint="eastAsia" w:ascii="Times New Roman" w:hAnsi="Times New Roman" w:cs="Times New Roman"/>
                <w:color w:val="000000" w:themeColor="text1"/>
              </w:rPr>
              <w:t>50</w:t>
            </w:r>
          </w:p>
        </w:tc>
        <w:tc>
          <w:tcPr>
            <w:tcW w:w="310" w:type="pct"/>
            <w:vMerge w:val="continue"/>
            <w:tcBorders>
              <w:left w:val="single" w:color="auto" w:sz="4" w:space="0"/>
              <w:bottom w:val="single" w:color="auto" w:sz="4" w:space="0"/>
              <w:right w:val="single" w:color="auto" w:sz="4" w:space="0"/>
            </w:tcBorders>
            <w:vAlign w:val="center"/>
          </w:tcPr>
          <w:p w14:paraId="2F22F371">
            <w:pPr>
              <w:pStyle w:val="40"/>
              <w:jc w:val="center"/>
              <w:rPr>
                <w:rFonts w:ascii="Times New Roman" w:hAnsi="Times New Roman" w:cs="Times New Roman"/>
                <w:color w:val="000000" w:themeColor="text1"/>
                <w:lang w:eastAsia="zh-CN"/>
              </w:rPr>
            </w:pPr>
          </w:p>
        </w:tc>
        <w:tc>
          <w:tcPr>
            <w:tcW w:w="281" w:type="pct"/>
            <w:vMerge w:val="continue"/>
            <w:tcBorders>
              <w:left w:val="single" w:color="auto" w:sz="4" w:space="0"/>
              <w:bottom w:val="single" w:color="auto" w:sz="4" w:space="0"/>
              <w:right w:val="single" w:color="auto" w:sz="4" w:space="0"/>
            </w:tcBorders>
            <w:vAlign w:val="center"/>
          </w:tcPr>
          <w:p w14:paraId="1C3AB4D8">
            <w:pPr>
              <w:pStyle w:val="40"/>
              <w:rPr>
                <w:rFonts w:ascii="Times New Roman" w:hAnsi="Times New Roman" w:cs="Times New Roman"/>
                <w:color w:val="000000" w:themeColor="text1"/>
                <w:lang w:eastAsia="zh-CN"/>
              </w:rPr>
            </w:pPr>
          </w:p>
        </w:tc>
        <w:tc>
          <w:tcPr>
            <w:tcW w:w="377" w:type="pct"/>
            <w:tcBorders>
              <w:top w:val="single" w:color="auto" w:sz="4" w:space="0"/>
              <w:left w:val="single" w:color="auto" w:sz="4" w:space="0"/>
              <w:bottom w:val="single" w:color="auto" w:sz="4" w:space="0"/>
              <w:right w:val="single" w:color="auto" w:sz="4" w:space="0"/>
            </w:tcBorders>
            <w:vAlign w:val="center"/>
          </w:tcPr>
          <w:p w14:paraId="7A663D9C">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生物多样性监测体系建设项目</w:t>
            </w:r>
          </w:p>
        </w:tc>
        <w:tc>
          <w:tcPr>
            <w:tcW w:w="521" w:type="pct"/>
            <w:tcBorders>
              <w:top w:val="single" w:color="auto" w:sz="4" w:space="0"/>
              <w:left w:val="single" w:color="auto" w:sz="4" w:space="0"/>
              <w:bottom w:val="single" w:color="auto" w:sz="4" w:space="0"/>
              <w:right w:val="single" w:color="auto" w:sz="4" w:space="0"/>
            </w:tcBorders>
            <w:vAlign w:val="center"/>
          </w:tcPr>
          <w:p w14:paraId="43760D1C">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阳江市全域</w:t>
            </w:r>
          </w:p>
        </w:tc>
        <w:tc>
          <w:tcPr>
            <w:tcW w:w="1139" w:type="pct"/>
            <w:tcBorders>
              <w:top w:val="single" w:color="auto" w:sz="4" w:space="0"/>
              <w:left w:val="single" w:color="auto" w:sz="4" w:space="0"/>
              <w:bottom w:val="single" w:color="auto" w:sz="4" w:space="0"/>
              <w:right w:val="single" w:color="auto" w:sz="4" w:space="0"/>
            </w:tcBorders>
            <w:vAlign w:val="center"/>
          </w:tcPr>
          <w:p w14:paraId="3111769F">
            <w:pPr>
              <w:pStyle w:val="4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阳江市野生动植物本底调查</w:t>
            </w:r>
          </w:p>
        </w:tc>
        <w:tc>
          <w:tcPr>
            <w:tcW w:w="328" w:type="pct"/>
            <w:tcBorders>
              <w:top w:val="single" w:color="auto" w:sz="4" w:space="0"/>
              <w:left w:val="single" w:color="auto" w:sz="4" w:space="0"/>
              <w:bottom w:val="single" w:color="auto" w:sz="4" w:space="0"/>
              <w:right w:val="single" w:color="auto" w:sz="4" w:space="0"/>
            </w:tcBorders>
            <w:vAlign w:val="center"/>
          </w:tcPr>
          <w:p w14:paraId="7738DEB4">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2021-2025</w:t>
            </w:r>
          </w:p>
        </w:tc>
        <w:tc>
          <w:tcPr>
            <w:tcW w:w="399" w:type="pct"/>
            <w:tcBorders>
              <w:top w:val="single" w:color="auto" w:sz="4" w:space="0"/>
              <w:left w:val="single" w:color="auto" w:sz="4" w:space="0"/>
              <w:bottom w:val="single" w:color="auto" w:sz="4" w:space="0"/>
              <w:right w:val="single" w:color="auto" w:sz="4" w:space="0"/>
            </w:tcBorders>
            <w:vAlign w:val="center"/>
          </w:tcPr>
          <w:p w14:paraId="64F8499C">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50</w:t>
            </w:r>
          </w:p>
        </w:tc>
        <w:tc>
          <w:tcPr>
            <w:tcW w:w="453" w:type="pct"/>
            <w:tcBorders>
              <w:top w:val="single" w:color="auto" w:sz="4" w:space="0"/>
              <w:left w:val="single" w:color="auto" w:sz="4" w:space="0"/>
              <w:bottom w:val="single" w:color="auto" w:sz="4" w:space="0"/>
              <w:right w:val="single" w:color="auto" w:sz="4" w:space="0"/>
            </w:tcBorders>
            <w:vAlign w:val="center"/>
          </w:tcPr>
          <w:p w14:paraId="4CB5AA09">
            <w:pPr>
              <w:pStyle w:val="40"/>
              <w:jc w:val="center"/>
              <w:rPr>
                <w:rFonts w:ascii="Times New Roman" w:hAnsi="Times New Roman" w:cs="Times New Roman"/>
                <w:color w:val="000000" w:themeColor="text1"/>
                <w:lang w:eastAsia="zh-CN"/>
              </w:rPr>
            </w:pPr>
            <w:r>
              <w:rPr>
                <w:rFonts w:hint="eastAsia" w:ascii="Times New Roman" w:hAnsi="Times New Roman" w:cs="Times New Roman"/>
                <w:color w:val="000000" w:themeColor="text1"/>
                <w:lang w:eastAsia="zh-CN"/>
              </w:rPr>
              <w:t>/</w:t>
            </w:r>
          </w:p>
        </w:tc>
        <w:tc>
          <w:tcPr>
            <w:tcW w:w="690" w:type="pct"/>
            <w:tcBorders>
              <w:top w:val="single" w:color="auto" w:sz="4" w:space="0"/>
              <w:left w:val="single" w:color="auto" w:sz="4" w:space="0"/>
              <w:bottom w:val="single" w:color="auto" w:sz="4" w:space="0"/>
              <w:right w:val="single" w:color="auto" w:sz="4" w:space="0"/>
            </w:tcBorders>
            <w:vAlign w:val="center"/>
          </w:tcPr>
          <w:p w14:paraId="1CFF2CA4">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阳江市林业局</w:t>
            </w:r>
          </w:p>
        </w:tc>
        <w:tc>
          <w:tcPr>
            <w:tcW w:w="285" w:type="pct"/>
            <w:tcBorders>
              <w:top w:val="single" w:color="auto" w:sz="4" w:space="0"/>
              <w:left w:val="single" w:color="auto" w:sz="4" w:space="0"/>
              <w:bottom w:val="single" w:color="auto" w:sz="4" w:space="0"/>
              <w:right w:val="single" w:color="auto" w:sz="4" w:space="0"/>
            </w:tcBorders>
            <w:vAlign w:val="center"/>
          </w:tcPr>
          <w:p w14:paraId="29F2F499">
            <w:pPr>
              <w:pStyle w:val="40"/>
              <w:jc w:val="center"/>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在建</w:t>
            </w:r>
          </w:p>
        </w:tc>
      </w:tr>
    </w:tbl>
    <w:p w14:paraId="075D9CEC">
      <w:pPr>
        <w:widowControl/>
        <w:jc w:val="left"/>
        <w:rPr>
          <w:rFonts w:ascii="仿宋_GB2312" w:eastAsia="仿宋_GB2312"/>
        </w:rPr>
      </w:pPr>
      <w:r>
        <w:rPr>
          <w:rFonts w:hint="eastAsia" w:ascii="仿宋_GB2312" w:eastAsia="仿宋_GB2312"/>
        </w:rPr>
        <w:t>注：本项目表以近期生态修复项目为主，本表中未列出的中远期策划生态修复项目，可以根据省级下达任务和地方建设实际情况，进行动态更新补充项目。</w:t>
      </w:r>
      <w:r>
        <w:rPr>
          <w:rFonts w:ascii="仿宋_GB2312" w:eastAsia="仿宋_GB2312"/>
        </w:rPr>
        <w:br w:type="page"/>
      </w:r>
    </w:p>
    <w:p w14:paraId="78252A37">
      <w:pPr>
        <w:widowControl/>
        <w:jc w:val="left"/>
        <w:sectPr>
          <w:footnotePr>
            <w:numRestart w:val="eachPage"/>
          </w:footnotePr>
          <w:pgSz w:w="16838" w:h="11906" w:orient="landscape"/>
          <w:pgMar w:top="1800" w:right="1440" w:bottom="1800" w:left="1440" w:header="851" w:footer="992" w:gutter="0"/>
          <w:cols w:space="425" w:num="1"/>
          <w:docGrid w:type="lines" w:linePitch="312" w:charSpace="0"/>
        </w:sectPr>
      </w:pPr>
    </w:p>
    <w:p w14:paraId="19CFADC4">
      <w:pPr>
        <w:pStyle w:val="3"/>
        <w:spacing w:beforeLines="50" w:afterLines="50"/>
        <w:ind w:firstLine="0" w:firstLineChars="0"/>
        <w:jc w:val="left"/>
      </w:pPr>
    </w:p>
    <w:sectPr>
      <w:footnotePr>
        <w:numRestart w:val="eachPage"/>
      </w:footnote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09778987"/>
    </w:sdtPr>
    <w:sdtContent>
      <w:p w14:paraId="4552B819">
        <w:pPr>
          <w:pStyle w:val="10"/>
          <w:jc w:val="center"/>
        </w:pPr>
        <w:r>
          <w:fldChar w:fldCharType="begin"/>
        </w:r>
        <w:r>
          <w:instrText xml:space="preserve">PAGE   \* MERGEFORMAT</w:instrText>
        </w:r>
        <w:r>
          <w:fldChar w:fldCharType="separate"/>
        </w:r>
        <w:r>
          <w:rPr>
            <w:lang w:val="zh-CN"/>
          </w:rPr>
          <w:t>89</w:t>
        </w:r>
        <w:r>
          <w:fldChar w:fldCharType="end"/>
        </w:r>
      </w:p>
    </w:sdtContent>
  </w:sdt>
  <w:p w14:paraId="7C4076C2">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92">
    <w:p>
      <w:r>
        <w:separator/>
      </w:r>
    </w:p>
  </w:footnote>
  <w:footnote w:type="continuationSeparator" w:id="93">
    <w:p>
      <w:r>
        <w:continuationSeparator/>
      </w:r>
    </w:p>
  </w:footnote>
  <w:footnote w:id="0">
    <w:p w14:paraId="6596185F">
      <w:pPr>
        <w:pStyle w:val="13"/>
        <w:rPr>
          <w:rFonts w:ascii="Times New Roman" w:hAnsi="Times New Roman" w:cs="Times New Roman"/>
        </w:rPr>
      </w:pPr>
      <w:r>
        <w:rPr>
          <w:rStyle w:val="22"/>
          <w:rFonts w:ascii="Times New Roman" w:hAnsi="Times New Roman" w:cs="Times New Roman"/>
        </w:rPr>
        <w:footnoteRef/>
      </w:r>
      <w:r>
        <w:rPr>
          <w:rFonts w:ascii="Times New Roman" w:hAnsi="Times New Roman" w:cs="Times New Roman"/>
        </w:rPr>
        <w:t xml:space="preserve"> 数据来源：《阳江市国土空间总体规划（2021-2035年）》</w:t>
      </w:r>
    </w:p>
  </w:footnote>
  <w:footnote w:id="1">
    <w:p w14:paraId="40BEC47A">
      <w:pPr>
        <w:pStyle w:val="13"/>
        <w:rPr>
          <w:rFonts w:ascii="Times New Roman" w:hAnsi="Times New Roman" w:cs="Times New Roman"/>
        </w:rPr>
      </w:pPr>
      <w:r>
        <w:rPr>
          <w:rStyle w:val="22"/>
          <w:rFonts w:ascii="Times New Roman" w:hAnsi="Times New Roman" w:cs="Times New Roman"/>
        </w:rPr>
        <w:footnoteRef/>
      </w:r>
      <w:r>
        <w:rPr>
          <w:rFonts w:ascii="Times New Roman" w:hAnsi="Times New Roman" w:cs="Times New Roman"/>
        </w:rPr>
        <w:t xml:space="preserve"> 数据来源：《阳江市资源环境承载能力和国土空间开发适宜性评价报告》</w:t>
      </w:r>
    </w:p>
  </w:footnote>
  <w:footnote w:id="2">
    <w:p w14:paraId="271851E4">
      <w:pPr>
        <w:pStyle w:val="13"/>
        <w:rPr>
          <w:rFonts w:ascii="Times New Roman" w:hAnsi="Times New Roman" w:cs="Times New Roman"/>
        </w:rPr>
      </w:pPr>
      <w:r>
        <w:rPr>
          <w:rStyle w:val="22"/>
          <w:rFonts w:ascii="Times New Roman" w:hAnsi="Times New Roman" w:cs="Times New Roman"/>
        </w:rPr>
        <w:footnoteRef/>
      </w:r>
      <w:r>
        <w:rPr>
          <w:rFonts w:ascii="Times New Roman" w:hAnsi="Times New Roman" w:cs="Times New Roman"/>
        </w:rPr>
        <w:t xml:space="preserve"> 数据来源：《阳江市资源环境承载能力和国土空间开发适宜性评价报告》</w:t>
      </w:r>
    </w:p>
  </w:footnote>
  <w:footnote w:id="3">
    <w:p w14:paraId="5AD0E1C6">
      <w:pPr>
        <w:pStyle w:val="13"/>
        <w:rPr>
          <w:rFonts w:ascii="Times New Roman" w:hAnsi="Times New Roman" w:cs="Times New Roman"/>
        </w:rPr>
      </w:pPr>
      <w:r>
        <w:rPr>
          <w:rStyle w:val="22"/>
          <w:rFonts w:ascii="Times New Roman" w:hAnsi="Times New Roman" w:cs="Times New Roman"/>
        </w:rPr>
        <w:footnoteRef/>
      </w:r>
      <w:r>
        <w:rPr>
          <w:rFonts w:ascii="Times New Roman" w:hAnsi="Times New Roman" w:cs="Times New Roman"/>
        </w:rPr>
        <w:t xml:space="preserve"> 数据来源：《漠阳江流域综合整治规划》</w:t>
      </w:r>
    </w:p>
  </w:footnote>
  <w:footnote w:id="4">
    <w:p w14:paraId="2D283BAF">
      <w:pPr>
        <w:pStyle w:val="13"/>
      </w:pPr>
      <w:r>
        <w:rPr>
          <w:rStyle w:val="22"/>
          <w:rFonts w:ascii="Times New Roman" w:hAnsi="Times New Roman" w:cs="Times New Roman"/>
        </w:rPr>
        <w:footnoteRef/>
      </w:r>
      <w:r>
        <w:rPr>
          <w:rFonts w:ascii="Times New Roman" w:hAnsi="Times New Roman" w:cs="Times New Roman"/>
        </w:rPr>
        <w:t xml:space="preserve"> 数据来源：最新海岸线修测成果2019年11月版</w:t>
      </w:r>
    </w:p>
  </w:footnote>
  <w:footnote w:id="5">
    <w:p w14:paraId="6A154FFB">
      <w:pPr>
        <w:pStyle w:val="13"/>
        <w:rPr>
          <w:rFonts w:ascii="Times New Roman" w:hAnsi="Times New Roman" w:cs="Times New Roman"/>
        </w:rPr>
      </w:pPr>
      <w:r>
        <w:rPr>
          <w:rStyle w:val="22"/>
          <w:rFonts w:ascii="Times New Roman" w:hAnsi="Times New Roman" w:cs="Times New Roman"/>
        </w:rPr>
        <w:footnoteRef/>
      </w:r>
      <w:r>
        <w:rPr>
          <w:rFonts w:ascii="Times New Roman" w:hAnsi="Times New Roman" w:cs="Times New Roman"/>
        </w:rPr>
        <w:t xml:space="preserve"> 数据来源：《阳江市国土空间总体规划（2021-2035年）》</w:t>
      </w:r>
    </w:p>
  </w:footnote>
  <w:footnote w:id="6">
    <w:p w14:paraId="29ADD5E1">
      <w:pPr>
        <w:pStyle w:val="13"/>
        <w:rPr>
          <w:rFonts w:ascii="Times New Roman" w:hAnsi="Times New Roman" w:cs="Times New Roman"/>
        </w:rPr>
      </w:pPr>
      <w:r>
        <w:rPr>
          <w:rStyle w:val="22"/>
          <w:rFonts w:ascii="Times New Roman" w:hAnsi="Times New Roman" w:cs="Times New Roman"/>
        </w:rPr>
        <w:footnoteRef/>
      </w:r>
      <w:r>
        <w:rPr>
          <w:rFonts w:ascii="Times New Roman" w:hAnsi="Times New Roman" w:cs="Times New Roman"/>
        </w:rPr>
        <w:t xml:space="preserve"> 数据来源：《阳江市自然保护地整合优化方案》</w:t>
      </w:r>
    </w:p>
  </w:footnote>
  <w:footnote w:id="7">
    <w:p w14:paraId="0518FCC4">
      <w:pPr>
        <w:pStyle w:val="13"/>
        <w:rPr>
          <w:rFonts w:ascii="Times New Roman" w:hAnsi="Times New Roman" w:cs="Times New Roman"/>
        </w:rPr>
      </w:pPr>
      <w:r>
        <w:rPr>
          <w:rStyle w:val="22"/>
          <w:rFonts w:ascii="Times New Roman" w:hAnsi="Times New Roman" w:cs="Times New Roman"/>
        </w:rPr>
        <w:footnoteRef/>
      </w:r>
      <w:r>
        <w:rPr>
          <w:rFonts w:ascii="Times New Roman" w:hAnsi="Times New Roman" w:cs="Times New Roman"/>
        </w:rPr>
        <w:t xml:space="preserve"> 数据来源：阳江市国土综合整治与生态保护修复专题研究</w:t>
      </w:r>
    </w:p>
  </w:footnote>
  <w:footnote w:id="8">
    <w:p w14:paraId="11E25760">
      <w:pPr>
        <w:pStyle w:val="13"/>
      </w:pPr>
      <w:r>
        <w:rPr>
          <w:rStyle w:val="22"/>
          <w:rFonts w:ascii="Times New Roman" w:hAnsi="Times New Roman" w:cs="Times New Roman"/>
        </w:rPr>
        <w:footnoteRef/>
      </w:r>
      <w:r>
        <w:rPr>
          <w:rFonts w:ascii="Times New Roman" w:hAnsi="Times New Roman" w:cs="Times New Roman"/>
        </w:rPr>
        <w:t xml:space="preserve"> 数据来源：《阳江市水资源综合规划修编（2019—2035年）》</w:t>
      </w:r>
    </w:p>
  </w:footnote>
  <w:footnote w:id="9">
    <w:p w14:paraId="2F06E693">
      <w:pPr>
        <w:pStyle w:val="13"/>
      </w:pPr>
      <w:r>
        <w:rPr>
          <w:rStyle w:val="22"/>
        </w:rPr>
        <w:footnoteRef/>
      </w:r>
      <w:r>
        <w:rPr>
          <w:rFonts w:hint="eastAsia"/>
        </w:rPr>
        <w:t>数据来源：阳江市资源环境承载能力和国土空间开发适宜性评价</w:t>
      </w:r>
    </w:p>
  </w:footnote>
  <w:footnote w:id="10">
    <w:p w14:paraId="7C7B86C2">
      <w:pPr>
        <w:pStyle w:val="13"/>
        <w:rPr>
          <w:rFonts w:ascii="Times New Roman" w:hAnsi="Times New Roman" w:cs="Times New Roman"/>
        </w:rPr>
      </w:pPr>
      <w:r>
        <w:rPr>
          <w:rStyle w:val="22"/>
          <w:rFonts w:ascii="Times New Roman" w:hAnsi="Times New Roman" w:cs="Times New Roman"/>
        </w:rPr>
        <w:footnoteRef/>
      </w:r>
      <w:r>
        <w:rPr>
          <w:rFonts w:ascii="Times New Roman" w:hAnsi="Times New Roman" w:cs="Times New Roman"/>
        </w:rPr>
        <w:t xml:space="preserve"> 数据来源：阳江市人民政府2022年政府工作报告</w:t>
      </w:r>
    </w:p>
  </w:footnote>
  <w:footnote w:id="11">
    <w:p w14:paraId="2F8D815C">
      <w:pPr>
        <w:pStyle w:val="13"/>
        <w:rPr>
          <w:rFonts w:ascii="Times New Roman" w:hAnsi="Times New Roman" w:cs="Times New Roman"/>
        </w:rPr>
      </w:pPr>
      <w:r>
        <w:rPr>
          <w:rStyle w:val="22"/>
          <w:rFonts w:ascii="Times New Roman" w:hAnsi="Times New Roman" w:cs="Times New Roman"/>
        </w:rPr>
        <w:footnoteRef/>
      </w:r>
      <w:r>
        <w:rPr>
          <w:rFonts w:ascii="Times New Roman" w:hAnsi="Times New Roman" w:cs="Times New Roman"/>
        </w:rPr>
        <w:t xml:space="preserve"> 数据来源：阳江市人民政府2022年政府工作报告</w:t>
      </w:r>
    </w:p>
  </w:footnote>
  <w:footnote w:id="12">
    <w:p w14:paraId="1D752AAB">
      <w:pPr>
        <w:pStyle w:val="13"/>
        <w:rPr>
          <w:rFonts w:ascii="Times New Roman" w:hAnsi="Times New Roman" w:cs="Times New Roman"/>
        </w:rPr>
      </w:pPr>
      <w:r>
        <w:rPr>
          <w:rStyle w:val="22"/>
          <w:rFonts w:ascii="Times New Roman" w:hAnsi="Times New Roman" w:cs="Times New Roman"/>
        </w:rPr>
        <w:footnoteRef/>
      </w:r>
      <w:r>
        <w:rPr>
          <w:rFonts w:ascii="Times New Roman" w:hAnsi="Times New Roman" w:cs="Times New Roman"/>
        </w:rPr>
        <w:t xml:space="preserve"> 数据来源：广东省林业局2022年统计数字</w:t>
      </w:r>
    </w:p>
  </w:footnote>
  <w:footnote w:id="13">
    <w:p w14:paraId="66EB7AAE">
      <w:pPr>
        <w:pStyle w:val="13"/>
      </w:pPr>
      <w:r>
        <w:rPr>
          <w:rStyle w:val="22"/>
          <w:rFonts w:ascii="Times New Roman" w:hAnsi="Times New Roman" w:cs="Times New Roman"/>
        </w:rPr>
        <w:footnoteRef/>
      </w:r>
      <w:r>
        <w:rPr>
          <w:rFonts w:ascii="Times New Roman" w:hAnsi="Times New Roman" w:cs="Times New Roman"/>
        </w:rPr>
        <w:t xml:space="preserve"> 数据来源：阳江市政府网</w:t>
      </w:r>
    </w:p>
  </w:footnote>
  <w:footnote w:id="14">
    <w:p w14:paraId="78C18802">
      <w:pPr>
        <w:pStyle w:val="13"/>
        <w:rPr>
          <w:rFonts w:ascii="Times New Roman" w:hAnsi="Times New Roman" w:cs="Times New Roman"/>
        </w:rPr>
      </w:pPr>
      <w:r>
        <w:rPr>
          <w:rStyle w:val="22"/>
          <w:rFonts w:ascii="Times New Roman" w:hAnsi="Times New Roman" w:cs="Times New Roman"/>
        </w:rPr>
        <w:footnoteRef/>
      </w:r>
      <w:r>
        <w:rPr>
          <w:rFonts w:ascii="Times New Roman" w:hAnsi="Times New Roman" w:cs="Times New Roman"/>
        </w:rPr>
        <w:t xml:space="preserve"> 数据来源：阳江市水资源公报2022</w:t>
      </w:r>
    </w:p>
  </w:footnote>
  <w:footnote w:id="15">
    <w:p w14:paraId="031BD81E">
      <w:pPr>
        <w:pStyle w:val="13"/>
        <w:rPr>
          <w:rFonts w:ascii="Times New Roman" w:hAnsi="Times New Roman" w:cs="Times New Roman"/>
        </w:rPr>
      </w:pPr>
      <w:r>
        <w:rPr>
          <w:rStyle w:val="22"/>
          <w:rFonts w:ascii="Times New Roman" w:hAnsi="Times New Roman" w:cs="Times New Roman"/>
        </w:rPr>
        <w:footnoteRef/>
      </w:r>
      <w:r>
        <w:rPr>
          <w:rFonts w:ascii="Times New Roman" w:hAnsi="Times New Roman" w:cs="Times New Roman"/>
        </w:rPr>
        <w:t xml:space="preserve"> 数据来源：阳江市水资源公报2022</w:t>
      </w:r>
    </w:p>
  </w:footnote>
  <w:footnote w:id="16">
    <w:p w14:paraId="29748914">
      <w:pPr>
        <w:pStyle w:val="13"/>
      </w:pPr>
      <w:r>
        <w:rPr>
          <w:rStyle w:val="22"/>
          <w:rFonts w:ascii="Times New Roman" w:hAnsi="Times New Roman" w:cs="Times New Roman"/>
        </w:rPr>
        <w:footnoteRef/>
      </w:r>
      <w:r>
        <w:rPr>
          <w:rFonts w:ascii="Times New Roman" w:hAnsi="Times New Roman" w:cs="Times New Roman"/>
        </w:rPr>
        <w:t xml:space="preserve"> 数据来源：历史遗留矿山核查图斑（10类未治理最终版本）</w:t>
      </w:r>
    </w:p>
  </w:footnote>
  <w:footnote w:id="17">
    <w:p w14:paraId="43BC1C8C">
      <w:pPr>
        <w:pStyle w:val="13"/>
        <w:rPr>
          <w:rFonts w:ascii="Times New Roman" w:hAnsi="Times New Roman" w:cs="Times New Roman"/>
        </w:rPr>
      </w:pPr>
      <w:r>
        <w:rPr>
          <w:rStyle w:val="22"/>
          <w:rFonts w:ascii="Times New Roman" w:hAnsi="Times New Roman" w:cs="Times New Roman"/>
        </w:rPr>
        <w:footnoteRef/>
      </w:r>
      <w:r>
        <w:rPr>
          <w:rFonts w:ascii="Times New Roman" w:hAnsi="Times New Roman" w:cs="Times New Roman"/>
        </w:rPr>
        <w:t xml:space="preserve"> 数据来源：2022年阳江市生态环境质量状况公报</w:t>
      </w:r>
    </w:p>
  </w:footnote>
  <w:footnote w:id="18">
    <w:p w14:paraId="2D7FC6AA">
      <w:pPr>
        <w:pStyle w:val="13"/>
        <w:rPr>
          <w:rFonts w:ascii="Times New Roman" w:hAnsi="Times New Roman" w:cs="Times New Roman"/>
        </w:rPr>
      </w:pPr>
      <w:r>
        <w:rPr>
          <w:rStyle w:val="22"/>
          <w:rFonts w:ascii="Times New Roman" w:hAnsi="Times New Roman" w:cs="Times New Roman"/>
        </w:rPr>
        <w:footnoteRef/>
      </w:r>
      <w:r>
        <w:rPr>
          <w:rFonts w:ascii="Times New Roman" w:hAnsi="Times New Roman" w:cs="Times New Roman"/>
        </w:rPr>
        <w:t xml:space="preserve"> 数据来源：2022年阳江市生态环境质量状况公报</w:t>
      </w:r>
    </w:p>
  </w:footnote>
  <w:footnote w:id="19">
    <w:p w14:paraId="5F05CA06">
      <w:pPr>
        <w:pStyle w:val="13"/>
        <w:rPr>
          <w:rFonts w:ascii="Times New Roman" w:hAnsi="Times New Roman" w:cs="Times New Roman"/>
        </w:rPr>
      </w:pPr>
      <w:r>
        <w:rPr>
          <w:rStyle w:val="22"/>
          <w:rFonts w:ascii="Times New Roman" w:hAnsi="Times New Roman" w:cs="Times New Roman"/>
        </w:rPr>
        <w:footnoteRef/>
      </w:r>
      <w:r>
        <w:rPr>
          <w:rFonts w:ascii="Times New Roman" w:hAnsi="Times New Roman" w:cs="Times New Roman"/>
        </w:rPr>
        <w:t xml:space="preserve"> 数据来源：2022年阳江市生态环境质量状况公报</w:t>
      </w:r>
    </w:p>
  </w:footnote>
  <w:footnote w:id="20">
    <w:p w14:paraId="4BA85388">
      <w:pPr>
        <w:pStyle w:val="13"/>
        <w:rPr>
          <w:rFonts w:ascii="Times New Roman" w:hAnsi="Times New Roman" w:cs="Times New Roman"/>
        </w:rPr>
      </w:pPr>
      <w:r>
        <w:rPr>
          <w:rStyle w:val="22"/>
          <w:rFonts w:ascii="Times New Roman" w:hAnsi="Times New Roman" w:cs="Times New Roman"/>
        </w:rPr>
        <w:footnoteRef/>
      </w:r>
      <w:r>
        <w:rPr>
          <w:rFonts w:ascii="Times New Roman" w:hAnsi="Times New Roman" w:cs="Times New Roman"/>
        </w:rPr>
        <w:t xml:space="preserve"> 数据来源：阳西县人民政府：守护“地球之肾”！程村湾“蓝色海湾”综合整治行动项目启动施工</w:t>
      </w:r>
    </w:p>
  </w:footnote>
  <w:footnote w:id="21">
    <w:p w14:paraId="476843D6">
      <w:pPr>
        <w:pStyle w:val="13"/>
      </w:pPr>
      <w:r>
        <w:rPr>
          <w:rStyle w:val="22"/>
          <w:rFonts w:ascii="Times New Roman" w:hAnsi="Times New Roman" w:cs="Times New Roman"/>
        </w:rPr>
        <w:footnoteRef/>
      </w:r>
      <w:r>
        <w:rPr>
          <w:rFonts w:ascii="Times New Roman" w:hAnsi="Times New Roman" w:cs="Times New Roman"/>
        </w:rPr>
        <w:t xml:space="preserve"> 数据来源：阳江市林业局</w:t>
      </w:r>
    </w:p>
  </w:footnote>
  <w:footnote w:id="22">
    <w:p w14:paraId="0276D424">
      <w:pPr>
        <w:pStyle w:val="13"/>
        <w:rPr>
          <w:rFonts w:ascii="Times New Roman" w:hAnsi="Times New Roman" w:cs="Times New Roman"/>
        </w:rPr>
      </w:pPr>
      <w:r>
        <w:rPr>
          <w:rStyle w:val="22"/>
          <w:rFonts w:ascii="Times New Roman" w:hAnsi="Times New Roman" w:cs="Times New Roman"/>
        </w:rPr>
        <w:footnoteRef/>
      </w:r>
      <w:r>
        <w:rPr>
          <w:rFonts w:ascii="Times New Roman" w:hAnsi="Times New Roman" w:cs="Times New Roman"/>
        </w:rPr>
        <w:t xml:space="preserve"> 数据来源：历史遗留矿山核查图斑（10类未治理最终版本）</w:t>
      </w:r>
    </w:p>
  </w:footnote>
  <w:footnote w:id="23">
    <w:p w14:paraId="43B8FD91">
      <w:pPr>
        <w:pStyle w:val="13"/>
      </w:pPr>
      <w:r>
        <w:rPr>
          <w:rStyle w:val="22"/>
          <w:rFonts w:ascii="Times New Roman" w:hAnsi="Times New Roman" w:cs="Times New Roman"/>
        </w:rPr>
        <w:footnoteRef/>
      </w:r>
      <w:r>
        <w:rPr>
          <w:rFonts w:ascii="Times New Roman" w:hAnsi="Times New Roman" w:cs="Times New Roman"/>
        </w:rPr>
        <w:t xml:space="preserve"> 数据来源：《阳江市水土保持规划（2018-2030年）》</w:t>
      </w:r>
    </w:p>
  </w:footnote>
  <w:footnote w:id="24">
    <w:p w14:paraId="1BC94C8D">
      <w:pPr>
        <w:pStyle w:val="13"/>
        <w:rPr>
          <w:rFonts w:ascii="Times New Roman" w:hAnsi="Times New Roman" w:cs="Times New Roman"/>
        </w:rPr>
      </w:pPr>
      <w:r>
        <w:rPr>
          <w:rStyle w:val="22"/>
          <w:rFonts w:ascii="Times New Roman" w:hAnsi="Times New Roman" w:cs="Times New Roman"/>
        </w:rPr>
        <w:footnoteRef/>
      </w:r>
      <w:r>
        <w:rPr>
          <w:rFonts w:ascii="Times New Roman" w:hAnsi="Times New Roman" w:cs="Times New Roman"/>
        </w:rPr>
        <w:t xml:space="preserve"> 数据来源：广东省近岸海域水质监测信息2022年第三期</w:t>
      </w:r>
    </w:p>
  </w:footnote>
  <w:footnote w:id="25">
    <w:p w14:paraId="7D8970D4">
      <w:pPr>
        <w:pStyle w:val="13"/>
        <w:rPr>
          <w:rFonts w:ascii="Times New Roman" w:hAnsi="Times New Roman" w:cs="Times New Roman"/>
        </w:rPr>
      </w:pPr>
      <w:r>
        <w:rPr>
          <w:rStyle w:val="22"/>
          <w:rFonts w:ascii="Times New Roman" w:hAnsi="Times New Roman" w:cs="Times New Roman"/>
        </w:rPr>
        <w:footnoteRef/>
      </w:r>
      <w:r>
        <w:rPr>
          <w:rFonts w:ascii="Times New Roman" w:hAnsi="Times New Roman" w:cs="Times New Roman"/>
        </w:rPr>
        <w:t xml:space="preserve"> 数据来源：海岸线修测成果2019年11月版、三调数据</w:t>
      </w:r>
    </w:p>
  </w:footnote>
  <w:footnote w:id="26">
    <w:p w14:paraId="6AA159B9">
      <w:pPr>
        <w:pStyle w:val="13"/>
      </w:pPr>
      <w:r>
        <w:rPr>
          <w:rStyle w:val="22"/>
          <w:rFonts w:ascii="Times New Roman" w:hAnsi="Times New Roman" w:cs="Times New Roman"/>
        </w:rPr>
        <w:footnoteRef/>
      </w:r>
      <w:r>
        <w:rPr>
          <w:rFonts w:ascii="Times New Roman" w:hAnsi="Times New Roman" w:cs="Times New Roman"/>
        </w:rPr>
        <w:t xml:space="preserve"> 数据来源：《阳江市水利改革发展“十四五”规划》</w:t>
      </w:r>
    </w:p>
  </w:footnote>
  <w:footnote w:id="27">
    <w:p w14:paraId="225A399A">
      <w:pPr>
        <w:pStyle w:val="13"/>
      </w:pPr>
      <w:r>
        <w:rPr>
          <w:rStyle w:val="22"/>
        </w:rPr>
        <w:footnoteRef/>
      </w:r>
      <w:r>
        <w:rPr>
          <w:rFonts w:hint="eastAsia"/>
        </w:rPr>
        <w:t>数据来源：广东省阳江市国家森林城市建设总体</w:t>
      </w:r>
      <w:r>
        <w:rPr>
          <w:rFonts w:ascii="Times New Roman" w:hAnsi="Times New Roman" w:cs="Times New Roman"/>
        </w:rPr>
        <w:t>规划（2017-2026年）</w:t>
      </w:r>
    </w:p>
  </w:footnote>
  <w:footnote w:id="28">
    <w:p w14:paraId="03273B7D">
      <w:pPr>
        <w:pStyle w:val="13"/>
      </w:pPr>
      <w:r>
        <w:rPr>
          <w:rStyle w:val="22"/>
        </w:rPr>
        <w:footnoteRef/>
      </w:r>
      <w:r>
        <w:rPr>
          <w:rFonts w:hint="eastAsia"/>
        </w:rPr>
        <w:t>数据来源：阳江市林业调查数据</w:t>
      </w:r>
    </w:p>
  </w:footnote>
  <w:footnote w:id="29">
    <w:p w14:paraId="1061D684">
      <w:pPr>
        <w:pStyle w:val="13"/>
        <w:rPr>
          <w:rFonts w:ascii="Times New Roman" w:hAnsi="Times New Roman" w:cs="Times New Roman"/>
        </w:rPr>
      </w:pPr>
      <w:r>
        <w:rPr>
          <w:rStyle w:val="22"/>
          <w:rFonts w:ascii="Times New Roman" w:hAnsi="Times New Roman" w:cs="Times New Roman"/>
        </w:rPr>
        <w:footnoteRef/>
      </w:r>
      <w:r>
        <w:rPr>
          <w:rFonts w:ascii="Times New Roman" w:hAnsi="Times New Roman" w:cs="Times New Roman"/>
        </w:rPr>
        <w:t xml:space="preserve"> 数据来源：阳江市2022年耕地质量等级情况报告</w:t>
      </w:r>
    </w:p>
  </w:footnote>
  <w:footnote w:id="30">
    <w:p w14:paraId="08807372">
      <w:pPr>
        <w:pStyle w:val="13"/>
      </w:pPr>
      <w:r>
        <w:rPr>
          <w:rStyle w:val="22"/>
          <w:rFonts w:ascii="Times New Roman" w:hAnsi="Times New Roman" w:cs="Times New Roman"/>
        </w:rPr>
        <w:footnoteRef/>
      </w:r>
      <w:r>
        <w:rPr>
          <w:rFonts w:ascii="Times New Roman" w:hAnsi="Times New Roman" w:cs="Times New Roman"/>
        </w:rPr>
        <w:t xml:space="preserve"> 数据来源：阳江市政府网 “三点”发力推动粮食生产高质量发展</w:t>
      </w:r>
    </w:p>
  </w:footnote>
  <w:footnote w:id="31">
    <w:p w14:paraId="33754783">
      <w:pPr>
        <w:pStyle w:val="13"/>
        <w:rPr>
          <w:rFonts w:ascii="Times New Roman" w:hAnsi="Times New Roman" w:cs="Times New Roman"/>
        </w:rPr>
      </w:pPr>
      <w:r>
        <w:rPr>
          <w:rStyle w:val="22"/>
          <w:rFonts w:ascii="Times New Roman" w:hAnsi="Times New Roman" w:cs="Times New Roman"/>
        </w:rPr>
        <w:footnoteRef/>
      </w:r>
      <w:r>
        <w:rPr>
          <w:rFonts w:ascii="Times New Roman" w:hAnsi="Times New Roman" w:cs="Times New Roman"/>
        </w:rPr>
        <w:t xml:space="preserve"> 数据来源：2022年阳江市统计年鉴</w:t>
      </w:r>
    </w:p>
  </w:footnote>
  <w:footnote w:id="32">
    <w:p w14:paraId="3F171F1F">
      <w:pPr>
        <w:pStyle w:val="13"/>
        <w:rPr>
          <w:rFonts w:ascii="Times New Roman" w:hAnsi="Times New Roman" w:cs="Times New Roman"/>
        </w:rPr>
      </w:pPr>
      <w:r>
        <w:rPr>
          <w:rStyle w:val="22"/>
          <w:rFonts w:ascii="Times New Roman" w:hAnsi="Times New Roman" w:cs="Times New Roman"/>
        </w:rPr>
        <w:footnoteRef/>
      </w:r>
      <w:r>
        <w:rPr>
          <w:rFonts w:ascii="Times New Roman" w:hAnsi="Times New Roman" w:cs="Times New Roman"/>
        </w:rPr>
        <w:t xml:space="preserve"> 资料来源：阳江市农业农村现代化“十四五”规划</w:t>
      </w:r>
    </w:p>
  </w:footnote>
  <w:footnote w:id="33">
    <w:p w14:paraId="49ACFF3E">
      <w:pPr>
        <w:pStyle w:val="13"/>
        <w:rPr>
          <w:rFonts w:ascii="Times New Roman" w:hAnsi="Times New Roman" w:cs="Times New Roman"/>
        </w:rPr>
      </w:pPr>
      <w:r>
        <w:rPr>
          <w:rStyle w:val="22"/>
          <w:rFonts w:ascii="Times New Roman" w:hAnsi="Times New Roman" w:cs="Times New Roman"/>
        </w:rPr>
        <w:footnoteRef/>
      </w:r>
      <w:r>
        <w:rPr>
          <w:rFonts w:ascii="Times New Roman" w:hAnsi="Times New Roman" w:cs="Times New Roman"/>
        </w:rPr>
        <w:t xml:space="preserve"> 资料来源：《2022年 阳江市城市体检报告》</w:t>
      </w:r>
    </w:p>
  </w:footnote>
  <w:footnote w:id="34">
    <w:p w14:paraId="472EEB38">
      <w:pPr>
        <w:pStyle w:val="13"/>
      </w:pPr>
      <w:r>
        <w:rPr>
          <w:rStyle w:val="22"/>
          <w:rFonts w:ascii="Times New Roman" w:hAnsi="Times New Roman" w:cs="Times New Roman"/>
        </w:rPr>
        <w:footnoteRef/>
      </w:r>
      <w:r>
        <w:rPr>
          <w:rFonts w:ascii="Times New Roman" w:hAnsi="Times New Roman" w:cs="Times New Roman"/>
        </w:rPr>
        <w:t xml:space="preserve"> 资料来源：《阳江市城市绿地系统规划（2016-2035）》</w:t>
      </w:r>
    </w:p>
  </w:footnote>
  <w:footnote w:id="35">
    <w:p w14:paraId="5278A58B">
      <w:pPr>
        <w:pStyle w:val="13"/>
        <w:rPr>
          <w:rFonts w:ascii="Times New Roman" w:hAnsi="Times New Roman" w:cs="Times New Roman"/>
        </w:rPr>
      </w:pPr>
      <w:r>
        <w:rPr>
          <w:rStyle w:val="22"/>
          <w:rFonts w:ascii="Times New Roman" w:hAnsi="Times New Roman" w:cs="Times New Roman"/>
        </w:rPr>
        <w:footnoteRef/>
      </w:r>
      <w:r>
        <w:rPr>
          <w:rFonts w:ascii="Times New Roman" w:hAnsi="Times New Roman" w:cs="Times New Roman"/>
        </w:rPr>
        <w:t xml:space="preserve"> 数据来源：《漠阳江流域综合整治规划》</w:t>
      </w:r>
    </w:p>
  </w:footnote>
  <w:footnote w:id="36">
    <w:p w14:paraId="356DC73B">
      <w:pPr>
        <w:pStyle w:val="13"/>
      </w:pPr>
      <w:r>
        <w:rPr>
          <w:rStyle w:val="22"/>
          <w:rFonts w:ascii="Times New Roman" w:hAnsi="Times New Roman" w:cs="Times New Roman"/>
        </w:rPr>
        <w:footnoteRef/>
      </w:r>
      <w:r>
        <w:rPr>
          <w:rFonts w:ascii="Times New Roman" w:hAnsi="Times New Roman" w:cs="Times New Roman"/>
        </w:rPr>
        <w:t xml:space="preserve"> 资料来源：《阳江市高质量碧道规划（2020-2035）》</w:t>
      </w:r>
    </w:p>
  </w:footnote>
  <w:footnote w:id="37">
    <w:p w14:paraId="1B03E6FC">
      <w:pPr>
        <w:pStyle w:val="13"/>
        <w:rPr>
          <w:rFonts w:ascii="Times New Roman" w:hAnsi="Times New Roman" w:cs="Times New Roman"/>
        </w:rPr>
      </w:pPr>
      <w:r>
        <w:rPr>
          <w:rStyle w:val="22"/>
          <w:rFonts w:ascii="Times New Roman" w:hAnsi="Times New Roman" w:cs="Times New Roman"/>
        </w:rPr>
        <w:footnoteRef/>
      </w:r>
      <w:r>
        <w:rPr>
          <w:rFonts w:ascii="Times New Roman" w:hAnsi="Times New Roman" w:cs="Times New Roman"/>
        </w:rPr>
        <w:t xml:space="preserve"> 数据来源：《阳江市水资源公报2022》</w:t>
      </w:r>
    </w:p>
  </w:footnote>
  <w:footnote w:id="38">
    <w:p w14:paraId="0A413609">
      <w:pPr>
        <w:pStyle w:val="13"/>
      </w:pPr>
      <w:r>
        <w:rPr>
          <w:rStyle w:val="22"/>
        </w:rPr>
        <w:footnoteRef/>
      </w:r>
      <w:r>
        <w:rPr>
          <w:rFonts w:hint="eastAsia"/>
        </w:rPr>
        <w:t>资料来源：阳江市农田整治提升行动</w:t>
      </w:r>
      <w:r>
        <w:rPr>
          <w:rFonts w:ascii="Times New Roman" w:hAnsi="Times New Roman" w:cs="Times New Roman"/>
        </w:rPr>
        <w:t>实施方案（2021-2025年）</w:t>
      </w:r>
    </w:p>
  </w:footnote>
  <w:footnote w:id="39">
    <w:p w14:paraId="0AD0B410">
      <w:pPr>
        <w:pStyle w:val="13"/>
        <w:rPr>
          <w:rFonts w:ascii="Times New Roman" w:hAnsi="Times New Roman" w:cs="Times New Roman"/>
        </w:rPr>
      </w:pPr>
      <w:r>
        <w:rPr>
          <w:rStyle w:val="22"/>
          <w:rFonts w:ascii="Times New Roman" w:hAnsi="Times New Roman" w:cs="Times New Roman"/>
        </w:rPr>
        <w:footnoteRef/>
      </w:r>
      <w:r>
        <w:rPr>
          <w:rFonts w:ascii="Times New Roman" w:hAnsi="Times New Roman" w:cs="Times New Roman"/>
        </w:rPr>
        <w:t xml:space="preserve"> 资料来源：阳江市高标准农田建设规划（2021-2030年）</w:t>
      </w:r>
    </w:p>
  </w:footnote>
  <w:footnote w:id="40">
    <w:p w14:paraId="15059788">
      <w:pPr>
        <w:pStyle w:val="13"/>
      </w:pPr>
      <w:r>
        <w:rPr>
          <w:rStyle w:val="22"/>
          <w:rFonts w:ascii="Times New Roman" w:hAnsi="Times New Roman" w:cs="Times New Roman"/>
        </w:rPr>
        <w:footnoteRef/>
      </w:r>
      <w:r>
        <w:rPr>
          <w:rFonts w:ascii="Times New Roman" w:hAnsi="Times New Roman" w:cs="Times New Roman"/>
        </w:rPr>
        <w:t xml:space="preserve"> 资料来源：阳江市资源环境承载能力和国土空间开发适宜性评价报告</w:t>
      </w:r>
    </w:p>
  </w:footnote>
  <w:footnote w:id="41">
    <w:p w14:paraId="5C3D3FC5">
      <w:pPr>
        <w:pStyle w:val="13"/>
      </w:pPr>
      <w:r>
        <w:rPr>
          <w:rStyle w:val="22"/>
        </w:rPr>
        <w:footnoteRef/>
      </w:r>
      <w:r>
        <w:rPr>
          <w:rFonts w:hint="eastAsia"/>
        </w:rPr>
        <w:t>数据来源：阳江市农业农村现代化“十四五”规划</w:t>
      </w:r>
    </w:p>
  </w:footnote>
  <w:footnote w:id="42">
    <w:p w14:paraId="37506315">
      <w:pPr>
        <w:pStyle w:val="13"/>
      </w:pPr>
      <w:r>
        <w:rPr>
          <w:rStyle w:val="22"/>
        </w:rPr>
        <w:footnoteRef/>
      </w:r>
      <w:r>
        <w:rPr>
          <w:rFonts w:hint="eastAsia"/>
        </w:rPr>
        <w:t>资料来源：阳江市《关于全面推进“百县千镇万村高质量发展工程”促进城乡区域协调发展的实施意见》</w:t>
      </w:r>
    </w:p>
  </w:footnote>
  <w:footnote w:id="43">
    <w:p w14:paraId="7B590CC5">
      <w:pPr>
        <w:pStyle w:val="13"/>
      </w:pPr>
      <w:r>
        <w:rPr>
          <w:rStyle w:val="22"/>
        </w:rPr>
        <w:footnoteRef/>
      </w:r>
      <w:r>
        <w:rPr>
          <w:rFonts w:hint="eastAsia"/>
        </w:rPr>
        <w:t>资料来源：阳江市农业农村现代化“十四五”规划</w:t>
      </w:r>
    </w:p>
  </w:footnote>
  <w:footnote w:id="44">
    <w:p w14:paraId="690AC60C">
      <w:pPr>
        <w:pStyle w:val="13"/>
      </w:pPr>
      <w:r>
        <w:rPr>
          <w:rStyle w:val="22"/>
        </w:rPr>
        <w:footnoteRef/>
      </w:r>
      <w:r>
        <w:rPr>
          <w:rFonts w:hint="eastAsia"/>
        </w:rPr>
        <w:t>按市农业农村局意见，与《广东省人民政府办公厅关于加快推进生猪家禽产业转型升级的意见》衔接</w:t>
      </w:r>
    </w:p>
  </w:footnote>
  <w:footnote w:id="45">
    <w:p w14:paraId="2F1A4F91">
      <w:pPr>
        <w:pStyle w:val="13"/>
      </w:pPr>
      <w:r>
        <w:rPr>
          <w:rStyle w:val="22"/>
        </w:rPr>
        <w:footnoteRef/>
      </w:r>
      <w:r>
        <w:rPr>
          <w:rFonts w:hint="eastAsia"/>
        </w:rPr>
        <w:t>数据来源：阳江市资源环境承载能力和国土空间开发适宜性评价报告</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4CA2AB"/>
    <w:multiLevelType w:val="singleLevel"/>
    <w:tmpl w:val="B24CA2AB"/>
    <w:lvl w:ilvl="0" w:tentative="0">
      <w:start w:val="1"/>
      <w:numFmt w:val="chineseCounting"/>
      <w:suff w:val="nothing"/>
      <w:lvlText w:val="（%1）"/>
      <w:lvlJc w:val="left"/>
      <w:rPr>
        <w:rFonts w:hint="eastAsia"/>
      </w:rPr>
    </w:lvl>
  </w:abstractNum>
  <w:abstractNum w:abstractNumId="1">
    <w:nsid w:val="1FF6C90E"/>
    <w:multiLevelType w:val="singleLevel"/>
    <w:tmpl w:val="1FF6C90E"/>
    <w:lvl w:ilvl="0" w:tentative="0">
      <w:start w:val="1"/>
      <w:numFmt w:val="decimal"/>
      <w:suff w:val="nothing"/>
      <w:lvlText w:val="（%1）"/>
      <w:lvlJc w:val="left"/>
    </w:lvl>
  </w:abstractNum>
  <w:abstractNum w:abstractNumId="2">
    <w:nsid w:val="24481BE6"/>
    <w:multiLevelType w:val="singleLevel"/>
    <w:tmpl w:val="24481BE6"/>
    <w:lvl w:ilvl="0" w:tentative="0">
      <w:start w:val="1"/>
      <w:numFmt w:val="decimal"/>
      <w:lvlText w:val="%1."/>
      <w:lvlJc w:val="left"/>
      <w:pPr>
        <w:tabs>
          <w:tab w:val="left" w:pos="312"/>
        </w:tabs>
      </w:pPr>
    </w:lvl>
  </w:abstractNum>
  <w:abstractNum w:abstractNumId="3">
    <w:nsid w:val="47ACC636"/>
    <w:multiLevelType w:val="singleLevel"/>
    <w:tmpl w:val="47ACC636"/>
    <w:lvl w:ilvl="0" w:tentative="0">
      <w:start w:val="1"/>
      <w:numFmt w:val="decimal"/>
      <w:suff w:val="nothing"/>
      <w:lvlText w:val="（%1）"/>
      <w:lvlJc w:val="left"/>
    </w:lvl>
  </w:abstractNum>
  <w:abstractNum w:abstractNumId="4">
    <w:nsid w:val="64CB97E4"/>
    <w:multiLevelType w:val="singleLevel"/>
    <w:tmpl w:val="64CB97E4"/>
    <w:lvl w:ilvl="0" w:tentative="0">
      <w:start w:val="1"/>
      <w:numFmt w:val="decimal"/>
      <w:lvlText w:val="%1."/>
      <w:lvlJc w:val="left"/>
      <w:pPr>
        <w:tabs>
          <w:tab w:val="left" w:pos="312"/>
        </w:tabs>
      </w:pPr>
    </w:lvl>
  </w:abstractNum>
  <w:abstractNum w:abstractNumId="5">
    <w:nsid w:val="6A66E741"/>
    <w:multiLevelType w:val="singleLevel"/>
    <w:tmpl w:val="6A66E741"/>
    <w:lvl w:ilvl="0" w:tentative="0">
      <w:start w:val="1"/>
      <w:numFmt w:val="chineseCounting"/>
      <w:suff w:val="space"/>
      <w:lvlText w:val="第%1章"/>
      <w:lvlJc w:val="left"/>
      <w:rPr>
        <w:rFonts w:hint="eastAsia"/>
      </w:rPr>
    </w:lvl>
  </w:abstractNum>
  <w:abstractNum w:abstractNumId="6">
    <w:nsid w:val="71DE2E6F"/>
    <w:multiLevelType w:val="singleLevel"/>
    <w:tmpl w:val="71DE2E6F"/>
    <w:lvl w:ilvl="0" w:tentative="0">
      <w:start w:val="3"/>
      <w:numFmt w:val="decimal"/>
      <w:suff w:val="nothing"/>
      <w:lvlText w:val="（%1）"/>
      <w:lvlJc w:val="left"/>
      <w:pPr>
        <w:ind w:left="0" w:firstLine="0"/>
      </w:pPr>
      <w:rPr>
        <w:rFonts w:hint="eastAsia"/>
      </w:rPr>
    </w:lvl>
  </w:abstractNum>
  <w:num w:numId="1">
    <w:abstractNumId w:val="5"/>
  </w:num>
  <w:num w:numId="2">
    <w:abstractNumId w:val="0"/>
  </w:num>
  <w:num w:numId="3">
    <w:abstractNumId w:val="4"/>
  </w:num>
  <w:num w:numId="4">
    <w:abstractNumId w:val="3"/>
  </w:num>
  <w:num w:numId="5">
    <w:abstractNumId w:val="6"/>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footnotePr>
    <w:numRestart w:val="eachPage"/>
    <w:footnote w:id="92"/>
    <w:footnote w:id="93"/>
  </w:foot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zMyNzdiNDgwYTFmZTJjYTY1YzAxN2ZjZmUzMWUwNWUifQ=="/>
  </w:docVars>
  <w:rsids>
    <w:rsidRoot w:val="424C460F"/>
    <w:rsid w:val="00000C1E"/>
    <w:rsid w:val="00003683"/>
    <w:rsid w:val="0000533D"/>
    <w:rsid w:val="000123E7"/>
    <w:rsid w:val="000132CE"/>
    <w:rsid w:val="00015EFF"/>
    <w:rsid w:val="00025E9C"/>
    <w:rsid w:val="00026FC5"/>
    <w:rsid w:val="000319B6"/>
    <w:rsid w:val="0003297C"/>
    <w:rsid w:val="000355B4"/>
    <w:rsid w:val="0004611C"/>
    <w:rsid w:val="0004788A"/>
    <w:rsid w:val="0005078B"/>
    <w:rsid w:val="0005244D"/>
    <w:rsid w:val="000533D1"/>
    <w:rsid w:val="00054F12"/>
    <w:rsid w:val="00055A59"/>
    <w:rsid w:val="00066557"/>
    <w:rsid w:val="00070988"/>
    <w:rsid w:val="000709EF"/>
    <w:rsid w:val="000834CB"/>
    <w:rsid w:val="000875EB"/>
    <w:rsid w:val="00090880"/>
    <w:rsid w:val="00090BC5"/>
    <w:rsid w:val="000A1E25"/>
    <w:rsid w:val="000A40F2"/>
    <w:rsid w:val="000A7CA8"/>
    <w:rsid w:val="000B1734"/>
    <w:rsid w:val="000C09F7"/>
    <w:rsid w:val="000C40D6"/>
    <w:rsid w:val="000D6020"/>
    <w:rsid w:val="000D7447"/>
    <w:rsid w:val="000E2F5B"/>
    <w:rsid w:val="000E3117"/>
    <w:rsid w:val="000E4568"/>
    <w:rsid w:val="000E567C"/>
    <w:rsid w:val="000E5DFD"/>
    <w:rsid w:val="000F277F"/>
    <w:rsid w:val="00110483"/>
    <w:rsid w:val="00115805"/>
    <w:rsid w:val="001240A6"/>
    <w:rsid w:val="0012693C"/>
    <w:rsid w:val="001269DF"/>
    <w:rsid w:val="0014162E"/>
    <w:rsid w:val="001419CD"/>
    <w:rsid w:val="001426F8"/>
    <w:rsid w:val="00152405"/>
    <w:rsid w:val="00154403"/>
    <w:rsid w:val="00165481"/>
    <w:rsid w:val="0016599C"/>
    <w:rsid w:val="00172B09"/>
    <w:rsid w:val="00176B17"/>
    <w:rsid w:val="00180319"/>
    <w:rsid w:val="0018155A"/>
    <w:rsid w:val="00182052"/>
    <w:rsid w:val="00185322"/>
    <w:rsid w:val="00187025"/>
    <w:rsid w:val="00193A7A"/>
    <w:rsid w:val="00197E59"/>
    <w:rsid w:val="001A0D04"/>
    <w:rsid w:val="001A2694"/>
    <w:rsid w:val="001A39AB"/>
    <w:rsid w:val="001A722A"/>
    <w:rsid w:val="001B0C0F"/>
    <w:rsid w:val="001B1271"/>
    <w:rsid w:val="001B1A49"/>
    <w:rsid w:val="001B2C50"/>
    <w:rsid w:val="001B6025"/>
    <w:rsid w:val="001C07CA"/>
    <w:rsid w:val="001C167D"/>
    <w:rsid w:val="001C2542"/>
    <w:rsid w:val="001C7995"/>
    <w:rsid w:val="001E605C"/>
    <w:rsid w:val="001F5A1A"/>
    <w:rsid w:val="0020258E"/>
    <w:rsid w:val="00206FED"/>
    <w:rsid w:val="00211420"/>
    <w:rsid w:val="00212B3B"/>
    <w:rsid w:val="00212E7D"/>
    <w:rsid w:val="00214BA4"/>
    <w:rsid w:val="00225647"/>
    <w:rsid w:val="00226C34"/>
    <w:rsid w:val="00237ABA"/>
    <w:rsid w:val="00240E08"/>
    <w:rsid w:val="00241515"/>
    <w:rsid w:val="002418CB"/>
    <w:rsid w:val="00244EE6"/>
    <w:rsid w:val="00250D23"/>
    <w:rsid w:val="00257105"/>
    <w:rsid w:val="00257336"/>
    <w:rsid w:val="002661D7"/>
    <w:rsid w:val="00271D52"/>
    <w:rsid w:val="00295977"/>
    <w:rsid w:val="00295DBE"/>
    <w:rsid w:val="002A4A46"/>
    <w:rsid w:val="002B2192"/>
    <w:rsid w:val="002B30C8"/>
    <w:rsid w:val="002B34BB"/>
    <w:rsid w:val="002B3C09"/>
    <w:rsid w:val="002B4EFA"/>
    <w:rsid w:val="002B66CA"/>
    <w:rsid w:val="002C09EC"/>
    <w:rsid w:val="002C1549"/>
    <w:rsid w:val="002C1F71"/>
    <w:rsid w:val="002D1A7F"/>
    <w:rsid w:val="002D6BAD"/>
    <w:rsid w:val="002D7103"/>
    <w:rsid w:val="002D7F7E"/>
    <w:rsid w:val="002E02C1"/>
    <w:rsid w:val="002E28E0"/>
    <w:rsid w:val="002E549C"/>
    <w:rsid w:val="002E6284"/>
    <w:rsid w:val="002E76A4"/>
    <w:rsid w:val="002F1A3B"/>
    <w:rsid w:val="002F4F61"/>
    <w:rsid w:val="002F61C3"/>
    <w:rsid w:val="002F75C4"/>
    <w:rsid w:val="00300343"/>
    <w:rsid w:val="00301739"/>
    <w:rsid w:val="003025AB"/>
    <w:rsid w:val="0031089A"/>
    <w:rsid w:val="00312B2F"/>
    <w:rsid w:val="00312C36"/>
    <w:rsid w:val="0031508D"/>
    <w:rsid w:val="0031603A"/>
    <w:rsid w:val="003204E9"/>
    <w:rsid w:val="003301EB"/>
    <w:rsid w:val="003303A4"/>
    <w:rsid w:val="0033116F"/>
    <w:rsid w:val="00331EB3"/>
    <w:rsid w:val="00334872"/>
    <w:rsid w:val="00335307"/>
    <w:rsid w:val="00335A20"/>
    <w:rsid w:val="003531BD"/>
    <w:rsid w:val="0035347E"/>
    <w:rsid w:val="00356E45"/>
    <w:rsid w:val="003628A1"/>
    <w:rsid w:val="003655DD"/>
    <w:rsid w:val="00371EE8"/>
    <w:rsid w:val="00372F18"/>
    <w:rsid w:val="0037351F"/>
    <w:rsid w:val="003835C6"/>
    <w:rsid w:val="00384C78"/>
    <w:rsid w:val="0038733E"/>
    <w:rsid w:val="00390527"/>
    <w:rsid w:val="00391970"/>
    <w:rsid w:val="00394018"/>
    <w:rsid w:val="003A17A1"/>
    <w:rsid w:val="003A3573"/>
    <w:rsid w:val="003A384B"/>
    <w:rsid w:val="003A5B79"/>
    <w:rsid w:val="003A7BAC"/>
    <w:rsid w:val="003B0909"/>
    <w:rsid w:val="003C0768"/>
    <w:rsid w:val="003C494C"/>
    <w:rsid w:val="003C566D"/>
    <w:rsid w:val="003C66C7"/>
    <w:rsid w:val="003D04D8"/>
    <w:rsid w:val="003E3B2A"/>
    <w:rsid w:val="003F12DE"/>
    <w:rsid w:val="003F7E66"/>
    <w:rsid w:val="004108D2"/>
    <w:rsid w:val="00410BC1"/>
    <w:rsid w:val="0041410C"/>
    <w:rsid w:val="00414319"/>
    <w:rsid w:val="004178EC"/>
    <w:rsid w:val="00435B68"/>
    <w:rsid w:val="004407F4"/>
    <w:rsid w:val="00451D79"/>
    <w:rsid w:val="00454D61"/>
    <w:rsid w:val="0045682F"/>
    <w:rsid w:val="004602E1"/>
    <w:rsid w:val="004637E8"/>
    <w:rsid w:val="00463DF4"/>
    <w:rsid w:val="00465879"/>
    <w:rsid w:val="00467E61"/>
    <w:rsid w:val="00480499"/>
    <w:rsid w:val="00481B0F"/>
    <w:rsid w:val="00485039"/>
    <w:rsid w:val="00493AA5"/>
    <w:rsid w:val="004A5DFF"/>
    <w:rsid w:val="004A7D0E"/>
    <w:rsid w:val="004B662F"/>
    <w:rsid w:val="004D0E6C"/>
    <w:rsid w:val="004E3970"/>
    <w:rsid w:val="004E409A"/>
    <w:rsid w:val="004F041C"/>
    <w:rsid w:val="0050125A"/>
    <w:rsid w:val="00503364"/>
    <w:rsid w:val="00506082"/>
    <w:rsid w:val="005141A1"/>
    <w:rsid w:val="00514E48"/>
    <w:rsid w:val="00520066"/>
    <w:rsid w:val="005216D4"/>
    <w:rsid w:val="00524165"/>
    <w:rsid w:val="00533A3F"/>
    <w:rsid w:val="005341FA"/>
    <w:rsid w:val="00534426"/>
    <w:rsid w:val="005407CA"/>
    <w:rsid w:val="00543E1B"/>
    <w:rsid w:val="0055043D"/>
    <w:rsid w:val="00565411"/>
    <w:rsid w:val="00565D3C"/>
    <w:rsid w:val="005721E7"/>
    <w:rsid w:val="00573371"/>
    <w:rsid w:val="00573F89"/>
    <w:rsid w:val="00576F7E"/>
    <w:rsid w:val="00581A75"/>
    <w:rsid w:val="00584E32"/>
    <w:rsid w:val="00586B24"/>
    <w:rsid w:val="005908F7"/>
    <w:rsid w:val="005A68AD"/>
    <w:rsid w:val="005B076C"/>
    <w:rsid w:val="005B6898"/>
    <w:rsid w:val="005C5449"/>
    <w:rsid w:val="005D17EE"/>
    <w:rsid w:val="005D3F66"/>
    <w:rsid w:val="005D5FDB"/>
    <w:rsid w:val="005D684A"/>
    <w:rsid w:val="005E0F54"/>
    <w:rsid w:val="005E500C"/>
    <w:rsid w:val="005F152F"/>
    <w:rsid w:val="005F4FFC"/>
    <w:rsid w:val="0060373F"/>
    <w:rsid w:val="00604EDC"/>
    <w:rsid w:val="0061161D"/>
    <w:rsid w:val="0061207E"/>
    <w:rsid w:val="00623639"/>
    <w:rsid w:val="00623CF8"/>
    <w:rsid w:val="006378BF"/>
    <w:rsid w:val="006409C3"/>
    <w:rsid w:val="006411F6"/>
    <w:rsid w:val="006417C9"/>
    <w:rsid w:val="00641EBA"/>
    <w:rsid w:val="00645EE9"/>
    <w:rsid w:val="0065449C"/>
    <w:rsid w:val="006606F0"/>
    <w:rsid w:val="00664709"/>
    <w:rsid w:val="00665949"/>
    <w:rsid w:val="0067022E"/>
    <w:rsid w:val="00670E0E"/>
    <w:rsid w:val="006733F8"/>
    <w:rsid w:val="00675EE4"/>
    <w:rsid w:val="00676DEF"/>
    <w:rsid w:val="00680579"/>
    <w:rsid w:val="00682771"/>
    <w:rsid w:val="00683BD3"/>
    <w:rsid w:val="006A031E"/>
    <w:rsid w:val="006A1616"/>
    <w:rsid w:val="006A46D2"/>
    <w:rsid w:val="006B2008"/>
    <w:rsid w:val="006B260F"/>
    <w:rsid w:val="006B44BB"/>
    <w:rsid w:val="006B4A2F"/>
    <w:rsid w:val="006B4D17"/>
    <w:rsid w:val="006B76CB"/>
    <w:rsid w:val="006D60AD"/>
    <w:rsid w:val="006E5BBB"/>
    <w:rsid w:val="00703F5D"/>
    <w:rsid w:val="00705325"/>
    <w:rsid w:val="00710167"/>
    <w:rsid w:val="00715EB2"/>
    <w:rsid w:val="0072487E"/>
    <w:rsid w:val="00725200"/>
    <w:rsid w:val="007314FB"/>
    <w:rsid w:val="00732B89"/>
    <w:rsid w:val="00736C18"/>
    <w:rsid w:val="00740B97"/>
    <w:rsid w:val="00741096"/>
    <w:rsid w:val="0074111C"/>
    <w:rsid w:val="007522FE"/>
    <w:rsid w:val="00752748"/>
    <w:rsid w:val="007542EC"/>
    <w:rsid w:val="007542F6"/>
    <w:rsid w:val="00757C36"/>
    <w:rsid w:val="00767076"/>
    <w:rsid w:val="00771CCB"/>
    <w:rsid w:val="00773DBF"/>
    <w:rsid w:val="00775E98"/>
    <w:rsid w:val="00783AF5"/>
    <w:rsid w:val="00784769"/>
    <w:rsid w:val="007A4B47"/>
    <w:rsid w:val="007A4DC6"/>
    <w:rsid w:val="007A5FE6"/>
    <w:rsid w:val="007B0F67"/>
    <w:rsid w:val="007B2219"/>
    <w:rsid w:val="007C5226"/>
    <w:rsid w:val="007C6383"/>
    <w:rsid w:val="007D0931"/>
    <w:rsid w:val="007D133D"/>
    <w:rsid w:val="007D365A"/>
    <w:rsid w:val="007D4A6B"/>
    <w:rsid w:val="007D67EE"/>
    <w:rsid w:val="007E3594"/>
    <w:rsid w:val="007E3DCC"/>
    <w:rsid w:val="007E4A81"/>
    <w:rsid w:val="007E7476"/>
    <w:rsid w:val="007F3E0F"/>
    <w:rsid w:val="007F790A"/>
    <w:rsid w:val="00800255"/>
    <w:rsid w:val="008009EC"/>
    <w:rsid w:val="0080136C"/>
    <w:rsid w:val="008112AC"/>
    <w:rsid w:val="0081140A"/>
    <w:rsid w:val="00812B8D"/>
    <w:rsid w:val="00816EE7"/>
    <w:rsid w:val="00827717"/>
    <w:rsid w:val="008379B0"/>
    <w:rsid w:val="00840413"/>
    <w:rsid w:val="00846F89"/>
    <w:rsid w:val="00847341"/>
    <w:rsid w:val="0085116C"/>
    <w:rsid w:val="00855327"/>
    <w:rsid w:val="00855F83"/>
    <w:rsid w:val="008602C7"/>
    <w:rsid w:val="00861F34"/>
    <w:rsid w:val="0086241B"/>
    <w:rsid w:val="0086351A"/>
    <w:rsid w:val="00863F4B"/>
    <w:rsid w:val="00881290"/>
    <w:rsid w:val="00882751"/>
    <w:rsid w:val="00887309"/>
    <w:rsid w:val="00893BB0"/>
    <w:rsid w:val="008A0C34"/>
    <w:rsid w:val="008A59E5"/>
    <w:rsid w:val="008A64FB"/>
    <w:rsid w:val="008B55AE"/>
    <w:rsid w:val="008B62AB"/>
    <w:rsid w:val="008B6375"/>
    <w:rsid w:val="008D0C1D"/>
    <w:rsid w:val="008D4CC3"/>
    <w:rsid w:val="008D5E53"/>
    <w:rsid w:val="008E148E"/>
    <w:rsid w:val="008E3832"/>
    <w:rsid w:val="008E560A"/>
    <w:rsid w:val="008F011B"/>
    <w:rsid w:val="008F2F6D"/>
    <w:rsid w:val="008F458B"/>
    <w:rsid w:val="008F4A89"/>
    <w:rsid w:val="008F7245"/>
    <w:rsid w:val="00901934"/>
    <w:rsid w:val="009020C3"/>
    <w:rsid w:val="00906C23"/>
    <w:rsid w:val="00916FBA"/>
    <w:rsid w:val="00920635"/>
    <w:rsid w:val="00921FAB"/>
    <w:rsid w:val="00922F25"/>
    <w:rsid w:val="009351BE"/>
    <w:rsid w:val="009374DC"/>
    <w:rsid w:val="0094467B"/>
    <w:rsid w:val="009455CE"/>
    <w:rsid w:val="00950413"/>
    <w:rsid w:val="009530A1"/>
    <w:rsid w:val="009543DF"/>
    <w:rsid w:val="0095571D"/>
    <w:rsid w:val="00960E4C"/>
    <w:rsid w:val="00961951"/>
    <w:rsid w:val="009726BF"/>
    <w:rsid w:val="00974F09"/>
    <w:rsid w:val="00977209"/>
    <w:rsid w:val="009910C2"/>
    <w:rsid w:val="00992BC9"/>
    <w:rsid w:val="00994DDC"/>
    <w:rsid w:val="009A0A75"/>
    <w:rsid w:val="009A10F1"/>
    <w:rsid w:val="009A5413"/>
    <w:rsid w:val="009A66FA"/>
    <w:rsid w:val="009B3DF4"/>
    <w:rsid w:val="009B4110"/>
    <w:rsid w:val="009C5E49"/>
    <w:rsid w:val="009D0749"/>
    <w:rsid w:val="009D116C"/>
    <w:rsid w:val="009D3EF5"/>
    <w:rsid w:val="009E534F"/>
    <w:rsid w:val="00A116C9"/>
    <w:rsid w:val="00A11D7A"/>
    <w:rsid w:val="00A313D2"/>
    <w:rsid w:val="00A34E33"/>
    <w:rsid w:val="00A45794"/>
    <w:rsid w:val="00A53E46"/>
    <w:rsid w:val="00A60DAE"/>
    <w:rsid w:val="00A61727"/>
    <w:rsid w:val="00A635D3"/>
    <w:rsid w:val="00A65891"/>
    <w:rsid w:val="00A66CD8"/>
    <w:rsid w:val="00A678C4"/>
    <w:rsid w:val="00A70F5E"/>
    <w:rsid w:val="00A71792"/>
    <w:rsid w:val="00A761C0"/>
    <w:rsid w:val="00A80634"/>
    <w:rsid w:val="00A85282"/>
    <w:rsid w:val="00A90911"/>
    <w:rsid w:val="00A93FD4"/>
    <w:rsid w:val="00A95904"/>
    <w:rsid w:val="00A966F1"/>
    <w:rsid w:val="00A9695F"/>
    <w:rsid w:val="00AA0FDE"/>
    <w:rsid w:val="00AA649B"/>
    <w:rsid w:val="00AA78B8"/>
    <w:rsid w:val="00AB09E1"/>
    <w:rsid w:val="00AB5F5F"/>
    <w:rsid w:val="00AB781C"/>
    <w:rsid w:val="00AC0875"/>
    <w:rsid w:val="00AC2F4B"/>
    <w:rsid w:val="00AD4CD3"/>
    <w:rsid w:val="00AD4D70"/>
    <w:rsid w:val="00AE3D1C"/>
    <w:rsid w:val="00AE4F0E"/>
    <w:rsid w:val="00AF0601"/>
    <w:rsid w:val="00AF3FD1"/>
    <w:rsid w:val="00AF7213"/>
    <w:rsid w:val="00B02E0A"/>
    <w:rsid w:val="00B10B37"/>
    <w:rsid w:val="00B25B1D"/>
    <w:rsid w:val="00B26C8C"/>
    <w:rsid w:val="00B32F29"/>
    <w:rsid w:val="00B3371C"/>
    <w:rsid w:val="00B368AC"/>
    <w:rsid w:val="00B3747D"/>
    <w:rsid w:val="00B523C0"/>
    <w:rsid w:val="00B534C4"/>
    <w:rsid w:val="00B5461A"/>
    <w:rsid w:val="00B6249A"/>
    <w:rsid w:val="00B65B0E"/>
    <w:rsid w:val="00B67B51"/>
    <w:rsid w:val="00B67EA8"/>
    <w:rsid w:val="00B7471C"/>
    <w:rsid w:val="00B80B0B"/>
    <w:rsid w:val="00B81403"/>
    <w:rsid w:val="00B81C27"/>
    <w:rsid w:val="00B846C8"/>
    <w:rsid w:val="00B90B54"/>
    <w:rsid w:val="00B96B04"/>
    <w:rsid w:val="00B975DD"/>
    <w:rsid w:val="00BA2A9D"/>
    <w:rsid w:val="00BA72C6"/>
    <w:rsid w:val="00BB1941"/>
    <w:rsid w:val="00BB5E30"/>
    <w:rsid w:val="00BB66CA"/>
    <w:rsid w:val="00BC2831"/>
    <w:rsid w:val="00BC2CA4"/>
    <w:rsid w:val="00BC59AE"/>
    <w:rsid w:val="00BC6049"/>
    <w:rsid w:val="00BC7165"/>
    <w:rsid w:val="00BD304C"/>
    <w:rsid w:val="00BD385C"/>
    <w:rsid w:val="00BD5696"/>
    <w:rsid w:val="00BD57AF"/>
    <w:rsid w:val="00BD6B85"/>
    <w:rsid w:val="00BE6D56"/>
    <w:rsid w:val="00BE70A1"/>
    <w:rsid w:val="00BF191E"/>
    <w:rsid w:val="00BF6535"/>
    <w:rsid w:val="00C00ABE"/>
    <w:rsid w:val="00C07972"/>
    <w:rsid w:val="00C114EB"/>
    <w:rsid w:val="00C12022"/>
    <w:rsid w:val="00C21AFE"/>
    <w:rsid w:val="00C23587"/>
    <w:rsid w:val="00C241B8"/>
    <w:rsid w:val="00C361F9"/>
    <w:rsid w:val="00C36827"/>
    <w:rsid w:val="00C37AC8"/>
    <w:rsid w:val="00C429E4"/>
    <w:rsid w:val="00C43CDD"/>
    <w:rsid w:val="00C517C9"/>
    <w:rsid w:val="00C53BD6"/>
    <w:rsid w:val="00C5668A"/>
    <w:rsid w:val="00C63A66"/>
    <w:rsid w:val="00C662EF"/>
    <w:rsid w:val="00C70BAF"/>
    <w:rsid w:val="00C809A6"/>
    <w:rsid w:val="00C91D66"/>
    <w:rsid w:val="00C92226"/>
    <w:rsid w:val="00C92D8B"/>
    <w:rsid w:val="00CA1124"/>
    <w:rsid w:val="00CA486F"/>
    <w:rsid w:val="00CA5814"/>
    <w:rsid w:val="00CB6286"/>
    <w:rsid w:val="00CC657D"/>
    <w:rsid w:val="00CD0996"/>
    <w:rsid w:val="00CD1B2A"/>
    <w:rsid w:val="00CD1D79"/>
    <w:rsid w:val="00CD7FAF"/>
    <w:rsid w:val="00CE0BC6"/>
    <w:rsid w:val="00CE1085"/>
    <w:rsid w:val="00CE175C"/>
    <w:rsid w:val="00CF532D"/>
    <w:rsid w:val="00D0128F"/>
    <w:rsid w:val="00D023B1"/>
    <w:rsid w:val="00D05830"/>
    <w:rsid w:val="00D13291"/>
    <w:rsid w:val="00D162DE"/>
    <w:rsid w:val="00D2023A"/>
    <w:rsid w:val="00D371B4"/>
    <w:rsid w:val="00D40AF1"/>
    <w:rsid w:val="00D40D9D"/>
    <w:rsid w:val="00D46E5F"/>
    <w:rsid w:val="00D47C50"/>
    <w:rsid w:val="00D70DA0"/>
    <w:rsid w:val="00D720E7"/>
    <w:rsid w:val="00D7330A"/>
    <w:rsid w:val="00D76EF4"/>
    <w:rsid w:val="00D81B3E"/>
    <w:rsid w:val="00D82525"/>
    <w:rsid w:val="00D83A16"/>
    <w:rsid w:val="00D8417B"/>
    <w:rsid w:val="00D85D95"/>
    <w:rsid w:val="00D9264D"/>
    <w:rsid w:val="00D936ED"/>
    <w:rsid w:val="00DA173E"/>
    <w:rsid w:val="00DA24C9"/>
    <w:rsid w:val="00DB05DC"/>
    <w:rsid w:val="00DB36C6"/>
    <w:rsid w:val="00DB4D69"/>
    <w:rsid w:val="00DB7117"/>
    <w:rsid w:val="00DB7AF6"/>
    <w:rsid w:val="00DC093C"/>
    <w:rsid w:val="00DC4B55"/>
    <w:rsid w:val="00DC52F9"/>
    <w:rsid w:val="00DD04B2"/>
    <w:rsid w:val="00DD16E9"/>
    <w:rsid w:val="00DE0FCA"/>
    <w:rsid w:val="00DF02AB"/>
    <w:rsid w:val="00DF0823"/>
    <w:rsid w:val="00DF23A6"/>
    <w:rsid w:val="00DF67A2"/>
    <w:rsid w:val="00E046D3"/>
    <w:rsid w:val="00E14121"/>
    <w:rsid w:val="00E14665"/>
    <w:rsid w:val="00E155A6"/>
    <w:rsid w:val="00E217FE"/>
    <w:rsid w:val="00E21D5C"/>
    <w:rsid w:val="00E22C26"/>
    <w:rsid w:val="00E22F3B"/>
    <w:rsid w:val="00E2507C"/>
    <w:rsid w:val="00E258A2"/>
    <w:rsid w:val="00E25E08"/>
    <w:rsid w:val="00E31429"/>
    <w:rsid w:val="00E35562"/>
    <w:rsid w:val="00E36619"/>
    <w:rsid w:val="00E4540A"/>
    <w:rsid w:val="00E47052"/>
    <w:rsid w:val="00E47FED"/>
    <w:rsid w:val="00E525AA"/>
    <w:rsid w:val="00E5672C"/>
    <w:rsid w:val="00E56ABE"/>
    <w:rsid w:val="00E62ED0"/>
    <w:rsid w:val="00E64DDE"/>
    <w:rsid w:val="00E64FB8"/>
    <w:rsid w:val="00E82054"/>
    <w:rsid w:val="00E8230E"/>
    <w:rsid w:val="00E86359"/>
    <w:rsid w:val="00E97EEA"/>
    <w:rsid w:val="00EA342A"/>
    <w:rsid w:val="00EB2E9F"/>
    <w:rsid w:val="00EB7420"/>
    <w:rsid w:val="00EC0D85"/>
    <w:rsid w:val="00EC202F"/>
    <w:rsid w:val="00EC4A15"/>
    <w:rsid w:val="00EC5234"/>
    <w:rsid w:val="00EC584F"/>
    <w:rsid w:val="00ED0244"/>
    <w:rsid w:val="00ED416F"/>
    <w:rsid w:val="00EE31DE"/>
    <w:rsid w:val="00EE3215"/>
    <w:rsid w:val="00EE3C17"/>
    <w:rsid w:val="00EE5050"/>
    <w:rsid w:val="00F0043F"/>
    <w:rsid w:val="00F01811"/>
    <w:rsid w:val="00F05A35"/>
    <w:rsid w:val="00F06400"/>
    <w:rsid w:val="00F06757"/>
    <w:rsid w:val="00F110CA"/>
    <w:rsid w:val="00F1322E"/>
    <w:rsid w:val="00F1327A"/>
    <w:rsid w:val="00F2119B"/>
    <w:rsid w:val="00F30F21"/>
    <w:rsid w:val="00F41439"/>
    <w:rsid w:val="00F468B9"/>
    <w:rsid w:val="00F5018F"/>
    <w:rsid w:val="00F56B8D"/>
    <w:rsid w:val="00F56BE0"/>
    <w:rsid w:val="00F56D16"/>
    <w:rsid w:val="00F61252"/>
    <w:rsid w:val="00F61944"/>
    <w:rsid w:val="00F62EE6"/>
    <w:rsid w:val="00F656D8"/>
    <w:rsid w:val="00F752A3"/>
    <w:rsid w:val="00F76269"/>
    <w:rsid w:val="00F77D87"/>
    <w:rsid w:val="00F81DA4"/>
    <w:rsid w:val="00F8471E"/>
    <w:rsid w:val="00F8561C"/>
    <w:rsid w:val="00F870E5"/>
    <w:rsid w:val="00F93921"/>
    <w:rsid w:val="00F93D5B"/>
    <w:rsid w:val="00F94C7D"/>
    <w:rsid w:val="00F964E8"/>
    <w:rsid w:val="00FA22AD"/>
    <w:rsid w:val="00FA2685"/>
    <w:rsid w:val="00FA5E2E"/>
    <w:rsid w:val="00FA6593"/>
    <w:rsid w:val="00FA6D70"/>
    <w:rsid w:val="00FB0D99"/>
    <w:rsid w:val="00FB11E6"/>
    <w:rsid w:val="00FB39A1"/>
    <w:rsid w:val="00FB3F4A"/>
    <w:rsid w:val="00FB7337"/>
    <w:rsid w:val="00FC05A2"/>
    <w:rsid w:val="00FC200D"/>
    <w:rsid w:val="00FC2760"/>
    <w:rsid w:val="00FC29A0"/>
    <w:rsid w:val="00FC2CB6"/>
    <w:rsid w:val="00FC39BC"/>
    <w:rsid w:val="00FC4A4F"/>
    <w:rsid w:val="00FD0AF8"/>
    <w:rsid w:val="00FD351A"/>
    <w:rsid w:val="00FD436A"/>
    <w:rsid w:val="00FD4712"/>
    <w:rsid w:val="00FD6B34"/>
    <w:rsid w:val="00FE0A8D"/>
    <w:rsid w:val="00FE6B9F"/>
    <w:rsid w:val="00FF2F31"/>
    <w:rsid w:val="00FF3A7A"/>
    <w:rsid w:val="02286971"/>
    <w:rsid w:val="03271E79"/>
    <w:rsid w:val="05932DFF"/>
    <w:rsid w:val="05D52713"/>
    <w:rsid w:val="0846485B"/>
    <w:rsid w:val="0A3A06EA"/>
    <w:rsid w:val="0E536835"/>
    <w:rsid w:val="13A9398F"/>
    <w:rsid w:val="17771C3C"/>
    <w:rsid w:val="18DA24C0"/>
    <w:rsid w:val="1B2D4D1E"/>
    <w:rsid w:val="1F9F097F"/>
    <w:rsid w:val="207B0B93"/>
    <w:rsid w:val="23FA15AF"/>
    <w:rsid w:val="2D0876BA"/>
    <w:rsid w:val="2D1874F4"/>
    <w:rsid w:val="2E242140"/>
    <w:rsid w:val="357C0CF9"/>
    <w:rsid w:val="35CB56AC"/>
    <w:rsid w:val="37495796"/>
    <w:rsid w:val="3AEC0CC3"/>
    <w:rsid w:val="3C3D4678"/>
    <w:rsid w:val="3EAF4EBB"/>
    <w:rsid w:val="3F036DAD"/>
    <w:rsid w:val="409A2DE8"/>
    <w:rsid w:val="41AD5C93"/>
    <w:rsid w:val="41F23FC5"/>
    <w:rsid w:val="424C460F"/>
    <w:rsid w:val="496300EC"/>
    <w:rsid w:val="4BC7345B"/>
    <w:rsid w:val="510D03B2"/>
    <w:rsid w:val="5DB753F4"/>
    <w:rsid w:val="62BF00A6"/>
    <w:rsid w:val="636B7A4F"/>
    <w:rsid w:val="63E401F2"/>
    <w:rsid w:val="6809044B"/>
    <w:rsid w:val="696272B8"/>
    <w:rsid w:val="71DF61F5"/>
    <w:rsid w:val="72480478"/>
    <w:rsid w:val="75C2797E"/>
    <w:rsid w:val="7B42376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5"/>
    <w:qFormat/>
    <w:uiPriority w:val="0"/>
    <w:pPr>
      <w:pageBreakBefore/>
      <w:adjustRightInd w:val="0"/>
      <w:snapToGrid w:val="0"/>
      <w:spacing w:line="360" w:lineRule="auto"/>
      <w:jc w:val="center"/>
      <w:outlineLvl w:val="0"/>
    </w:pPr>
    <w:rPr>
      <w:rFonts w:ascii="Calibri" w:hAnsi="Calibri" w:eastAsia="方正小标宋_GBK" w:cs="Times New Roman"/>
      <w:sz w:val="32"/>
      <w:szCs w:val="32"/>
    </w:rPr>
  </w:style>
  <w:style w:type="paragraph" w:styleId="3">
    <w:name w:val="heading 2"/>
    <w:basedOn w:val="1"/>
    <w:next w:val="1"/>
    <w:link w:val="26"/>
    <w:qFormat/>
    <w:uiPriority w:val="9"/>
    <w:pPr>
      <w:keepNext/>
      <w:keepLines/>
      <w:spacing w:line="600" w:lineRule="exact"/>
      <w:ind w:firstLine="640" w:firstLineChars="200"/>
      <w:outlineLvl w:val="1"/>
    </w:pPr>
    <w:rPr>
      <w:rFonts w:ascii="Calibri" w:hAnsi="Calibri" w:eastAsia="黑体" w:cs="Times New Roman"/>
      <w:bCs/>
      <w:sz w:val="32"/>
      <w:szCs w:val="32"/>
    </w:rPr>
  </w:style>
  <w:style w:type="paragraph" w:styleId="4">
    <w:name w:val="heading 3"/>
    <w:basedOn w:val="1"/>
    <w:next w:val="1"/>
    <w:link w:val="27"/>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30"/>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8">
    <w:name w:val="Default Paragraph Font"/>
    <w:semiHidden/>
    <w:unhideWhenUsed/>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34"/>
    <w:qFormat/>
    <w:uiPriority w:val="0"/>
    <w:pPr>
      <w:jc w:val="left"/>
    </w:pPr>
  </w:style>
  <w:style w:type="paragraph" w:styleId="7">
    <w:name w:val="toc 3"/>
    <w:basedOn w:val="1"/>
    <w:next w:val="1"/>
    <w:qFormat/>
    <w:uiPriority w:val="39"/>
    <w:pPr>
      <w:ind w:left="840" w:leftChars="400"/>
    </w:pPr>
  </w:style>
  <w:style w:type="paragraph" w:styleId="8">
    <w:name w:val="endnote text"/>
    <w:basedOn w:val="1"/>
    <w:link w:val="39"/>
    <w:qFormat/>
    <w:uiPriority w:val="0"/>
    <w:pPr>
      <w:snapToGrid w:val="0"/>
      <w:jc w:val="left"/>
    </w:pPr>
  </w:style>
  <w:style w:type="paragraph" w:styleId="9">
    <w:name w:val="Balloon Text"/>
    <w:basedOn w:val="1"/>
    <w:link w:val="37"/>
    <w:qFormat/>
    <w:uiPriority w:val="0"/>
    <w:rPr>
      <w:sz w:val="18"/>
      <w:szCs w:val="18"/>
    </w:rPr>
  </w:style>
  <w:style w:type="paragraph" w:styleId="10">
    <w:name w:val="footer"/>
    <w:basedOn w:val="1"/>
    <w:link w:val="24"/>
    <w:qFormat/>
    <w:uiPriority w:val="99"/>
    <w:pPr>
      <w:tabs>
        <w:tab w:val="center" w:pos="4153"/>
        <w:tab w:val="right" w:pos="8306"/>
      </w:tabs>
      <w:snapToGrid w:val="0"/>
      <w:jc w:val="left"/>
    </w:pPr>
    <w:rPr>
      <w:sz w:val="18"/>
      <w:szCs w:val="18"/>
    </w:rPr>
  </w:style>
  <w:style w:type="paragraph" w:styleId="11">
    <w:name w:val="header"/>
    <w:basedOn w:val="1"/>
    <w:link w:val="23"/>
    <w:qFormat/>
    <w:uiPriority w:val="0"/>
    <w:pPr>
      <w:tabs>
        <w:tab w:val="center" w:pos="4153"/>
        <w:tab w:val="right" w:pos="8306"/>
      </w:tabs>
      <w:snapToGrid w:val="0"/>
      <w:jc w:val="center"/>
    </w:pPr>
    <w:rPr>
      <w:sz w:val="18"/>
      <w:szCs w:val="18"/>
    </w:rPr>
  </w:style>
  <w:style w:type="paragraph" w:styleId="12">
    <w:name w:val="toc 1"/>
    <w:basedOn w:val="1"/>
    <w:next w:val="1"/>
    <w:qFormat/>
    <w:uiPriority w:val="39"/>
    <w:pPr>
      <w:tabs>
        <w:tab w:val="right" w:leader="dot" w:pos="8296"/>
      </w:tabs>
    </w:pPr>
    <w:rPr>
      <w:rFonts w:eastAsia="黑体"/>
      <w:b/>
      <w:sz w:val="32"/>
    </w:rPr>
  </w:style>
  <w:style w:type="paragraph" w:styleId="13">
    <w:name w:val="footnote text"/>
    <w:basedOn w:val="1"/>
    <w:link w:val="32"/>
    <w:unhideWhenUsed/>
    <w:qFormat/>
    <w:uiPriority w:val="0"/>
    <w:pPr>
      <w:snapToGrid w:val="0"/>
      <w:jc w:val="left"/>
    </w:pPr>
    <w:rPr>
      <w:sz w:val="18"/>
      <w:szCs w:val="18"/>
    </w:rPr>
  </w:style>
  <w:style w:type="paragraph" w:styleId="14">
    <w:name w:val="toc 2"/>
    <w:basedOn w:val="1"/>
    <w:next w:val="1"/>
    <w:qFormat/>
    <w:uiPriority w:val="39"/>
    <w:pPr>
      <w:tabs>
        <w:tab w:val="right" w:leader="dot" w:pos="8296"/>
      </w:tabs>
      <w:ind w:left="420" w:leftChars="200"/>
    </w:pPr>
    <w:rPr>
      <w:rFonts w:eastAsia="楷体"/>
      <w:sz w:val="28"/>
    </w:rPr>
  </w:style>
  <w:style w:type="paragraph" w:styleId="15">
    <w:name w:val="annotation subject"/>
    <w:basedOn w:val="6"/>
    <w:next w:val="6"/>
    <w:link w:val="35"/>
    <w:qFormat/>
    <w:uiPriority w:val="0"/>
    <w:rPr>
      <w:b/>
      <w:bCs/>
    </w:rPr>
  </w:style>
  <w:style w:type="table" w:styleId="17">
    <w:name w:val="Table Grid"/>
    <w:basedOn w:val="1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endnote reference"/>
    <w:basedOn w:val="18"/>
    <w:qFormat/>
    <w:uiPriority w:val="0"/>
    <w:rPr>
      <w:vertAlign w:val="superscript"/>
    </w:rPr>
  </w:style>
  <w:style w:type="character" w:styleId="20">
    <w:name w:val="Hyperlink"/>
    <w:basedOn w:val="18"/>
    <w:unhideWhenUsed/>
    <w:qFormat/>
    <w:uiPriority w:val="99"/>
    <w:rPr>
      <w:color w:val="0563C1" w:themeColor="hyperlink"/>
      <w:u w:val="single"/>
    </w:rPr>
  </w:style>
  <w:style w:type="character" w:styleId="21">
    <w:name w:val="annotation reference"/>
    <w:basedOn w:val="18"/>
    <w:qFormat/>
    <w:uiPriority w:val="0"/>
    <w:rPr>
      <w:sz w:val="21"/>
      <w:szCs w:val="21"/>
    </w:rPr>
  </w:style>
  <w:style w:type="character" w:styleId="22">
    <w:name w:val="footnote reference"/>
    <w:basedOn w:val="18"/>
    <w:unhideWhenUsed/>
    <w:qFormat/>
    <w:uiPriority w:val="0"/>
    <w:rPr>
      <w:vertAlign w:val="superscript"/>
    </w:rPr>
  </w:style>
  <w:style w:type="character" w:customStyle="1" w:styleId="23">
    <w:name w:val="页眉 Char"/>
    <w:basedOn w:val="18"/>
    <w:link w:val="11"/>
    <w:qFormat/>
    <w:uiPriority w:val="0"/>
    <w:rPr>
      <w:rFonts w:asciiTheme="minorHAnsi" w:hAnsiTheme="minorHAnsi" w:eastAsiaTheme="minorEastAsia" w:cstheme="minorBidi"/>
      <w:kern w:val="2"/>
      <w:sz w:val="18"/>
      <w:szCs w:val="18"/>
    </w:rPr>
  </w:style>
  <w:style w:type="character" w:customStyle="1" w:styleId="24">
    <w:name w:val="页脚 Char"/>
    <w:basedOn w:val="18"/>
    <w:link w:val="10"/>
    <w:qFormat/>
    <w:uiPriority w:val="99"/>
    <w:rPr>
      <w:rFonts w:asciiTheme="minorHAnsi" w:hAnsiTheme="minorHAnsi" w:eastAsiaTheme="minorEastAsia" w:cstheme="minorBidi"/>
      <w:kern w:val="2"/>
      <w:sz w:val="18"/>
      <w:szCs w:val="18"/>
    </w:rPr>
  </w:style>
  <w:style w:type="character" w:customStyle="1" w:styleId="25">
    <w:name w:val="标题 1 Char"/>
    <w:basedOn w:val="18"/>
    <w:link w:val="2"/>
    <w:qFormat/>
    <w:uiPriority w:val="0"/>
    <w:rPr>
      <w:rFonts w:ascii="Calibri" w:hAnsi="Calibri" w:eastAsia="方正小标宋_GBK"/>
      <w:kern w:val="2"/>
      <w:sz w:val="32"/>
      <w:szCs w:val="32"/>
    </w:rPr>
  </w:style>
  <w:style w:type="character" w:customStyle="1" w:styleId="26">
    <w:name w:val="标题 2 Char"/>
    <w:basedOn w:val="18"/>
    <w:link w:val="3"/>
    <w:qFormat/>
    <w:uiPriority w:val="9"/>
    <w:rPr>
      <w:rFonts w:ascii="Calibri" w:hAnsi="Calibri" w:eastAsia="黑体"/>
      <w:bCs/>
      <w:kern w:val="2"/>
      <w:sz w:val="32"/>
      <w:szCs w:val="32"/>
    </w:rPr>
  </w:style>
  <w:style w:type="character" w:customStyle="1" w:styleId="27">
    <w:name w:val="标题 3 Char"/>
    <w:basedOn w:val="18"/>
    <w:link w:val="4"/>
    <w:qFormat/>
    <w:uiPriority w:val="9"/>
    <w:rPr>
      <w:rFonts w:asciiTheme="minorHAnsi" w:hAnsiTheme="minorHAnsi" w:eastAsiaTheme="minorEastAsia" w:cstheme="minorBidi"/>
      <w:b/>
      <w:bCs/>
      <w:kern w:val="2"/>
      <w:sz w:val="32"/>
      <w:szCs w:val="32"/>
    </w:rPr>
  </w:style>
  <w:style w:type="character" w:customStyle="1" w:styleId="28">
    <w:name w:val="标题 3 字符5"/>
    <w:qFormat/>
    <w:uiPriority w:val="9"/>
    <w:rPr>
      <w:rFonts w:ascii="仿宋" w:hAnsi="仿宋" w:eastAsia="楷体_GB2312"/>
      <w:kern w:val="2"/>
      <w:sz w:val="32"/>
      <w:szCs w:val="30"/>
    </w:rPr>
  </w:style>
  <w:style w:type="paragraph" w:styleId="29">
    <w:name w:val="List Paragraph"/>
    <w:basedOn w:val="1"/>
    <w:qFormat/>
    <w:uiPriority w:val="99"/>
    <w:pPr>
      <w:ind w:firstLine="420" w:firstLineChars="200"/>
    </w:pPr>
  </w:style>
  <w:style w:type="character" w:customStyle="1" w:styleId="30">
    <w:name w:val="标题 4 Char"/>
    <w:basedOn w:val="18"/>
    <w:link w:val="5"/>
    <w:qFormat/>
    <w:uiPriority w:val="0"/>
    <w:rPr>
      <w:rFonts w:asciiTheme="majorHAnsi" w:hAnsiTheme="majorHAnsi" w:eastAsiaTheme="majorEastAsia" w:cstheme="majorBidi"/>
      <w:b/>
      <w:bCs/>
      <w:kern w:val="2"/>
      <w:sz w:val="28"/>
      <w:szCs w:val="28"/>
    </w:rPr>
  </w:style>
  <w:style w:type="paragraph" w:customStyle="1" w:styleId="31">
    <w:name w:val="修订1"/>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32">
    <w:name w:val="脚注文本 Char"/>
    <w:basedOn w:val="18"/>
    <w:link w:val="13"/>
    <w:qFormat/>
    <w:uiPriority w:val="0"/>
    <w:rPr>
      <w:rFonts w:asciiTheme="minorHAnsi" w:hAnsiTheme="minorHAnsi" w:eastAsiaTheme="minorEastAsia" w:cstheme="minorBidi"/>
      <w:kern w:val="2"/>
      <w:sz w:val="18"/>
      <w:szCs w:val="18"/>
    </w:rPr>
  </w:style>
  <w:style w:type="paragraph" w:customStyle="1" w:styleId="33">
    <w:name w:val="修订2"/>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34">
    <w:name w:val="批注文字 Char"/>
    <w:basedOn w:val="18"/>
    <w:link w:val="6"/>
    <w:qFormat/>
    <w:uiPriority w:val="0"/>
    <w:rPr>
      <w:rFonts w:asciiTheme="minorHAnsi" w:hAnsiTheme="minorHAnsi" w:eastAsiaTheme="minorEastAsia" w:cstheme="minorBidi"/>
      <w:kern w:val="2"/>
      <w:sz w:val="21"/>
      <w:szCs w:val="24"/>
    </w:rPr>
  </w:style>
  <w:style w:type="character" w:customStyle="1" w:styleId="35">
    <w:name w:val="批注主题 Char"/>
    <w:basedOn w:val="34"/>
    <w:link w:val="15"/>
    <w:qFormat/>
    <w:uiPriority w:val="0"/>
    <w:rPr>
      <w:rFonts w:asciiTheme="minorHAnsi" w:hAnsiTheme="minorHAnsi" w:eastAsiaTheme="minorEastAsia" w:cstheme="minorBidi"/>
      <w:b/>
      <w:bCs/>
      <w:kern w:val="2"/>
      <w:sz w:val="21"/>
      <w:szCs w:val="24"/>
    </w:rPr>
  </w:style>
  <w:style w:type="paragraph" w:customStyle="1" w:styleId="36">
    <w:name w:val="修订3"/>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37">
    <w:name w:val="批注框文本 Char"/>
    <w:basedOn w:val="18"/>
    <w:link w:val="9"/>
    <w:qFormat/>
    <w:uiPriority w:val="0"/>
    <w:rPr>
      <w:rFonts w:asciiTheme="minorHAnsi" w:hAnsiTheme="minorHAnsi" w:eastAsiaTheme="minorEastAsia" w:cstheme="minorBidi"/>
      <w:kern w:val="2"/>
      <w:sz w:val="18"/>
      <w:szCs w:val="18"/>
    </w:rPr>
  </w:style>
  <w:style w:type="paragraph" w:customStyle="1" w:styleId="38">
    <w:name w:val="修订4"/>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39">
    <w:name w:val="尾注文本 Char"/>
    <w:basedOn w:val="18"/>
    <w:link w:val="8"/>
    <w:qFormat/>
    <w:uiPriority w:val="0"/>
    <w:rPr>
      <w:rFonts w:asciiTheme="minorHAnsi" w:hAnsiTheme="minorHAnsi" w:eastAsiaTheme="minorEastAsia" w:cstheme="minorBidi"/>
      <w:kern w:val="2"/>
      <w:sz w:val="21"/>
      <w:szCs w:val="24"/>
    </w:rPr>
  </w:style>
  <w:style w:type="paragraph" w:customStyle="1" w:styleId="40">
    <w:name w:val="Table Paragraph"/>
    <w:basedOn w:val="1"/>
    <w:qFormat/>
    <w:uiPriority w:val="0"/>
    <w:pPr>
      <w:autoSpaceDE w:val="0"/>
      <w:autoSpaceDN w:val="0"/>
      <w:jc w:val="left"/>
    </w:pPr>
    <w:rPr>
      <w:rFonts w:ascii="仿宋_GB2312" w:eastAsia="仿宋_GB2312"/>
      <w:kern w:val="0"/>
      <w:szCs w:val="21"/>
      <w:lang w:val="zh-CN" w:eastAsia="en-US" w:bidi="zh-CN"/>
    </w:rPr>
  </w:style>
  <w:style w:type="paragraph" w:customStyle="1" w:styleId="41">
    <w:name w:val="修订5"/>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42">
    <w:name w:val="修订6"/>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93</Pages>
  <Words>1175</Words>
  <Characters>1286</Characters>
  <Lines>352</Lines>
  <Paragraphs>99</Paragraphs>
  <TotalTime>0</TotalTime>
  <ScaleCrop>false</ScaleCrop>
  <LinksUpToDate>false</LinksUpToDate>
  <CharactersWithSpaces>1385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2025-09-04T02:50:00Z</dcterms:created>
  <dc:creator>Administrator</dc:creator>
  <cp:lastModifiedBy>利晓莹</cp:lastModifiedBy>
  <cp:lastPrinted>2024-10-29T08:03:00Z</cp:lastPrinted>
  <dcterms:modified xsi:type="dcterms:W3CDTF">2025-10-22T03:17:27Z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50EB0CD2BAD44A0BB635EEE0632F36E4</vt:lpwstr>
  </property>
  <property fmtid="{D5CDD505-2E9C-101B-9397-08002B2CF9AE}" pid="4" name="KSOTemplateDocerSaveRecord">
    <vt:lpwstr>eyJoZGlkIjoiYzM5YjZjZjk4NTBmN2U3YmE4ZmVmZGYxNGE5Mjk5OGYiLCJ1c2VySWQiOiIyNTg3NjU4NTEifQ==</vt:lpwstr>
  </property>
</Properties>
</file>