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B946C7">
      <w:pPr>
        <w:pStyle w:val="3"/>
        <w:keepNext w:val="0"/>
        <w:keepLines w:val="0"/>
        <w:pageBreakBefore w:val="0"/>
        <w:widowControl w:val="0"/>
        <w:kinsoku/>
        <w:wordWrap/>
        <w:overflowPunct/>
        <w:topLinePunct w:val="0"/>
        <w:bidi w:val="0"/>
        <w:snapToGrid/>
        <w:spacing w:line="560" w:lineRule="exact"/>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附件2</w:t>
      </w:r>
    </w:p>
    <w:p w14:paraId="56D3C356">
      <w:pPr>
        <w:pStyle w:val="3"/>
        <w:keepNext w:val="0"/>
        <w:keepLines w:val="0"/>
        <w:pageBreakBefore w:val="0"/>
        <w:widowControl w:val="0"/>
        <w:kinsoku/>
        <w:wordWrap/>
        <w:overflowPunct/>
        <w:topLinePunct w:val="0"/>
        <w:bidi w:val="0"/>
        <w:snapToGrid/>
        <w:spacing w:line="560" w:lineRule="exact"/>
        <w:textAlignment w:val="auto"/>
        <w:rPr>
          <w:rFonts w:hint="eastAsia" w:ascii="仿宋_GB2312" w:eastAsia="仿宋_GB2312"/>
          <w:color w:val="000000"/>
          <w:sz w:val="32"/>
          <w:szCs w:val="32"/>
          <w:lang w:val="en-US" w:eastAsia="zh-CN"/>
        </w:rPr>
      </w:pPr>
    </w:p>
    <w:p w14:paraId="52181702">
      <w:pPr>
        <w:pStyle w:val="3"/>
        <w:keepNext w:val="0"/>
        <w:keepLines w:val="0"/>
        <w:pageBreakBefore w:val="0"/>
        <w:widowControl w:val="0"/>
        <w:kinsoku/>
        <w:wordWrap/>
        <w:overflowPunct/>
        <w:topLinePunct w:val="0"/>
        <w:bidi w:val="0"/>
        <w:snapToGrid/>
        <w:spacing w:line="560" w:lineRule="exact"/>
        <w:textAlignment w:val="auto"/>
        <w:rPr>
          <w:rFonts w:hint="default" w:ascii="仿宋_GB2312" w:eastAsia="仿宋_GB2312"/>
          <w:color w:val="000000"/>
          <w:sz w:val="32"/>
          <w:szCs w:val="32"/>
          <w:lang w:val="en-US" w:eastAsia="zh-CN"/>
        </w:rPr>
      </w:pPr>
    </w:p>
    <w:p w14:paraId="00908B09">
      <w:pPr>
        <w:pStyle w:val="3"/>
        <w:keepNext w:val="0"/>
        <w:keepLines w:val="0"/>
        <w:pageBreakBefore w:val="0"/>
        <w:widowControl w:val="0"/>
        <w:kinsoku/>
        <w:wordWrap/>
        <w:overflowPunct/>
        <w:topLinePunct w:val="0"/>
        <w:autoSpaceDE/>
        <w:autoSpaceDN/>
        <w:bidi w:val="0"/>
        <w:adjustRightInd/>
        <w:snapToGrid/>
        <w:spacing w:after="0" w:line="560" w:lineRule="exact"/>
        <w:ind w:left="0"/>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《阳江市医疗保障局关于公布麻醉类等</w:t>
      </w:r>
    </w:p>
    <w:p w14:paraId="099422AA">
      <w:pPr>
        <w:pStyle w:val="3"/>
        <w:keepNext w:val="0"/>
        <w:keepLines w:val="0"/>
        <w:pageBreakBefore w:val="0"/>
        <w:widowControl w:val="0"/>
        <w:kinsoku/>
        <w:wordWrap/>
        <w:overflowPunct/>
        <w:topLinePunct w:val="0"/>
        <w:autoSpaceDE/>
        <w:autoSpaceDN/>
        <w:bidi w:val="0"/>
        <w:adjustRightInd/>
        <w:snapToGrid/>
        <w:spacing w:after="0" w:line="560" w:lineRule="exact"/>
        <w:ind w:left="0"/>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11批医疗服务项目价格的通知</w:t>
      </w:r>
    </w:p>
    <w:p w14:paraId="142E5FC0">
      <w:pPr>
        <w:pStyle w:val="3"/>
        <w:keepNext w:val="0"/>
        <w:keepLines w:val="0"/>
        <w:pageBreakBefore w:val="0"/>
        <w:widowControl w:val="0"/>
        <w:kinsoku/>
        <w:wordWrap/>
        <w:overflowPunct/>
        <w:topLinePunct w:val="0"/>
        <w:autoSpaceDE/>
        <w:autoSpaceDN/>
        <w:bidi w:val="0"/>
        <w:adjustRightInd/>
        <w:snapToGrid/>
        <w:spacing w:after="0" w:line="560" w:lineRule="exact"/>
        <w:ind w:left="0"/>
        <w:jc w:val="center"/>
        <w:textAlignment w:val="auto"/>
        <w:rPr>
          <w:rFonts w:hint="default" w:ascii="仿宋_GB2312" w:hAnsi="仿宋_GB2312" w:eastAsia="仿宋_GB2312" w:cs="仿宋_GB2312"/>
          <w:sz w:val="32"/>
          <w:szCs w:val="32"/>
          <w:lang w:val="en-US" w:eastAsia="zh-CN"/>
        </w:rPr>
      </w:pPr>
      <w:r>
        <w:rPr>
          <w:rFonts w:hint="eastAsia" w:ascii="方正小标宋简体" w:hAnsi="方正小标宋简体" w:eastAsia="方正小标宋简体" w:cs="方正小标宋简体"/>
          <w:sz w:val="44"/>
          <w:szCs w:val="44"/>
          <w:lang w:val="en-US" w:eastAsia="zh-CN"/>
        </w:rPr>
        <w:t>(征求意见稿)》的政策解读</w:t>
      </w:r>
    </w:p>
    <w:p w14:paraId="7253183D">
      <w:pPr>
        <w:keepNext w:val="0"/>
        <w:keepLines w:val="0"/>
        <w:pageBreakBefore w:val="0"/>
        <w:widowControl w:val="0"/>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sz w:val="32"/>
          <w:szCs w:val="32"/>
          <w:lang w:val="en-US" w:eastAsia="zh-CN"/>
        </w:rPr>
      </w:pPr>
    </w:p>
    <w:p w14:paraId="0DFC2D42">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2025年12月31日，省医保局印发</w:t>
      </w:r>
      <w:r>
        <w:rPr>
          <w:rFonts w:hint="eastAsia" w:ascii="仿宋" w:hAnsi="仿宋" w:eastAsia="仿宋" w:cs="仿宋"/>
          <w:sz w:val="32"/>
          <w:szCs w:val="32"/>
          <w:lang w:val="en-US" w:eastAsia="zh-CN"/>
        </w:rPr>
        <w:t>《广东省医疗保障局关于公布放射治疗类等医疗服务价格项目的通知》（粤医保发〔2025〕35号），</w:t>
      </w:r>
      <w:r>
        <w:rPr>
          <w:rFonts w:hint="eastAsia" w:ascii="仿宋" w:hAnsi="仿宋" w:eastAsia="仿宋" w:cs="仿宋"/>
          <w:color w:val="000000" w:themeColor="text1"/>
          <w:sz w:val="32"/>
          <w:szCs w:val="32"/>
          <w:lang w:val="en-US" w:eastAsia="zh-CN"/>
          <w14:textFill>
            <w14:solidFill>
              <w14:schemeClr w14:val="tx1"/>
            </w14:solidFill>
          </w14:textFill>
        </w:rPr>
        <w:t>公布了放射治疗类等15批次医疗服务价格项目，其中放射治疗类、心血管类、妇科和器官移植类等4批次的项目价格按《阳江市医疗保障局关于公布综合诊查类及放射治疗类等五批医疗服务项目价格的通知》（阳医保通〔2026〕13号）于2026年3月30日起实施，其余麻醉类等11批次省局要求各地市按规定制定价格与2026年3月30日起实施。</w:t>
      </w:r>
    </w:p>
    <w:p w14:paraId="39EC060A">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为落实好我市相关医疗服务项目价格工作，结合我市实际，我局按照省医保局统一制定的最高限价，起草了《阳江市医疗保障局关于公布麻醉类等11批医疗服务项目价格的通知(征求意见稿)》。</w:t>
      </w:r>
    </w:p>
    <w:p w14:paraId="5E28452F">
      <w:pPr>
        <w:pStyle w:val="9"/>
        <w:keepNext w:val="0"/>
        <w:keepLines w:val="0"/>
        <w:pageBreakBefore w:val="0"/>
        <w:widowControl w:val="0"/>
        <w:numPr>
          <w:ilvl w:val="0"/>
          <w:numId w:val="1"/>
        </w:numPr>
        <w:kinsoku/>
        <w:wordWrap/>
        <w:overflowPunct/>
        <w:topLinePunct w:val="0"/>
        <w:bidi w:val="0"/>
        <w:snapToGrid/>
        <w:spacing w:line="560" w:lineRule="exact"/>
        <w:ind w:firstLine="640" w:firstLineChars="200"/>
        <w:jc w:val="left"/>
        <w:textAlignment w:val="auto"/>
        <w:rPr>
          <w:rFonts w:hint="eastAsia" w:ascii="Times New Roman" w:hAnsi="Times New Roman" w:eastAsia="黑体" w:cs="Times New Roman"/>
          <w:b w:val="0"/>
          <w:bCs w:val="0"/>
          <w:sz w:val="32"/>
          <w:szCs w:val="32"/>
          <w:lang w:val="en-US" w:eastAsia="zh-CN"/>
        </w:rPr>
      </w:pPr>
      <w:r>
        <w:rPr>
          <w:rFonts w:hint="eastAsia" w:ascii="Times New Roman" w:hAnsi="Times New Roman" w:eastAsia="黑体" w:cs="Times New Roman"/>
          <w:b w:val="0"/>
          <w:bCs w:val="0"/>
          <w:sz w:val="32"/>
          <w:szCs w:val="32"/>
          <w:lang w:val="en-US" w:eastAsia="zh-CN"/>
        </w:rPr>
        <w:t>政策依据</w:t>
      </w:r>
    </w:p>
    <w:p w14:paraId="087FCA85">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《广东省医疗保障局关于公布放射治疗类等医疗服务价格项目的通知》（粤医保发〔2025〕35号）</w:t>
      </w:r>
    </w:p>
    <w:p w14:paraId="31EB41AC">
      <w:pPr>
        <w:pStyle w:val="9"/>
        <w:keepNext w:val="0"/>
        <w:keepLines w:val="0"/>
        <w:pageBreakBefore w:val="0"/>
        <w:widowControl w:val="0"/>
        <w:numPr>
          <w:ilvl w:val="0"/>
          <w:numId w:val="0"/>
        </w:numPr>
        <w:kinsoku/>
        <w:wordWrap/>
        <w:overflowPunct/>
        <w:topLinePunct w:val="0"/>
        <w:bidi w:val="0"/>
        <w:snapToGrid/>
        <w:spacing w:line="560" w:lineRule="exact"/>
        <w:ind w:firstLine="640" w:firstLineChars="200"/>
        <w:jc w:val="left"/>
        <w:textAlignment w:val="auto"/>
        <w:rPr>
          <w:rFonts w:hint="eastAsia" w:eastAsia="黑体"/>
          <w:color w:val="auto"/>
          <w:sz w:val="32"/>
          <w:szCs w:val="32"/>
          <w:lang w:eastAsia="zh-CN"/>
        </w:rPr>
      </w:pPr>
      <w:r>
        <w:rPr>
          <w:rFonts w:hint="eastAsia" w:eastAsia="黑体"/>
          <w:color w:val="auto"/>
          <w:sz w:val="32"/>
          <w:szCs w:val="32"/>
          <w:lang w:eastAsia="zh-CN"/>
        </w:rPr>
        <w:t>二、主要内容</w:t>
      </w:r>
    </w:p>
    <w:p w14:paraId="67020214">
      <w:pPr>
        <w:pStyle w:val="9"/>
        <w:keepNext w:val="0"/>
        <w:keepLines w:val="0"/>
        <w:pageBreakBefore w:val="0"/>
        <w:widowControl w:val="0"/>
        <w:numPr>
          <w:ilvl w:val="0"/>
          <w:numId w:val="0"/>
        </w:numPr>
        <w:kinsoku/>
        <w:wordWrap/>
        <w:overflowPunct/>
        <w:topLinePunct w:val="0"/>
        <w:bidi w:val="0"/>
        <w:snapToGrid/>
        <w:spacing w:line="560" w:lineRule="exact"/>
        <w:ind w:firstLine="640" w:firstLineChars="200"/>
        <w:jc w:val="left"/>
        <w:textAlignment w:val="auto"/>
        <w:rPr>
          <w:rFonts w:hint="default" w:ascii="黑体" w:hAnsi="黑体" w:eastAsia="黑体" w:cs="黑体"/>
          <w:color w:val="auto"/>
          <w:kern w:val="2"/>
          <w:sz w:val="32"/>
          <w:szCs w:val="32"/>
          <w:lang w:val="en-US" w:eastAsia="zh-CN" w:bidi="ar-SA"/>
        </w:rPr>
      </w:pPr>
      <w:r>
        <w:rPr>
          <w:rFonts w:hint="eastAsia" w:eastAsia="黑体"/>
          <w:color w:val="auto"/>
          <w:sz w:val="32"/>
          <w:szCs w:val="32"/>
          <w:lang w:val="en-US" w:eastAsia="zh-CN"/>
        </w:rPr>
        <w:t>（一）</w:t>
      </w:r>
      <w:r>
        <w:rPr>
          <w:rFonts w:hint="default" w:ascii="Times New Roman" w:hAnsi="Times New Roman" w:eastAsia="黑体" w:cs="Times New Roman"/>
          <w:b w:val="0"/>
          <w:bCs w:val="0"/>
          <w:sz w:val="32"/>
          <w:szCs w:val="32"/>
        </w:rPr>
        <w:t>规范整</w:t>
      </w:r>
      <w:r>
        <w:rPr>
          <w:rFonts w:hint="default" w:ascii="Times New Roman" w:hAnsi="Times New Roman" w:eastAsia="黑体" w:cs="Times New Roman"/>
          <w:sz w:val="32"/>
          <w:szCs w:val="32"/>
        </w:rPr>
        <w:t>合</w:t>
      </w:r>
      <w:r>
        <w:rPr>
          <w:rFonts w:hint="eastAsia" w:ascii="Times New Roman" w:hAnsi="Times New Roman" w:eastAsia="黑体" w:cs="Times New Roman"/>
          <w:sz w:val="32"/>
          <w:szCs w:val="32"/>
          <w:lang w:val="en-US" w:eastAsia="zh-CN"/>
        </w:rPr>
        <w:t>麻醉</w:t>
      </w:r>
      <w:r>
        <w:rPr>
          <w:rFonts w:hint="default" w:ascii="Times New Roman" w:hAnsi="Times New Roman" w:eastAsia="黑体" w:cs="Times New Roman"/>
          <w:sz w:val="32"/>
          <w:szCs w:val="32"/>
          <w:lang w:val="en-US" w:eastAsia="zh-CN"/>
        </w:rPr>
        <w:t>类等</w:t>
      </w:r>
      <w:r>
        <w:rPr>
          <w:rFonts w:hint="eastAsia" w:ascii="Times New Roman" w:hAnsi="Times New Roman" w:eastAsia="黑体" w:cs="Times New Roman"/>
          <w:sz w:val="32"/>
          <w:szCs w:val="32"/>
          <w:lang w:val="en-US" w:eastAsia="zh-CN"/>
        </w:rPr>
        <w:t>11</w:t>
      </w:r>
      <w:r>
        <w:rPr>
          <w:rFonts w:hint="default" w:ascii="Times New Roman" w:hAnsi="Times New Roman" w:eastAsia="黑体" w:cs="Times New Roman"/>
          <w:sz w:val="32"/>
          <w:szCs w:val="32"/>
          <w:lang w:val="en-US" w:eastAsia="zh-CN"/>
        </w:rPr>
        <w:t>批</w:t>
      </w:r>
      <w:r>
        <w:rPr>
          <w:rFonts w:hint="default" w:ascii="Times New Roman" w:hAnsi="Times New Roman" w:eastAsia="黑体" w:cs="Times New Roman"/>
          <w:b w:val="0"/>
          <w:bCs w:val="0"/>
          <w:sz w:val="32"/>
          <w:szCs w:val="32"/>
        </w:rPr>
        <w:t>医</w:t>
      </w:r>
      <w:r>
        <w:rPr>
          <w:rFonts w:hint="default" w:ascii="Times New Roman" w:hAnsi="Times New Roman" w:eastAsia="黑体" w:cs="Times New Roman"/>
          <w:sz w:val="32"/>
          <w:szCs w:val="32"/>
        </w:rPr>
        <w:t>疗服务价格项目</w:t>
      </w:r>
    </w:p>
    <w:p w14:paraId="1D17B740">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公布我市麻醉类项目10项、神经系统类项目79项、耳鼻喉科项目164项、口腔类项目114项、呼吸系统类项目68项、血液系统类项目15项、消化系统类项目150项、泌尿系统类项目87项、精神治疗类项目10项、疝甲乳类项目25项、康复类项目17项及各加（减）收、扩展项目等11批立项指南医疗服务价格项目（详见附件1-11）。</w:t>
      </w:r>
    </w:p>
    <w:p w14:paraId="640259B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rPr>
          <w:rFonts w:hint="eastAsia" w:eastAsia="黑体" w:cs="Times New Roman"/>
          <w:sz w:val="32"/>
          <w:szCs w:val="32"/>
          <w:lang w:val="en-US" w:eastAsia="zh-CN"/>
        </w:rPr>
      </w:pPr>
      <w:r>
        <w:rPr>
          <w:rFonts w:hint="eastAsia" w:eastAsia="黑体" w:cs="Times New Roman"/>
          <w:b w:val="0"/>
          <w:bCs w:val="0"/>
          <w:sz w:val="32"/>
          <w:szCs w:val="32"/>
          <w:lang w:val="en-US" w:eastAsia="zh-CN"/>
        </w:rPr>
        <w:t>（二）</w:t>
      </w:r>
      <w:r>
        <w:rPr>
          <w:rFonts w:hint="eastAsia" w:ascii="Times New Roman" w:hAnsi="Times New Roman" w:eastAsia="黑体" w:cs="Times New Roman"/>
          <w:b w:val="0"/>
          <w:bCs w:val="0"/>
          <w:sz w:val="32"/>
          <w:szCs w:val="32"/>
          <w:lang w:val="en-US" w:eastAsia="zh-CN"/>
        </w:rPr>
        <w:t>公布我市麻醉</w:t>
      </w:r>
      <w:r>
        <w:rPr>
          <w:rFonts w:hint="default" w:ascii="Times New Roman" w:hAnsi="Times New Roman" w:eastAsia="黑体" w:cs="Times New Roman"/>
          <w:b w:val="0"/>
          <w:bCs w:val="0"/>
          <w:sz w:val="32"/>
          <w:szCs w:val="32"/>
          <w:lang w:val="en-US" w:eastAsia="zh-CN"/>
        </w:rPr>
        <w:t>类等</w:t>
      </w:r>
      <w:r>
        <w:rPr>
          <w:rFonts w:hint="eastAsia" w:ascii="Times New Roman" w:hAnsi="Times New Roman" w:eastAsia="黑体" w:cs="Times New Roman"/>
          <w:b w:val="0"/>
          <w:bCs w:val="0"/>
          <w:sz w:val="32"/>
          <w:szCs w:val="32"/>
          <w:lang w:val="en-US" w:eastAsia="zh-CN"/>
        </w:rPr>
        <w:t>1</w:t>
      </w:r>
      <w:r>
        <w:rPr>
          <w:rFonts w:hint="eastAsia" w:ascii="Times New Roman" w:hAnsi="Times New Roman" w:eastAsia="黑体" w:cs="Times New Roman"/>
          <w:sz w:val="32"/>
          <w:szCs w:val="32"/>
          <w:lang w:val="en-US" w:eastAsia="zh-CN"/>
        </w:rPr>
        <w:t>1</w:t>
      </w:r>
      <w:r>
        <w:rPr>
          <w:rFonts w:hint="default" w:ascii="Times New Roman" w:hAnsi="Times New Roman" w:eastAsia="黑体" w:cs="Times New Roman"/>
          <w:sz w:val="32"/>
          <w:szCs w:val="32"/>
          <w:lang w:val="en-US" w:eastAsia="zh-CN"/>
        </w:rPr>
        <w:t>批</w:t>
      </w:r>
      <w:r>
        <w:rPr>
          <w:rFonts w:hint="default" w:ascii="Times New Roman" w:hAnsi="Times New Roman" w:eastAsia="黑体" w:cs="Times New Roman"/>
          <w:b w:val="0"/>
          <w:bCs w:val="0"/>
          <w:sz w:val="32"/>
          <w:szCs w:val="32"/>
        </w:rPr>
        <w:t>医</w:t>
      </w:r>
      <w:r>
        <w:rPr>
          <w:rFonts w:hint="default" w:ascii="Times New Roman" w:hAnsi="Times New Roman" w:eastAsia="黑体" w:cs="Times New Roman"/>
          <w:sz w:val="32"/>
          <w:szCs w:val="32"/>
        </w:rPr>
        <w:t>疗服务价格项目</w:t>
      </w:r>
      <w:r>
        <w:rPr>
          <w:rFonts w:hint="eastAsia" w:eastAsia="黑体" w:cs="Times New Roman"/>
          <w:sz w:val="32"/>
          <w:szCs w:val="32"/>
          <w:lang w:val="en-US" w:eastAsia="zh-CN"/>
        </w:rPr>
        <w:t>价格</w:t>
      </w:r>
    </w:p>
    <w:p w14:paraId="158F645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公布我市麻醉</w:t>
      </w:r>
      <w:r>
        <w:rPr>
          <w:rFonts w:hint="default" w:ascii="仿宋" w:hAnsi="仿宋" w:eastAsia="仿宋" w:cs="仿宋"/>
          <w:sz w:val="32"/>
          <w:szCs w:val="32"/>
          <w:lang w:val="en-US" w:eastAsia="zh-CN"/>
        </w:rPr>
        <w:t>类等</w:t>
      </w:r>
      <w:r>
        <w:rPr>
          <w:rFonts w:hint="eastAsia" w:ascii="仿宋" w:hAnsi="仿宋" w:eastAsia="仿宋" w:cs="仿宋"/>
          <w:sz w:val="32"/>
          <w:szCs w:val="32"/>
          <w:lang w:val="en-US" w:eastAsia="zh-CN"/>
        </w:rPr>
        <w:t>11</w:t>
      </w:r>
      <w:r>
        <w:rPr>
          <w:rFonts w:hint="default" w:ascii="仿宋" w:hAnsi="仿宋" w:eastAsia="仿宋" w:cs="仿宋"/>
          <w:sz w:val="32"/>
          <w:szCs w:val="32"/>
          <w:lang w:val="en-US" w:eastAsia="zh-CN"/>
        </w:rPr>
        <w:t>批医疗服务价格项目</w:t>
      </w:r>
      <w:r>
        <w:rPr>
          <w:rFonts w:hint="eastAsia" w:ascii="仿宋" w:hAnsi="仿宋" w:eastAsia="仿宋" w:cs="仿宋"/>
          <w:sz w:val="32"/>
          <w:szCs w:val="32"/>
          <w:lang w:val="en-US" w:eastAsia="zh-CN"/>
        </w:rPr>
        <w:t>的政府指导价，不可上浮，下浮比例不限，并根据价格项目表的单价与计价说明中封顶政策，确定我市计价说明的封顶金额。儿童加收项目我市已按30%加收比例执行。</w:t>
      </w:r>
    </w:p>
    <w:p w14:paraId="738D583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将除基本物质资源消耗以外的，属于立项指南落地前执行的医疗服务价格项目除外内容的一次性使用耗材等，整理为可收费一次性使用医用耗材清单（详见附件12）。</w:t>
      </w:r>
    </w:p>
    <w:p w14:paraId="2C697C7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rPr>
          <w:rFonts w:hint="eastAsia" w:eastAsia="黑体" w:cs="Times New Roman"/>
          <w:sz w:val="32"/>
          <w:szCs w:val="32"/>
          <w:lang w:val="en-US" w:eastAsia="zh-CN"/>
        </w:rPr>
      </w:pPr>
      <w:r>
        <w:rPr>
          <w:rFonts w:hint="eastAsia" w:ascii="仿宋" w:hAnsi="仿宋" w:eastAsia="仿宋" w:cs="仿宋"/>
          <w:sz w:val="32"/>
          <w:szCs w:val="32"/>
          <w:lang w:val="en-US" w:eastAsia="zh-CN"/>
        </w:rPr>
        <w:t>同步废止现行麻醉类等11批医疗服务价格项目（详见附件13-23），各级各类医疗机构开展此类医疗服务，按照新的医疗服务价格项目收取费用。</w:t>
      </w:r>
    </w:p>
    <w:p w14:paraId="1B4DA1BC">
      <w:pPr>
        <w:pStyle w:val="9"/>
        <w:keepNext w:val="0"/>
        <w:keepLines w:val="0"/>
        <w:pageBreakBefore w:val="0"/>
        <w:widowControl w:val="0"/>
        <w:numPr>
          <w:ilvl w:val="0"/>
          <w:numId w:val="1"/>
        </w:numPr>
        <w:kinsoku/>
        <w:wordWrap/>
        <w:overflowPunct/>
        <w:topLinePunct w:val="0"/>
        <w:bidi w:val="0"/>
        <w:snapToGrid/>
        <w:spacing w:line="560" w:lineRule="exact"/>
        <w:ind w:left="0" w:leftChars="0" w:firstLine="640" w:firstLineChars="200"/>
        <w:jc w:val="left"/>
        <w:textAlignment w:val="auto"/>
        <w:rPr>
          <w:rFonts w:hint="eastAsia" w:eastAsia="黑体"/>
          <w:color w:val="auto"/>
          <w:sz w:val="32"/>
          <w:szCs w:val="32"/>
          <w:lang w:val="en-US" w:eastAsia="zh-CN"/>
        </w:rPr>
      </w:pPr>
      <w:r>
        <w:rPr>
          <w:rFonts w:hint="eastAsia" w:eastAsia="黑体"/>
          <w:color w:val="auto"/>
          <w:sz w:val="32"/>
          <w:szCs w:val="32"/>
          <w:lang w:val="en-US" w:eastAsia="zh-CN"/>
        </w:rPr>
        <w:t>价格确定的主要原则</w:t>
      </w:r>
    </w:p>
    <w:p w14:paraId="68FD4E5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根据《广东省医疗保障局关于公布放射治疗类等医疗服务价格项目的通知》（粤医保发〔2025〕35号）等文件规定，按照总量调控机制要求，考虑价格调整的服务总量变化值纳入年度调价总量计算，以及根据我市价格水平，综合考虑全市</w:t>
      </w:r>
      <w:bookmarkStart w:id="0" w:name="_GoBack"/>
      <w:bookmarkEnd w:id="0"/>
      <w:r>
        <w:rPr>
          <w:rFonts w:hint="eastAsia" w:ascii="仿宋" w:hAnsi="仿宋" w:eastAsia="仿宋" w:cs="仿宋"/>
          <w:sz w:val="32"/>
          <w:szCs w:val="32"/>
          <w:lang w:val="en-US" w:eastAsia="zh-CN"/>
        </w:rPr>
        <w:t>经济发展水平（人均GDP）、城镇单位就业人员平均工资、医疗服务质量、患者负担水平、次均费用增幅、地方财政补贴、区域价格比较、基金运行等情况，在年度调价总量范围内稳妥制定价格。</w:t>
      </w:r>
    </w:p>
    <w:sectPr>
      <w:footerReference r:id="rId3" w:type="default"/>
      <w:pgSz w:w="11906" w:h="16838"/>
      <w:pgMar w:top="2098" w:right="1474" w:bottom="1984" w:left="1587" w:header="851" w:footer="1361" w:gutter="0"/>
      <w:pgNumType w:fmt="decimal"/>
      <w:cols w:space="720" w:num="1"/>
      <w:rtlGutter w:val="0"/>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DCDF2E6-2058-40E9-A9D4-8405120CE42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499161A3-2694-4D5C-9434-475D3EE1741D}"/>
  </w:font>
  <w:font w:name="方正仿宋简体">
    <w:altName w:val="微软雅黑"/>
    <w:panose1 w:val="02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auto"/>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embedRegular r:id="rId3" w:fontKey="{2A282D7A-7E6B-45EB-A24F-D31D7D5CA8EA}"/>
  </w:font>
  <w:font w:name="仿宋">
    <w:panose1 w:val="02010609060101010101"/>
    <w:charset w:val="86"/>
    <w:family w:val="auto"/>
    <w:pitch w:val="default"/>
    <w:sig w:usb0="800002BF" w:usb1="38CF7CFA" w:usb2="00000016" w:usb3="00000000" w:csb0="00040001" w:csb1="00000000"/>
    <w:embedRegular r:id="rId4" w:fontKey="{8344A542-0636-4313-AC01-9C5F9722BD28}"/>
  </w:font>
  <w:font w:name="方正小标宋简体">
    <w:panose1 w:val="02000000000000000000"/>
    <w:charset w:val="86"/>
    <w:family w:val="auto"/>
    <w:pitch w:val="default"/>
    <w:sig w:usb0="00000001" w:usb1="08000000" w:usb2="00000000" w:usb3="00000000" w:csb0="00040000" w:csb1="00000000"/>
    <w:embedRegular r:id="rId5" w:fontKey="{A86F50D2-1A8A-432A-938D-016AEF67442B}"/>
  </w:font>
  <w:font w:name="KSOFE44F9426">
    <w:panose1 w:val="02010609060101010101"/>
    <w:charset w:val="86"/>
    <w:family w:val="auto"/>
    <w:pitch w:val="default"/>
    <w:sig w:usb0="00000001" w:usb1="00000000" w:usb2="00000000" w:usb3="00000000" w:csb0="00040001" w:csb1="00000000"/>
  </w:font>
  <w:font w:name="KSOF025BBAAE">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7D4E0">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8B07466">
                          <w:pPr>
                            <w:pStyle w:val="4"/>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eastAsiaTheme="minorEastAsia" w:cstheme="minorEastAsia"/>
                              <w:sz w:val="28"/>
                              <w:szCs w:val="28"/>
                              <w:lang w:eastAsia="zh-CN"/>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38B07466">
                    <w:pPr>
                      <w:pStyle w:val="4"/>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eastAsiaTheme="minorEastAsia" w:cstheme="minorEastAsia"/>
                        <w:sz w:val="28"/>
                        <w:szCs w:val="28"/>
                        <w:lang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B38EDD"/>
    <w:multiLevelType w:val="singleLevel"/>
    <w:tmpl w:val="FFB38ED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gzYTNjZjcyNzQ2NDVlMzA1ZGY0ZTNhNmFlOWNhYmQifQ=="/>
  </w:docVars>
  <w:rsids>
    <w:rsidRoot w:val="00000000"/>
    <w:rsid w:val="00394543"/>
    <w:rsid w:val="00B40401"/>
    <w:rsid w:val="00CD79DA"/>
    <w:rsid w:val="01625764"/>
    <w:rsid w:val="01A00C4B"/>
    <w:rsid w:val="030F31DC"/>
    <w:rsid w:val="0414565C"/>
    <w:rsid w:val="04983E5B"/>
    <w:rsid w:val="051C5FC6"/>
    <w:rsid w:val="06FE6B3F"/>
    <w:rsid w:val="07BD4509"/>
    <w:rsid w:val="07CF12CC"/>
    <w:rsid w:val="09532895"/>
    <w:rsid w:val="096E0789"/>
    <w:rsid w:val="09D8517B"/>
    <w:rsid w:val="0A483328"/>
    <w:rsid w:val="0CC64C10"/>
    <w:rsid w:val="0D0753D1"/>
    <w:rsid w:val="0EB53765"/>
    <w:rsid w:val="102D6397"/>
    <w:rsid w:val="136936AE"/>
    <w:rsid w:val="14283019"/>
    <w:rsid w:val="14AA0C13"/>
    <w:rsid w:val="150512E4"/>
    <w:rsid w:val="179601B1"/>
    <w:rsid w:val="191A6188"/>
    <w:rsid w:val="1B010C3A"/>
    <w:rsid w:val="1C1C4F1A"/>
    <w:rsid w:val="1CE77EC0"/>
    <w:rsid w:val="1D83441C"/>
    <w:rsid w:val="1EF96D75"/>
    <w:rsid w:val="1EFC1FBA"/>
    <w:rsid w:val="1FF42436"/>
    <w:rsid w:val="217229B1"/>
    <w:rsid w:val="222B40F3"/>
    <w:rsid w:val="23154CC0"/>
    <w:rsid w:val="23AD76CF"/>
    <w:rsid w:val="2711228D"/>
    <w:rsid w:val="29667D65"/>
    <w:rsid w:val="29E702A0"/>
    <w:rsid w:val="2B39368D"/>
    <w:rsid w:val="2D5D5D34"/>
    <w:rsid w:val="2D8868B3"/>
    <w:rsid w:val="2F191EB9"/>
    <w:rsid w:val="300321AA"/>
    <w:rsid w:val="319D2ECE"/>
    <w:rsid w:val="329E4752"/>
    <w:rsid w:val="33832D50"/>
    <w:rsid w:val="35234E2B"/>
    <w:rsid w:val="35CF657A"/>
    <w:rsid w:val="36040F8B"/>
    <w:rsid w:val="38BE13DB"/>
    <w:rsid w:val="39795985"/>
    <w:rsid w:val="3B213704"/>
    <w:rsid w:val="3B893940"/>
    <w:rsid w:val="3F30752E"/>
    <w:rsid w:val="3F815541"/>
    <w:rsid w:val="40257EB6"/>
    <w:rsid w:val="40A43E3D"/>
    <w:rsid w:val="40C75FB9"/>
    <w:rsid w:val="418A4550"/>
    <w:rsid w:val="42ED7EB5"/>
    <w:rsid w:val="43655275"/>
    <w:rsid w:val="438420BC"/>
    <w:rsid w:val="43FF0FF3"/>
    <w:rsid w:val="44E96005"/>
    <w:rsid w:val="44F70BB8"/>
    <w:rsid w:val="44FD328B"/>
    <w:rsid w:val="454D4212"/>
    <w:rsid w:val="47215B75"/>
    <w:rsid w:val="47610441"/>
    <w:rsid w:val="482D7A75"/>
    <w:rsid w:val="49047674"/>
    <w:rsid w:val="497902D7"/>
    <w:rsid w:val="4B4977A6"/>
    <w:rsid w:val="4D8B58D8"/>
    <w:rsid w:val="4E327D25"/>
    <w:rsid w:val="4EBB3F9B"/>
    <w:rsid w:val="50550671"/>
    <w:rsid w:val="51DD6B7D"/>
    <w:rsid w:val="52A06CC7"/>
    <w:rsid w:val="535624E4"/>
    <w:rsid w:val="54871C6E"/>
    <w:rsid w:val="54B0031A"/>
    <w:rsid w:val="55802FC7"/>
    <w:rsid w:val="56327FF9"/>
    <w:rsid w:val="5644102F"/>
    <w:rsid w:val="5A594224"/>
    <w:rsid w:val="5BAA7EFA"/>
    <w:rsid w:val="5BB46942"/>
    <w:rsid w:val="5E7F023D"/>
    <w:rsid w:val="5EDB0F96"/>
    <w:rsid w:val="5F5E00AD"/>
    <w:rsid w:val="5FFC38D2"/>
    <w:rsid w:val="604D28D9"/>
    <w:rsid w:val="606B7EDA"/>
    <w:rsid w:val="612F00CC"/>
    <w:rsid w:val="624E4A30"/>
    <w:rsid w:val="63F8134C"/>
    <w:rsid w:val="64994927"/>
    <w:rsid w:val="6674578B"/>
    <w:rsid w:val="66920FE9"/>
    <w:rsid w:val="66E374F2"/>
    <w:rsid w:val="69272501"/>
    <w:rsid w:val="6A4969FF"/>
    <w:rsid w:val="6AB26742"/>
    <w:rsid w:val="6B6317EA"/>
    <w:rsid w:val="6B783B32"/>
    <w:rsid w:val="6CBC1859"/>
    <w:rsid w:val="6DA643A3"/>
    <w:rsid w:val="70085819"/>
    <w:rsid w:val="702C48A1"/>
    <w:rsid w:val="71784BBC"/>
    <w:rsid w:val="7190490D"/>
    <w:rsid w:val="73CA199A"/>
    <w:rsid w:val="74273CFD"/>
    <w:rsid w:val="755D329F"/>
    <w:rsid w:val="75A031F5"/>
    <w:rsid w:val="76894AE1"/>
    <w:rsid w:val="779A73D7"/>
    <w:rsid w:val="79220189"/>
    <w:rsid w:val="7A4A4789"/>
    <w:rsid w:val="7D9E48D2"/>
    <w:rsid w:val="7E067AFE"/>
    <w:rsid w:val="7F567A43"/>
    <w:rsid w:val="7F892909"/>
    <w:rsid w:val="7FDFA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宋体" w:cs="Times New Roman"/>
    </w:rPr>
  </w:style>
  <w:style w:type="paragraph" w:styleId="3">
    <w:name w:val="Body Text"/>
    <w:basedOn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9">
    <w:name w:val="Default"/>
    <w:basedOn w:val="10"/>
    <w:next w:val="1"/>
    <w:qFormat/>
    <w:uiPriority w:val="99"/>
    <w:pPr>
      <w:widowControl w:val="0"/>
      <w:autoSpaceDE w:val="0"/>
      <w:autoSpaceDN w:val="0"/>
      <w:adjustRightInd w:val="0"/>
    </w:pPr>
    <w:rPr>
      <w:rFonts w:hint="eastAsia" w:ascii="方正仿宋简体" w:hAnsi="方正仿宋简体" w:eastAsia="方正仿宋简体" w:cs="Times New Roman"/>
      <w:color w:val="000000"/>
      <w:sz w:val="24"/>
      <w:szCs w:val="22"/>
      <w:lang w:val="en-US" w:eastAsia="zh-CN" w:bidi="ar-SA"/>
    </w:rPr>
  </w:style>
  <w:style w:type="paragraph" w:customStyle="1" w:styleId="10">
    <w:name w:val="正文 New"/>
    <w:next w:val="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标题 2 New"/>
    <w:basedOn w:val="10"/>
    <w:next w:val="10"/>
    <w:qFormat/>
    <w:uiPriority w:val="0"/>
    <w:pPr>
      <w:keepNext/>
      <w:keepLines/>
      <w:spacing w:before="260" w:after="260" w:line="416" w:lineRule="auto"/>
      <w:outlineLvl w:val="1"/>
    </w:pPr>
    <w:rPr>
      <w:rFonts w:ascii="Calibri Light" w:hAnsi="Calibri Light" w:eastAsia="宋体" w:cs="Times New Roman"/>
      <w:b/>
      <w:bCs/>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990</Words>
  <Characters>1054</Characters>
  <Lines>0</Lines>
  <Paragraphs>0</Paragraphs>
  <TotalTime>1</TotalTime>
  <ScaleCrop>false</ScaleCrop>
  <LinksUpToDate>false</LinksUpToDate>
  <CharactersWithSpaces>1054</CharactersWithSpaces>
  <Application>WPS Office_12.1.0.26373_F1E327BC-269C-435d-A152-05C5408002CA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2024-09-10T18:37:00Z</dcterms:created>
  <dc:creator>LENOVO</dc:creator>
  <cp:lastModifiedBy>良</cp:lastModifiedBy>
  <cp:lastPrinted>2026-03-11T09:14:00Z</cp:lastPrinted>
  <dcterms:modified xsi:type="dcterms:W3CDTF">2026-05-22T09:50:52Z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2052-12.1.0.26373</vt:lpwstr>
  </property>
  <property fmtid="{D5CDD505-2E9C-101B-9397-08002B2CF9AE}" pid="3" name="ICV">
    <vt:lpwstr>7BAC2FE58CEC4271B820DC1272A924A0_13</vt:lpwstr>
  </property>
  <property fmtid="{D5CDD505-2E9C-101B-9397-08002B2CF9AE}" pid="4" name="KSOTemplateDocerSaveRecord">
    <vt:lpwstr>eyJoZGlkIjoiNzk5YzYyYzNlMzA3MDk4NGMyOTE4MTJlMWYwMWMzMmIiLCJ1c2VySWQiOiIxODE3Mjg5MzgzIn0=</vt:lpwstr>
  </property>
</Properties>
</file>