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172EF">
      <w:pPr>
        <w:pStyle w:val="3"/>
        <w:keepNext w:val="0"/>
        <w:keepLines w:val="0"/>
        <w:pageBreakBefore w:val="0"/>
        <w:widowControl w:val="0"/>
        <w:kinsoku/>
        <w:wordWrap/>
        <w:overflowPunct/>
        <w:topLinePunct w:val="0"/>
        <w:bidi w:val="0"/>
        <w:snapToGrid/>
        <w:spacing w:line="560" w:lineRule="exact"/>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附件1</w:t>
      </w:r>
    </w:p>
    <w:p w14:paraId="1C913EC5">
      <w:pPr>
        <w:pStyle w:val="3"/>
        <w:keepNext w:val="0"/>
        <w:keepLines w:val="0"/>
        <w:pageBreakBefore w:val="0"/>
        <w:widowControl w:val="0"/>
        <w:kinsoku/>
        <w:wordWrap/>
        <w:overflowPunct/>
        <w:topLinePunct w:val="0"/>
        <w:bidi w:val="0"/>
        <w:snapToGrid/>
        <w:spacing w:line="560" w:lineRule="exact"/>
        <w:textAlignment w:val="auto"/>
        <w:rPr>
          <w:rFonts w:hint="eastAsia" w:ascii="仿宋_GB2312" w:eastAsia="仿宋_GB2312"/>
          <w:color w:val="000000"/>
          <w:sz w:val="32"/>
          <w:szCs w:val="32"/>
          <w:lang w:val="en-US" w:eastAsia="zh-CN"/>
        </w:rPr>
      </w:pPr>
    </w:p>
    <w:p w14:paraId="2803E1FF">
      <w:pPr>
        <w:pStyle w:val="3"/>
        <w:keepNext w:val="0"/>
        <w:keepLines w:val="0"/>
        <w:pageBreakBefore w:val="0"/>
        <w:widowControl w:val="0"/>
        <w:kinsoku/>
        <w:wordWrap/>
        <w:overflowPunct/>
        <w:topLinePunct w:val="0"/>
        <w:bidi w:val="0"/>
        <w:snapToGrid/>
        <w:spacing w:line="560" w:lineRule="exact"/>
        <w:textAlignment w:val="auto"/>
        <w:rPr>
          <w:rFonts w:hint="default" w:ascii="仿宋_GB2312" w:eastAsia="仿宋_GB2312"/>
          <w:color w:val="000000"/>
          <w:sz w:val="32"/>
          <w:szCs w:val="32"/>
          <w:lang w:val="en-US" w:eastAsia="zh-CN"/>
        </w:rPr>
      </w:pPr>
    </w:p>
    <w:p w14:paraId="457128C9">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jc w:val="center"/>
        <w:textAlignment w:val="auto"/>
        <w:rPr>
          <w:rFonts w:hint="eastAsia" w:ascii="方正小标宋简体" w:hAnsi="方正小标宋简体" w:eastAsia="方正小标宋简体" w:cs="方正小标宋简体"/>
          <w:sz w:val="44"/>
          <w:szCs w:val="44"/>
          <w:lang w:val="en-US" w:eastAsia="zh-CN" w:bidi="ar-SA"/>
        </w:rPr>
      </w:pPr>
      <w:r>
        <w:rPr>
          <w:rFonts w:hint="eastAsia" w:ascii="方正小标宋简体" w:hAnsi="方正小标宋简体" w:eastAsia="方正小标宋简体" w:cs="方正小标宋简体"/>
          <w:sz w:val="44"/>
          <w:szCs w:val="44"/>
          <w:lang w:val="en-US" w:eastAsia="zh-CN" w:bidi="ar-SA"/>
        </w:rPr>
        <w:t>阳江市医疗保障局关于公布麻醉类等11批</w:t>
      </w:r>
    </w:p>
    <w:p w14:paraId="53C86F49">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jc w:val="center"/>
        <w:textAlignment w:val="auto"/>
        <w:rPr>
          <w:rFonts w:hint="eastAsia" w:ascii="方正小标宋简体" w:hAnsi="方正小标宋简体" w:eastAsia="方正小标宋简体" w:cs="方正小标宋简体"/>
          <w:sz w:val="44"/>
          <w:szCs w:val="44"/>
          <w:lang w:val="en-US" w:eastAsia="zh-CN" w:bidi="ar-SA"/>
        </w:rPr>
      </w:pPr>
      <w:r>
        <w:rPr>
          <w:rFonts w:hint="eastAsia" w:ascii="方正小标宋简体" w:hAnsi="方正小标宋简体" w:eastAsia="方正小标宋简体" w:cs="方正小标宋简体"/>
          <w:sz w:val="44"/>
          <w:szCs w:val="44"/>
          <w:lang w:val="en-US" w:eastAsia="zh-CN" w:bidi="ar-SA"/>
        </w:rPr>
        <w:t>医疗服务项目价格的通知</w:t>
      </w:r>
    </w:p>
    <w:p w14:paraId="2AD3F172">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jc w:val="center"/>
        <w:textAlignment w:val="auto"/>
        <w:rPr>
          <w:rFonts w:hint="eastAsia" w:ascii="方正小标宋简体" w:hAnsi="方正小标宋简体" w:eastAsia="方正小标宋简体" w:cs="方正小标宋简体"/>
          <w:sz w:val="28"/>
          <w:szCs w:val="28"/>
          <w:lang w:val="en-US" w:eastAsia="zh-CN" w:bidi="ar-SA"/>
        </w:rPr>
      </w:pPr>
      <w:r>
        <w:rPr>
          <w:rFonts w:hint="eastAsia" w:ascii="方正小标宋简体" w:hAnsi="方正小标宋简体" w:eastAsia="方正小标宋简体" w:cs="方正小标宋简体"/>
          <w:sz w:val="28"/>
          <w:szCs w:val="28"/>
          <w:lang w:val="en-US" w:eastAsia="zh-CN" w:bidi="ar-SA"/>
        </w:rPr>
        <w:t>(征求意见稿)</w:t>
      </w:r>
    </w:p>
    <w:p w14:paraId="4DDB58D0">
      <w:pPr>
        <w:keepNext w:val="0"/>
        <w:keepLines w:val="0"/>
        <w:pageBreakBefore w:val="0"/>
        <w:widowControl w:val="0"/>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lang w:val="en-US" w:eastAsia="zh-CN"/>
        </w:rPr>
      </w:pPr>
    </w:p>
    <w:p w14:paraId="5F6EDC3C">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各县（市、区）医疗保障局（人力资源社会保障局），海陵试验区经济发展局、阳江滨海新区（阳江高新区）经发投促局，各定点医疗机构：</w:t>
      </w:r>
    </w:p>
    <w:p w14:paraId="191F373F">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根据《广东省医疗保障局关于公布放射治疗类等医疗服务价格项目的通知》（粤医保发〔2025〕35号）精神，为</w:t>
      </w:r>
      <w:r>
        <w:rPr>
          <w:rFonts w:hint="default" w:ascii="仿宋" w:hAnsi="仿宋" w:eastAsia="仿宋" w:cs="仿宋"/>
          <w:sz w:val="32"/>
          <w:szCs w:val="32"/>
          <w:lang w:val="en-US" w:eastAsia="zh-CN"/>
        </w:rPr>
        <w:t>做好</w:t>
      </w:r>
      <w:r>
        <w:rPr>
          <w:rFonts w:hint="eastAsia" w:ascii="仿宋" w:hAnsi="仿宋" w:eastAsia="仿宋" w:cs="仿宋"/>
          <w:sz w:val="32"/>
          <w:szCs w:val="32"/>
          <w:lang w:val="en-US" w:eastAsia="zh-CN"/>
        </w:rPr>
        <w:t>我市相关</w:t>
      </w:r>
      <w:r>
        <w:rPr>
          <w:rFonts w:hint="default" w:ascii="仿宋" w:hAnsi="仿宋" w:eastAsia="仿宋" w:cs="仿宋"/>
          <w:sz w:val="32"/>
          <w:szCs w:val="32"/>
          <w:lang w:val="en-US" w:eastAsia="zh-CN"/>
        </w:rPr>
        <w:t>医疗服务</w:t>
      </w:r>
      <w:r>
        <w:rPr>
          <w:rFonts w:hint="eastAsia" w:ascii="仿宋" w:hAnsi="仿宋" w:eastAsia="仿宋" w:cs="仿宋"/>
          <w:sz w:val="32"/>
          <w:szCs w:val="32"/>
          <w:lang w:val="en-US" w:eastAsia="zh-CN"/>
        </w:rPr>
        <w:t>项目</w:t>
      </w:r>
      <w:r>
        <w:rPr>
          <w:rFonts w:hint="default" w:ascii="仿宋" w:hAnsi="仿宋" w:eastAsia="仿宋" w:cs="仿宋"/>
          <w:sz w:val="32"/>
          <w:szCs w:val="32"/>
          <w:lang w:val="en-US" w:eastAsia="zh-CN"/>
        </w:rPr>
        <w:t>价格工作</w:t>
      </w:r>
      <w:r>
        <w:rPr>
          <w:rFonts w:hint="eastAsia" w:ascii="仿宋" w:hAnsi="仿宋" w:eastAsia="仿宋" w:cs="仿宋"/>
          <w:sz w:val="32"/>
          <w:szCs w:val="32"/>
          <w:lang w:val="en-US" w:eastAsia="zh-CN"/>
        </w:rPr>
        <w:t>，结合本市实际，制定了我市麻醉类、神经系统类、耳鼻喉类、口腔类、呼吸系统类、血液系统类、消化系统类、泌尿系统类、精神治疗类、疝甲乳类、康复类等11批医疗服务价格项目价格，现予公布并就有关事项通知如下：</w:t>
      </w:r>
    </w:p>
    <w:p w14:paraId="67020214">
      <w:pPr>
        <w:pStyle w:val="9"/>
        <w:keepNext w:val="0"/>
        <w:keepLines w:val="0"/>
        <w:pageBreakBefore w:val="0"/>
        <w:widowControl w:val="0"/>
        <w:numPr>
          <w:ilvl w:val="0"/>
          <w:numId w:val="0"/>
        </w:numPr>
        <w:kinsoku/>
        <w:wordWrap/>
        <w:overflowPunct/>
        <w:topLinePunct w:val="0"/>
        <w:bidi w:val="0"/>
        <w:snapToGrid/>
        <w:spacing w:line="560" w:lineRule="exact"/>
        <w:ind w:firstLine="640" w:firstLineChars="200"/>
        <w:jc w:val="left"/>
        <w:textAlignment w:val="auto"/>
        <w:rPr>
          <w:rFonts w:hint="default" w:ascii="黑体" w:hAnsi="黑体" w:eastAsia="黑体" w:cs="黑体"/>
          <w:color w:val="auto"/>
          <w:kern w:val="2"/>
          <w:sz w:val="32"/>
          <w:szCs w:val="32"/>
          <w:lang w:val="en-US" w:eastAsia="zh-CN" w:bidi="ar-SA"/>
        </w:rPr>
      </w:pPr>
      <w:r>
        <w:rPr>
          <w:rFonts w:hint="eastAsia" w:eastAsia="黑体"/>
          <w:color w:val="auto"/>
          <w:sz w:val="32"/>
          <w:szCs w:val="32"/>
          <w:lang w:val="en-US" w:eastAsia="zh-CN"/>
        </w:rPr>
        <w:t>一</w:t>
      </w:r>
      <w:r>
        <w:rPr>
          <w:rFonts w:eastAsia="黑体"/>
          <w:color w:val="auto"/>
          <w:sz w:val="32"/>
          <w:szCs w:val="32"/>
        </w:rPr>
        <w:t>、</w:t>
      </w:r>
      <w:r>
        <w:rPr>
          <w:rFonts w:hint="default" w:ascii="Times New Roman" w:hAnsi="Times New Roman" w:eastAsia="黑体" w:cs="Times New Roman"/>
          <w:b w:val="0"/>
          <w:bCs w:val="0"/>
          <w:sz w:val="32"/>
          <w:szCs w:val="32"/>
        </w:rPr>
        <w:t>规范整</w:t>
      </w:r>
      <w:r>
        <w:rPr>
          <w:rFonts w:hint="default" w:ascii="Times New Roman" w:hAnsi="Times New Roman" w:eastAsia="黑体" w:cs="Times New Roman"/>
          <w:sz w:val="32"/>
          <w:szCs w:val="32"/>
        </w:rPr>
        <w:t>合</w:t>
      </w:r>
      <w:r>
        <w:rPr>
          <w:rFonts w:hint="eastAsia" w:ascii="Times New Roman" w:hAnsi="Times New Roman" w:eastAsia="黑体" w:cs="Times New Roman"/>
          <w:sz w:val="32"/>
          <w:szCs w:val="32"/>
          <w:lang w:val="en-US" w:eastAsia="zh-CN"/>
        </w:rPr>
        <w:t>麻醉</w:t>
      </w:r>
      <w:r>
        <w:rPr>
          <w:rFonts w:hint="default" w:ascii="Times New Roman" w:hAnsi="Times New Roman" w:eastAsia="黑体" w:cs="Times New Roman"/>
          <w:sz w:val="32"/>
          <w:szCs w:val="32"/>
          <w:lang w:val="en-US" w:eastAsia="zh-CN"/>
        </w:rPr>
        <w:t>类等</w:t>
      </w:r>
      <w:r>
        <w:rPr>
          <w:rFonts w:hint="eastAsia" w:ascii="Times New Roman" w:hAnsi="Times New Roman" w:eastAsia="黑体" w:cs="Times New Roman"/>
          <w:sz w:val="32"/>
          <w:szCs w:val="32"/>
          <w:lang w:val="en-US" w:eastAsia="zh-CN"/>
        </w:rPr>
        <w:t>11</w:t>
      </w:r>
      <w:r>
        <w:rPr>
          <w:rFonts w:hint="default" w:ascii="Times New Roman" w:hAnsi="Times New Roman" w:eastAsia="黑体" w:cs="Times New Roman"/>
          <w:sz w:val="32"/>
          <w:szCs w:val="32"/>
          <w:lang w:val="en-US" w:eastAsia="zh-CN"/>
        </w:rPr>
        <w:t>批</w:t>
      </w:r>
      <w:r>
        <w:rPr>
          <w:rFonts w:hint="default" w:ascii="Times New Roman" w:hAnsi="Times New Roman" w:eastAsia="黑体" w:cs="Times New Roman"/>
          <w:b w:val="0"/>
          <w:bCs w:val="0"/>
          <w:sz w:val="32"/>
          <w:szCs w:val="32"/>
        </w:rPr>
        <w:t>医</w:t>
      </w:r>
      <w:r>
        <w:rPr>
          <w:rFonts w:hint="default" w:ascii="Times New Roman" w:hAnsi="Times New Roman" w:eastAsia="黑体" w:cs="Times New Roman"/>
          <w:sz w:val="32"/>
          <w:szCs w:val="32"/>
        </w:rPr>
        <w:t>疗服务价格项目</w:t>
      </w:r>
    </w:p>
    <w:p w14:paraId="1D17B740">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公布我市麻醉类项目10项、神经系统类项目79项、耳鼻喉科项目164项、口腔类项目114项、呼吸系统类项目68项、血液系统类项目15项、消化系统类项目150项、泌尿系统类项目87项、精神治疗类项目10项、疝甲乳类项目25项、康复类项目17项及各加（减）收、扩展项目等11批立项指南医疗服务价格项目（详见附件1-11）。</w:t>
      </w:r>
    </w:p>
    <w:p w14:paraId="640259BC">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right="0" w:rightChars="0" w:firstLine="640" w:firstLineChars="200"/>
        <w:textAlignment w:val="auto"/>
        <w:rPr>
          <w:rFonts w:hint="eastAsia" w:eastAsia="黑体" w:cs="Times New Roman"/>
          <w:sz w:val="32"/>
          <w:szCs w:val="32"/>
          <w:lang w:val="en-US" w:eastAsia="zh-CN"/>
        </w:rPr>
      </w:pPr>
      <w:r>
        <w:rPr>
          <w:rFonts w:hint="eastAsia" w:ascii="Times New Roman" w:hAnsi="Times New Roman" w:eastAsia="黑体" w:cs="Times New Roman"/>
          <w:b w:val="0"/>
          <w:bCs w:val="0"/>
          <w:sz w:val="32"/>
          <w:szCs w:val="32"/>
          <w:lang w:val="en-US" w:eastAsia="zh-CN"/>
        </w:rPr>
        <w:t>公布我市麻醉</w:t>
      </w:r>
      <w:r>
        <w:rPr>
          <w:rFonts w:hint="default" w:ascii="Times New Roman" w:hAnsi="Times New Roman" w:eastAsia="黑体" w:cs="Times New Roman"/>
          <w:b w:val="0"/>
          <w:bCs w:val="0"/>
          <w:sz w:val="32"/>
          <w:szCs w:val="32"/>
          <w:lang w:val="en-US" w:eastAsia="zh-CN"/>
        </w:rPr>
        <w:t>类等</w:t>
      </w:r>
      <w:r>
        <w:rPr>
          <w:rFonts w:hint="eastAsia" w:ascii="Times New Roman" w:hAnsi="Times New Roman" w:eastAsia="黑体" w:cs="Times New Roman"/>
          <w:b w:val="0"/>
          <w:bCs w:val="0"/>
          <w:sz w:val="32"/>
          <w:szCs w:val="32"/>
          <w:lang w:val="en-US" w:eastAsia="zh-CN"/>
        </w:rPr>
        <w:t>1</w:t>
      </w:r>
      <w:r>
        <w:rPr>
          <w:rFonts w:hint="eastAsia" w:ascii="Times New Roman" w:hAnsi="Times New Roman" w:eastAsia="黑体" w:cs="Times New Roman"/>
          <w:sz w:val="32"/>
          <w:szCs w:val="32"/>
          <w:lang w:val="en-US" w:eastAsia="zh-CN"/>
        </w:rPr>
        <w:t>1</w:t>
      </w:r>
      <w:r>
        <w:rPr>
          <w:rFonts w:hint="default" w:ascii="Times New Roman" w:hAnsi="Times New Roman" w:eastAsia="黑体" w:cs="Times New Roman"/>
          <w:sz w:val="32"/>
          <w:szCs w:val="32"/>
          <w:lang w:val="en-US" w:eastAsia="zh-CN"/>
        </w:rPr>
        <w:t>批</w:t>
      </w:r>
      <w:r>
        <w:rPr>
          <w:rFonts w:hint="default" w:ascii="Times New Roman" w:hAnsi="Times New Roman" w:eastAsia="黑体" w:cs="Times New Roman"/>
          <w:b w:val="0"/>
          <w:bCs w:val="0"/>
          <w:sz w:val="32"/>
          <w:szCs w:val="32"/>
        </w:rPr>
        <w:t>医</w:t>
      </w:r>
      <w:r>
        <w:rPr>
          <w:rFonts w:hint="default" w:ascii="Times New Roman" w:hAnsi="Times New Roman" w:eastAsia="黑体" w:cs="Times New Roman"/>
          <w:sz w:val="32"/>
          <w:szCs w:val="32"/>
        </w:rPr>
        <w:t>疗服务价格项目</w:t>
      </w:r>
      <w:r>
        <w:rPr>
          <w:rFonts w:hint="eastAsia" w:eastAsia="黑体" w:cs="Times New Roman"/>
          <w:sz w:val="32"/>
          <w:szCs w:val="32"/>
          <w:lang w:val="en-US" w:eastAsia="zh-CN"/>
        </w:rPr>
        <w:t>价格</w:t>
      </w:r>
    </w:p>
    <w:p w14:paraId="158F645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公布我市麻醉</w:t>
      </w:r>
      <w:r>
        <w:rPr>
          <w:rFonts w:hint="default" w:ascii="仿宋" w:hAnsi="仿宋" w:eastAsia="仿宋" w:cs="仿宋"/>
          <w:sz w:val="32"/>
          <w:szCs w:val="32"/>
          <w:lang w:val="en-US" w:eastAsia="zh-CN"/>
        </w:rPr>
        <w:t>类等</w:t>
      </w:r>
      <w:r>
        <w:rPr>
          <w:rFonts w:hint="eastAsia" w:ascii="仿宋" w:hAnsi="仿宋" w:eastAsia="仿宋" w:cs="仿宋"/>
          <w:sz w:val="32"/>
          <w:szCs w:val="32"/>
          <w:lang w:val="en-US" w:eastAsia="zh-CN"/>
        </w:rPr>
        <w:t>11</w:t>
      </w:r>
      <w:r>
        <w:rPr>
          <w:rFonts w:hint="default" w:ascii="仿宋" w:hAnsi="仿宋" w:eastAsia="仿宋" w:cs="仿宋"/>
          <w:sz w:val="32"/>
          <w:szCs w:val="32"/>
          <w:lang w:val="en-US" w:eastAsia="zh-CN"/>
        </w:rPr>
        <w:t>批医疗服务价格项目</w:t>
      </w:r>
      <w:r>
        <w:rPr>
          <w:rFonts w:hint="eastAsia" w:ascii="仿宋" w:hAnsi="仿宋" w:eastAsia="仿宋" w:cs="仿宋"/>
          <w:sz w:val="32"/>
          <w:szCs w:val="32"/>
          <w:lang w:val="en-US" w:eastAsia="zh-CN"/>
        </w:rPr>
        <w:t>的政府指导价，不可上浮，下浮比例不限，并根据价格项目表的单价与计价说明中封顶政策，确定我市计价说明的封顶金额。儿童加收项目按30%加收比例执行。</w:t>
      </w:r>
    </w:p>
    <w:p w14:paraId="065A2A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将除基本物质资源消耗以外的，属于立项指南落地前执行的医疗服务价格项目除外内容的一次性使用耗材等，整理为可收费一次性使用医用耗材清单（详见附件12）。</w:t>
      </w:r>
    </w:p>
    <w:p w14:paraId="2C697C7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eastAsia="黑体" w:cs="Times New Roman"/>
          <w:sz w:val="32"/>
          <w:szCs w:val="32"/>
          <w:lang w:val="en-US" w:eastAsia="zh-CN"/>
        </w:rPr>
      </w:pPr>
      <w:r>
        <w:rPr>
          <w:rFonts w:hint="eastAsia" w:ascii="仿宋" w:hAnsi="仿宋" w:eastAsia="仿宋" w:cs="仿宋"/>
          <w:sz w:val="32"/>
          <w:szCs w:val="32"/>
          <w:lang w:val="en-US" w:eastAsia="zh-CN"/>
        </w:rPr>
        <w:t>同步废止现行麻醉类等11批医疗服务价格项目（详见附件13-23），各级各类医疗机构开展此类医疗服务，按照新的医疗服务价格项目收取费用。</w:t>
      </w:r>
    </w:p>
    <w:p w14:paraId="576727D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三</w:t>
      </w:r>
      <w:r>
        <w:rPr>
          <w:rFonts w:hint="eastAsia" w:ascii="黑体" w:hAnsi="黑体" w:eastAsia="黑体" w:cs="黑体"/>
          <w:color w:val="auto"/>
          <w:sz w:val="32"/>
          <w:szCs w:val="32"/>
        </w:rPr>
        <w:t>、加强综合管理</w:t>
      </w:r>
    </w:p>
    <w:p w14:paraId="7D5AB3DB">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各级各类定点医疗机构要严格按照项目价格规定和临床诊疗规范向患者提供服务并收取费用，不得收取未列明的费用；建立健全内部价格管理制度，严格执行医疗服务价格公示制度，落实好费用清单等相关规定。各县（市、区）医保行政部门及海陵试验区经济发展局、阳江滨海新区（阳江高新区）经发投促局要按规定做好价格信息公开和政策落实工作，加强对辖区内定点医疗机构项目执行的指导和监督，医保经办机构和定点医疗机构应及时落实好编码信息维护。执行中遇到的问题请径向市医疗保障局医药服务管理科反映。</w:t>
      </w:r>
    </w:p>
    <w:p w14:paraId="7891F29F">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本通知将于2026年6月30日起实施，原政策文件与本通知不符的，以本通知为准。如遇国家或省出台新政策，按新政策执行。</w:t>
      </w:r>
    </w:p>
    <w:p w14:paraId="0A655912">
      <w:pPr>
        <w:pStyle w:val="3"/>
        <w:keepNext w:val="0"/>
        <w:keepLines w:val="0"/>
        <w:pageBreakBefore w:val="0"/>
        <w:widowControl w:val="0"/>
        <w:kinsoku/>
        <w:wordWrap/>
        <w:overflowPunct/>
        <w:topLinePunct w:val="0"/>
        <w:autoSpaceDE/>
        <w:autoSpaceDN/>
        <w:bidi w:val="0"/>
        <w:adjustRightInd/>
        <w:snapToGrid/>
        <w:spacing w:after="0" w:line="560" w:lineRule="exact"/>
        <w:ind w:left="0"/>
        <w:textAlignment w:val="auto"/>
        <w:rPr>
          <w:rFonts w:hint="eastAsia" w:ascii="仿宋" w:hAnsi="仿宋" w:eastAsia="仿宋" w:cs="仿宋"/>
          <w:sz w:val="32"/>
          <w:szCs w:val="32"/>
          <w:lang w:val="en-US" w:eastAsia="zh-CN"/>
        </w:rPr>
      </w:pPr>
    </w:p>
    <w:p w14:paraId="03F009A6">
      <w:pPr>
        <w:keepNext w:val="0"/>
        <w:keepLines w:val="0"/>
        <w:pageBreakBefore w:val="0"/>
        <w:widowControl w:val="0"/>
        <w:numPr>
          <w:ilvl w:val="0"/>
          <w:numId w:val="0"/>
        </w:numPr>
        <w:kinsoku/>
        <w:wordWrap/>
        <w:overflowPunct/>
        <w:topLinePunct w:val="0"/>
        <w:bidi w:val="0"/>
        <w:snapToGrid/>
        <w:spacing w:line="560" w:lineRule="exact"/>
        <w:ind w:left="1918" w:leftChars="304" w:hanging="1280" w:hangingChars="400"/>
        <w:textAlignment w:val="auto"/>
        <w:rPr>
          <w:rFonts w:hint="eastAsia" w:ascii="仿宋" w:hAnsi="仿宋" w:eastAsia="仿宋" w:cs="仿宋"/>
          <w:color w:val="auto"/>
          <w:sz w:val="32"/>
          <w:szCs w:val="32"/>
        </w:rPr>
      </w:pPr>
      <w:r>
        <w:rPr>
          <w:rFonts w:hint="eastAsia" w:ascii="仿宋" w:hAnsi="仿宋" w:eastAsia="仿宋" w:cs="仿宋"/>
          <w:sz w:val="32"/>
          <w:szCs w:val="32"/>
          <w:lang w:val="en-US" w:eastAsia="zh-CN"/>
        </w:rPr>
        <w:t>附件：</w:t>
      </w:r>
      <w:r>
        <w:rPr>
          <w:rFonts w:hint="eastAsia" w:ascii="仿宋" w:hAnsi="仿宋" w:eastAsia="仿宋" w:cs="仿宋"/>
          <w:color w:val="auto"/>
          <w:sz w:val="32"/>
          <w:szCs w:val="32"/>
        </w:rPr>
        <w:t>1.阳江市</w:t>
      </w:r>
      <w:r>
        <w:rPr>
          <w:rFonts w:hint="eastAsia" w:ascii="仿宋" w:hAnsi="仿宋" w:eastAsia="仿宋" w:cs="仿宋"/>
          <w:sz w:val="32"/>
          <w:szCs w:val="32"/>
          <w:lang w:val="en-US" w:eastAsia="zh-CN"/>
        </w:rPr>
        <w:t>麻醉类</w:t>
      </w:r>
      <w:r>
        <w:rPr>
          <w:rFonts w:hint="eastAsia" w:ascii="仿宋" w:hAnsi="仿宋" w:eastAsia="仿宋" w:cs="仿宋"/>
          <w:color w:val="auto"/>
          <w:sz w:val="32"/>
          <w:szCs w:val="32"/>
          <w:lang w:val="en-US" w:eastAsia="zh-CN"/>
        </w:rPr>
        <w:t>医疗服务</w:t>
      </w:r>
      <w:r>
        <w:rPr>
          <w:rFonts w:hint="eastAsia" w:ascii="仿宋" w:hAnsi="仿宋" w:eastAsia="仿宋" w:cs="仿宋"/>
          <w:color w:val="auto"/>
          <w:sz w:val="32"/>
          <w:szCs w:val="32"/>
        </w:rPr>
        <w:t>价格项目</w:t>
      </w:r>
      <w:r>
        <w:rPr>
          <w:rFonts w:hint="eastAsia" w:ascii="仿宋" w:hAnsi="仿宋" w:eastAsia="仿宋" w:cs="仿宋"/>
          <w:color w:val="auto"/>
          <w:sz w:val="32"/>
          <w:szCs w:val="32"/>
          <w:lang w:val="en-US" w:eastAsia="zh-CN"/>
        </w:rPr>
        <w:t>及价格</w:t>
      </w:r>
      <w:r>
        <w:rPr>
          <w:rFonts w:hint="eastAsia" w:ascii="仿宋" w:hAnsi="仿宋" w:eastAsia="仿宋" w:cs="仿宋"/>
          <w:color w:val="auto"/>
          <w:sz w:val="32"/>
          <w:szCs w:val="32"/>
        </w:rPr>
        <w:t>表</w:t>
      </w:r>
    </w:p>
    <w:p w14:paraId="44A8CDC2">
      <w:pPr>
        <w:keepNext w:val="0"/>
        <w:keepLines w:val="0"/>
        <w:pageBreakBefore w:val="0"/>
        <w:widowControl w:val="0"/>
        <w:numPr>
          <w:ilvl w:val="0"/>
          <w:numId w:val="2"/>
        </w:numPr>
        <w:kinsoku/>
        <w:wordWrap/>
        <w:overflowPunct/>
        <w:topLinePunct w:val="0"/>
        <w:bidi w:val="0"/>
        <w:snapToGrid/>
        <w:spacing w:line="560" w:lineRule="exact"/>
        <w:ind w:left="1916" w:leftChars="760" w:hanging="320" w:hangingChars="1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阳江市</w:t>
      </w:r>
      <w:r>
        <w:rPr>
          <w:rFonts w:hint="eastAsia" w:ascii="仿宋" w:hAnsi="仿宋" w:eastAsia="仿宋" w:cs="仿宋"/>
          <w:sz w:val="32"/>
          <w:szCs w:val="32"/>
          <w:lang w:val="en-US" w:eastAsia="zh-CN"/>
        </w:rPr>
        <w:t>神经系统类</w:t>
      </w:r>
      <w:r>
        <w:rPr>
          <w:rFonts w:hint="eastAsia" w:ascii="仿宋" w:hAnsi="仿宋" w:eastAsia="仿宋" w:cs="仿宋"/>
          <w:color w:val="auto"/>
          <w:sz w:val="32"/>
          <w:szCs w:val="32"/>
          <w:lang w:val="en-US" w:eastAsia="zh-CN"/>
        </w:rPr>
        <w:t>医疗服务</w:t>
      </w:r>
      <w:r>
        <w:rPr>
          <w:rFonts w:hint="eastAsia" w:ascii="仿宋" w:hAnsi="仿宋" w:eastAsia="仿宋" w:cs="仿宋"/>
          <w:color w:val="auto"/>
          <w:sz w:val="32"/>
          <w:szCs w:val="32"/>
        </w:rPr>
        <w:t>价格项目</w:t>
      </w:r>
      <w:r>
        <w:rPr>
          <w:rFonts w:hint="eastAsia" w:ascii="仿宋" w:hAnsi="仿宋" w:eastAsia="仿宋" w:cs="仿宋"/>
          <w:color w:val="auto"/>
          <w:sz w:val="32"/>
          <w:szCs w:val="32"/>
          <w:lang w:val="en-US" w:eastAsia="zh-CN"/>
        </w:rPr>
        <w:t>及价格</w:t>
      </w:r>
      <w:r>
        <w:rPr>
          <w:rFonts w:hint="eastAsia" w:ascii="仿宋" w:hAnsi="仿宋" w:eastAsia="仿宋" w:cs="仿宋"/>
          <w:color w:val="auto"/>
          <w:sz w:val="32"/>
          <w:szCs w:val="32"/>
        </w:rPr>
        <w:t>表</w:t>
      </w:r>
    </w:p>
    <w:p w14:paraId="723CFE79">
      <w:pPr>
        <w:keepNext w:val="0"/>
        <w:keepLines w:val="0"/>
        <w:pageBreakBefore w:val="0"/>
        <w:widowControl w:val="0"/>
        <w:numPr>
          <w:ilvl w:val="0"/>
          <w:numId w:val="2"/>
        </w:numPr>
        <w:kinsoku/>
        <w:wordWrap/>
        <w:overflowPunct/>
        <w:topLinePunct w:val="0"/>
        <w:bidi w:val="0"/>
        <w:snapToGrid/>
        <w:spacing w:line="560" w:lineRule="exact"/>
        <w:ind w:left="1916" w:leftChars="760" w:hanging="320" w:hangingChars="1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阳江市</w:t>
      </w:r>
      <w:r>
        <w:rPr>
          <w:rFonts w:hint="eastAsia" w:ascii="仿宋" w:hAnsi="仿宋" w:eastAsia="仿宋" w:cs="仿宋"/>
          <w:sz w:val="32"/>
          <w:szCs w:val="32"/>
          <w:lang w:val="en-US" w:eastAsia="zh-CN"/>
        </w:rPr>
        <w:t>耳鼻喉科类</w:t>
      </w:r>
      <w:r>
        <w:rPr>
          <w:rFonts w:hint="eastAsia" w:ascii="仿宋" w:hAnsi="仿宋" w:eastAsia="仿宋" w:cs="仿宋"/>
          <w:color w:val="auto"/>
          <w:sz w:val="32"/>
          <w:szCs w:val="32"/>
          <w:lang w:val="en-US" w:eastAsia="zh-CN"/>
        </w:rPr>
        <w:t>医疗服务</w:t>
      </w:r>
      <w:r>
        <w:rPr>
          <w:rFonts w:hint="eastAsia" w:ascii="仿宋" w:hAnsi="仿宋" w:eastAsia="仿宋" w:cs="仿宋"/>
          <w:color w:val="auto"/>
          <w:sz w:val="32"/>
          <w:szCs w:val="32"/>
        </w:rPr>
        <w:t>价格项目</w:t>
      </w:r>
      <w:r>
        <w:rPr>
          <w:rFonts w:hint="eastAsia" w:ascii="仿宋" w:hAnsi="仿宋" w:eastAsia="仿宋" w:cs="仿宋"/>
          <w:color w:val="auto"/>
          <w:sz w:val="32"/>
          <w:szCs w:val="32"/>
          <w:lang w:val="en-US" w:eastAsia="zh-CN"/>
        </w:rPr>
        <w:t>及价格</w:t>
      </w:r>
      <w:r>
        <w:rPr>
          <w:rFonts w:hint="eastAsia" w:ascii="仿宋" w:hAnsi="仿宋" w:eastAsia="仿宋" w:cs="仿宋"/>
          <w:color w:val="auto"/>
          <w:sz w:val="32"/>
          <w:szCs w:val="32"/>
        </w:rPr>
        <w:t>表</w:t>
      </w:r>
    </w:p>
    <w:p w14:paraId="69B9A8B4">
      <w:pPr>
        <w:keepNext w:val="0"/>
        <w:keepLines w:val="0"/>
        <w:pageBreakBefore w:val="0"/>
        <w:widowControl w:val="0"/>
        <w:numPr>
          <w:ilvl w:val="0"/>
          <w:numId w:val="2"/>
        </w:numPr>
        <w:kinsoku/>
        <w:wordWrap/>
        <w:overflowPunct/>
        <w:topLinePunct w:val="0"/>
        <w:bidi w:val="0"/>
        <w:snapToGrid/>
        <w:spacing w:line="560" w:lineRule="exact"/>
        <w:ind w:left="1916" w:leftChars="760" w:hanging="320" w:hangingChars="1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阳江市</w:t>
      </w:r>
      <w:r>
        <w:rPr>
          <w:rFonts w:hint="eastAsia" w:ascii="仿宋" w:hAnsi="仿宋" w:eastAsia="仿宋" w:cs="仿宋"/>
          <w:sz w:val="32"/>
          <w:szCs w:val="32"/>
          <w:lang w:val="en-US" w:eastAsia="zh-CN"/>
        </w:rPr>
        <w:t>口腔类</w:t>
      </w:r>
      <w:r>
        <w:rPr>
          <w:rFonts w:hint="eastAsia" w:ascii="仿宋" w:hAnsi="仿宋" w:eastAsia="仿宋" w:cs="仿宋"/>
          <w:color w:val="auto"/>
          <w:sz w:val="32"/>
          <w:szCs w:val="32"/>
          <w:lang w:val="en-US" w:eastAsia="zh-CN"/>
        </w:rPr>
        <w:t>医疗服务</w:t>
      </w:r>
      <w:r>
        <w:rPr>
          <w:rFonts w:hint="eastAsia" w:ascii="仿宋" w:hAnsi="仿宋" w:eastAsia="仿宋" w:cs="仿宋"/>
          <w:color w:val="auto"/>
          <w:sz w:val="32"/>
          <w:szCs w:val="32"/>
        </w:rPr>
        <w:t>价格项目</w:t>
      </w:r>
      <w:r>
        <w:rPr>
          <w:rFonts w:hint="eastAsia" w:ascii="仿宋" w:hAnsi="仿宋" w:eastAsia="仿宋" w:cs="仿宋"/>
          <w:color w:val="auto"/>
          <w:sz w:val="32"/>
          <w:szCs w:val="32"/>
          <w:lang w:val="en-US" w:eastAsia="zh-CN"/>
        </w:rPr>
        <w:t>及价格</w:t>
      </w:r>
      <w:r>
        <w:rPr>
          <w:rFonts w:hint="eastAsia" w:ascii="仿宋" w:hAnsi="仿宋" w:eastAsia="仿宋" w:cs="仿宋"/>
          <w:color w:val="auto"/>
          <w:sz w:val="32"/>
          <w:szCs w:val="32"/>
        </w:rPr>
        <w:t>表</w:t>
      </w:r>
    </w:p>
    <w:p w14:paraId="77643F79">
      <w:pPr>
        <w:keepNext w:val="0"/>
        <w:keepLines w:val="0"/>
        <w:pageBreakBefore w:val="0"/>
        <w:widowControl w:val="0"/>
        <w:numPr>
          <w:ilvl w:val="0"/>
          <w:numId w:val="2"/>
        </w:numPr>
        <w:kinsoku/>
        <w:wordWrap/>
        <w:overflowPunct/>
        <w:topLinePunct w:val="0"/>
        <w:bidi w:val="0"/>
        <w:snapToGrid/>
        <w:spacing w:line="560" w:lineRule="exact"/>
        <w:ind w:left="1916" w:leftChars="760" w:hanging="320" w:hangingChars="1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阳江市</w:t>
      </w:r>
      <w:r>
        <w:rPr>
          <w:rFonts w:hint="eastAsia" w:ascii="仿宋" w:hAnsi="仿宋" w:eastAsia="仿宋" w:cs="仿宋"/>
          <w:sz w:val="32"/>
          <w:szCs w:val="32"/>
          <w:lang w:val="en-US" w:eastAsia="zh-CN"/>
        </w:rPr>
        <w:t>呼吸系统类</w:t>
      </w:r>
      <w:r>
        <w:rPr>
          <w:rFonts w:hint="eastAsia" w:ascii="仿宋" w:hAnsi="仿宋" w:eastAsia="仿宋" w:cs="仿宋"/>
          <w:color w:val="auto"/>
          <w:sz w:val="32"/>
          <w:szCs w:val="32"/>
          <w:lang w:val="en-US" w:eastAsia="zh-CN"/>
        </w:rPr>
        <w:t>医疗服务</w:t>
      </w:r>
      <w:r>
        <w:rPr>
          <w:rFonts w:hint="eastAsia" w:ascii="仿宋" w:hAnsi="仿宋" w:eastAsia="仿宋" w:cs="仿宋"/>
          <w:color w:val="auto"/>
          <w:sz w:val="32"/>
          <w:szCs w:val="32"/>
        </w:rPr>
        <w:t>价格项目</w:t>
      </w:r>
      <w:r>
        <w:rPr>
          <w:rFonts w:hint="eastAsia" w:ascii="仿宋" w:hAnsi="仿宋" w:eastAsia="仿宋" w:cs="仿宋"/>
          <w:color w:val="auto"/>
          <w:sz w:val="32"/>
          <w:szCs w:val="32"/>
          <w:lang w:val="en-US" w:eastAsia="zh-CN"/>
        </w:rPr>
        <w:t>及价格</w:t>
      </w:r>
      <w:r>
        <w:rPr>
          <w:rFonts w:hint="eastAsia" w:ascii="仿宋" w:hAnsi="仿宋" w:eastAsia="仿宋" w:cs="仿宋"/>
          <w:color w:val="auto"/>
          <w:sz w:val="32"/>
          <w:szCs w:val="32"/>
        </w:rPr>
        <w:t>表</w:t>
      </w:r>
    </w:p>
    <w:p w14:paraId="34B797ED">
      <w:pPr>
        <w:keepNext w:val="0"/>
        <w:keepLines w:val="0"/>
        <w:pageBreakBefore w:val="0"/>
        <w:widowControl w:val="0"/>
        <w:numPr>
          <w:ilvl w:val="0"/>
          <w:numId w:val="2"/>
        </w:numPr>
        <w:kinsoku/>
        <w:wordWrap/>
        <w:overflowPunct/>
        <w:topLinePunct w:val="0"/>
        <w:bidi w:val="0"/>
        <w:snapToGrid/>
        <w:spacing w:line="560" w:lineRule="exact"/>
        <w:ind w:left="1916" w:leftChars="760" w:hanging="320" w:hangingChars="1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阳江市</w:t>
      </w:r>
      <w:r>
        <w:rPr>
          <w:rFonts w:hint="eastAsia" w:ascii="仿宋" w:hAnsi="仿宋" w:eastAsia="仿宋" w:cs="仿宋"/>
          <w:sz w:val="32"/>
          <w:szCs w:val="32"/>
          <w:lang w:val="en-US" w:eastAsia="zh-CN"/>
        </w:rPr>
        <w:t>血液系统类</w:t>
      </w:r>
      <w:r>
        <w:rPr>
          <w:rFonts w:hint="eastAsia" w:ascii="仿宋" w:hAnsi="仿宋" w:eastAsia="仿宋" w:cs="仿宋"/>
          <w:color w:val="auto"/>
          <w:sz w:val="32"/>
          <w:szCs w:val="32"/>
          <w:lang w:val="en-US" w:eastAsia="zh-CN"/>
        </w:rPr>
        <w:t>医疗服务</w:t>
      </w:r>
      <w:r>
        <w:rPr>
          <w:rFonts w:hint="eastAsia" w:ascii="仿宋" w:hAnsi="仿宋" w:eastAsia="仿宋" w:cs="仿宋"/>
          <w:color w:val="auto"/>
          <w:sz w:val="32"/>
          <w:szCs w:val="32"/>
        </w:rPr>
        <w:t>价格项目</w:t>
      </w:r>
      <w:r>
        <w:rPr>
          <w:rFonts w:hint="eastAsia" w:ascii="仿宋" w:hAnsi="仿宋" w:eastAsia="仿宋" w:cs="仿宋"/>
          <w:color w:val="auto"/>
          <w:sz w:val="32"/>
          <w:szCs w:val="32"/>
          <w:lang w:val="en-US" w:eastAsia="zh-CN"/>
        </w:rPr>
        <w:t>及价格</w:t>
      </w:r>
      <w:r>
        <w:rPr>
          <w:rFonts w:hint="eastAsia" w:ascii="仿宋" w:hAnsi="仿宋" w:eastAsia="仿宋" w:cs="仿宋"/>
          <w:color w:val="auto"/>
          <w:sz w:val="32"/>
          <w:szCs w:val="32"/>
        </w:rPr>
        <w:t>表</w:t>
      </w:r>
    </w:p>
    <w:p w14:paraId="654F6A31">
      <w:pPr>
        <w:keepNext w:val="0"/>
        <w:keepLines w:val="0"/>
        <w:pageBreakBefore w:val="0"/>
        <w:widowControl w:val="0"/>
        <w:numPr>
          <w:ilvl w:val="0"/>
          <w:numId w:val="2"/>
        </w:numPr>
        <w:kinsoku/>
        <w:wordWrap/>
        <w:overflowPunct/>
        <w:topLinePunct w:val="0"/>
        <w:bidi w:val="0"/>
        <w:snapToGrid/>
        <w:spacing w:line="560" w:lineRule="exact"/>
        <w:ind w:left="1916" w:leftChars="760" w:hanging="320" w:hangingChars="1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阳江市</w:t>
      </w:r>
      <w:r>
        <w:rPr>
          <w:rFonts w:hint="eastAsia" w:ascii="仿宋" w:hAnsi="仿宋" w:eastAsia="仿宋" w:cs="仿宋"/>
          <w:sz w:val="32"/>
          <w:szCs w:val="32"/>
          <w:lang w:val="en-US" w:eastAsia="zh-CN"/>
        </w:rPr>
        <w:t>消化系统类</w:t>
      </w:r>
      <w:r>
        <w:rPr>
          <w:rFonts w:hint="eastAsia" w:ascii="仿宋" w:hAnsi="仿宋" w:eastAsia="仿宋" w:cs="仿宋"/>
          <w:color w:val="auto"/>
          <w:sz w:val="32"/>
          <w:szCs w:val="32"/>
          <w:lang w:val="en-US" w:eastAsia="zh-CN"/>
        </w:rPr>
        <w:t>医疗服务</w:t>
      </w:r>
      <w:r>
        <w:rPr>
          <w:rFonts w:hint="eastAsia" w:ascii="仿宋" w:hAnsi="仿宋" w:eastAsia="仿宋" w:cs="仿宋"/>
          <w:color w:val="auto"/>
          <w:sz w:val="32"/>
          <w:szCs w:val="32"/>
        </w:rPr>
        <w:t>价格项目</w:t>
      </w:r>
      <w:r>
        <w:rPr>
          <w:rFonts w:hint="eastAsia" w:ascii="仿宋" w:hAnsi="仿宋" w:eastAsia="仿宋" w:cs="仿宋"/>
          <w:color w:val="auto"/>
          <w:sz w:val="32"/>
          <w:szCs w:val="32"/>
          <w:lang w:val="en-US" w:eastAsia="zh-CN"/>
        </w:rPr>
        <w:t>及价格</w:t>
      </w:r>
      <w:r>
        <w:rPr>
          <w:rFonts w:hint="eastAsia" w:ascii="仿宋" w:hAnsi="仿宋" w:eastAsia="仿宋" w:cs="仿宋"/>
          <w:color w:val="auto"/>
          <w:sz w:val="32"/>
          <w:szCs w:val="32"/>
        </w:rPr>
        <w:t>表</w:t>
      </w:r>
    </w:p>
    <w:p w14:paraId="11C4811C">
      <w:pPr>
        <w:keepNext w:val="0"/>
        <w:keepLines w:val="0"/>
        <w:pageBreakBefore w:val="0"/>
        <w:widowControl w:val="0"/>
        <w:numPr>
          <w:ilvl w:val="0"/>
          <w:numId w:val="2"/>
        </w:numPr>
        <w:kinsoku/>
        <w:wordWrap/>
        <w:overflowPunct/>
        <w:topLinePunct w:val="0"/>
        <w:bidi w:val="0"/>
        <w:snapToGrid/>
        <w:spacing w:line="560" w:lineRule="exact"/>
        <w:ind w:left="1916" w:leftChars="760" w:hanging="320" w:hangingChars="1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阳江市</w:t>
      </w:r>
      <w:r>
        <w:rPr>
          <w:rFonts w:hint="eastAsia" w:ascii="仿宋" w:hAnsi="仿宋" w:eastAsia="仿宋" w:cs="仿宋"/>
          <w:sz w:val="32"/>
          <w:szCs w:val="32"/>
          <w:lang w:val="en-US" w:eastAsia="zh-CN"/>
        </w:rPr>
        <w:t>泌尿系统类</w:t>
      </w:r>
      <w:r>
        <w:rPr>
          <w:rFonts w:hint="eastAsia" w:ascii="仿宋" w:hAnsi="仿宋" w:eastAsia="仿宋" w:cs="仿宋"/>
          <w:color w:val="auto"/>
          <w:sz w:val="32"/>
          <w:szCs w:val="32"/>
          <w:lang w:val="en-US" w:eastAsia="zh-CN"/>
        </w:rPr>
        <w:t>医疗服务</w:t>
      </w:r>
      <w:r>
        <w:rPr>
          <w:rFonts w:hint="eastAsia" w:ascii="仿宋" w:hAnsi="仿宋" w:eastAsia="仿宋" w:cs="仿宋"/>
          <w:color w:val="auto"/>
          <w:sz w:val="32"/>
          <w:szCs w:val="32"/>
        </w:rPr>
        <w:t>价格项目</w:t>
      </w:r>
      <w:r>
        <w:rPr>
          <w:rFonts w:hint="eastAsia" w:ascii="仿宋" w:hAnsi="仿宋" w:eastAsia="仿宋" w:cs="仿宋"/>
          <w:color w:val="auto"/>
          <w:sz w:val="32"/>
          <w:szCs w:val="32"/>
          <w:lang w:val="en-US" w:eastAsia="zh-CN"/>
        </w:rPr>
        <w:t>及价格</w:t>
      </w:r>
      <w:r>
        <w:rPr>
          <w:rFonts w:hint="eastAsia" w:ascii="仿宋" w:hAnsi="仿宋" w:eastAsia="仿宋" w:cs="仿宋"/>
          <w:color w:val="auto"/>
          <w:sz w:val="32"/>
          <w:szCs w:val="32"/>
        </w:rPr>
        <w:t>表</w:t>
      </w:r>
    </w:p>
    <w:p w14:paraId="19A09463">
      <w:pPr>
        <w:keepNext w:val="0"/>
        <w:keepLines w:val="0"/>
        <w:pageBreakBefore w:val="0"/>
        <w:widowControl w:val="0"/>
        <w:numPr>
          <w:ilvl w:val="0"/>
          <w:numId w:val="2"/>
        </w:numPr>
        <w:kinsoku/>
        <w:wordWrap/>
        <w:overflowPunct/>
        <w:topLinePunct w:val="0"/>
        <w:bidi w:val="0"/>
        <w:snapToGrid/>
        <w:spacing w:line="560" w:lineRule="exact"/>
        <w:ind w:left="1916" w:leftChars="760" w:hanging="320" w:hangingChars="1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阳江市</w:t>
      </w:r>
      <w:r>
        <w:rPr>
          <w:rFonts w:hint="eastAsia" w:ascii="仿宋" w:hAnsi="仿宋" w:eastAsia="仿宋" w:cs="仿宋"/>
          <w:sz w:val="32"/>
          <w:szCs w:val="32"/>
          <w:lang w:val="en-US" w:eastAsia="zh-CN"/>
        </w:rPr>
        <w:t>精神治疗类</w:t>
      </w:r>
      <w:r>
        <w:rPr>
          <w:rFonts w:hint="eastAsia" w:ascii="仿宋" w:hAnsi="仿宋" w:eastAsia="仿宋" w:cs="仿宋"/>
          <w:color w:val="auto"/>
          <w:sz w:val="32"/>
          <w:szCs w:val="32"/>
          <w:lang w:val="en-US" w:eastAsia="zh-CN"/>
        </w:rPr>
        <w:t>医疗服务</w:t>
      </w:r>
      <w:r>
        <w:rPr>
          <w:rFonts w:hint="eastAsia" w:ascii="仿宋" w:hAnsi="仿宋" w:eastAsia="仿宋" w:cs="仿宋"/>
          <w:color w:val="auto"/>
          <w:sz w:val="32"/>
          <w:szCs w:val="32"/>
        </w:rPr>
        <w:t>价格项目</w:t>
      </w:r>
      <w:r>
        <w:rPr>
          <w:rFonts w:hint="eastAsia" w:ascii="仿宋" w:hAnsi="仿宋" w:eastAsia="仿宋" w:cs="仿宋"/>
          <w:color w:val="auto"/>
          <w:sz w:val="32"/>
          <w:szCs w:val="32"/>
          <w:lang w:val="en-US" w:eastAsia="zh-CN"/>
        </w:rPr>
        <w:t>及价格</w:t>
      </w:r>
      <w:r>
        <w:rPr>
          <w:rFonts w:hint="eastAsia" w:ascii="仿宋" w:hAnsi="仿宋" w:eastAsia="仿宋" w:cs="仿宋"/>
          <w:color w:val="auto"/>
          <w:sz w:val="32"/>
          <w:szCs w:val="32"/>
        </w:rPr>
        <w:t>表</w:t>
      </w:r>
    </w:p>
    <w:p w14:paraId="4B9543F6">
      <w:pPr>
        <w:keepNext w:val="0"/>
        <w:keepLines w:val="0"/>
        <w:pageBreakBefore w:val="0"/>
        <w:widowControl w:val="0"/>
        <w:numPr>
          <w:ilvl w:val="0"/>
          <w:numId w:val="2"/>
        </w:numPr>
        <w:kinsoku/>
        <w:wordWrap/>
        <w:overflowPunct/>
        <w:topLinePunct w:val="0"/>
        <w:bidi w:val="0"/>
        <w:snapToGrid/>
        <w:spacing w:line="560" w:lineRule="exact"/>
        <w:ind w:left="1916" w:leftChars="760" w:hanging="320" w:hangingChars="1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阳江市</w:t>
      </w:r>
      <w:r>
        <w:rPr>
          <w:rFonts w:hint="eastAsia" w:ascii="仿宋" w:hAnsi="仿宋" w:eastAsia="仿宋" w:cs="仿宋"/>
          <w:sz w:val="32"/>
          <w:szCs w:val="32"/>
          <w:lang w:val="en-US" w:eastAsia="zh-CN"/>
        </w:rPr>
        <w:t>疝甲乳类</w:t>
      </w:r>
      <w:r>
        <w:rPr>
          <w:rFonts w:hint="eastAsia" w:ascii="仿宋" w:hAnsi="仿宋" w:eastAsia="仿宋" w:cs="仿宋"/>
          <w:color w:val="auto"/>
          <w:sz w:val="32"/>
          <w:szCs w:val="32"/>
          <w:lang w:val="en-US" w:eastAsia="zh-CN"/>
        </w:rPr>
        <w:t>医疗服务</w:t>
      </w:r>
      <w:r>
        <w:rPr>
          <w:rFonts w:hint="eastAsia" w:ascii="仿宋" w:hAnsi="仿宋" w:eastAsia="仿宋" w:cs="仿宋"/>
          <w:color w:val="auto"/>
          <w:sz w:val="32"/>
          <w:szCs w:val="32"/>
        </w:rPr>
        <w:t>价格项目</w:t>
      </w:r>
      <w:r>
        <w:rPr>
          <w:rFonts w:hint="eastAsia" w:ascii="仿宋" w:hAnsi="仿宋" w:eastAsia="仿宋" w:cs="仿宋"/>
          <w:color w:val="auto"/>
          <w:sz w:val="32"/>
          <w:szCs w:val="32"/>
          <w:lang w:val="en-US" w:eastAsia="zh-CN"/>
        </w:rPr>
        <w:t>及价格</w:t>
      </w:r>
      <w:r>
        <w:rPr>
          <w:rFonts w:hint="eastAsia" w:ascii="仿宋" w:hAnsi="仿宋" w:eastAsia="仿宋" w:cs="仿宋"/>
          <w:color w:val="auto"/>
          <w:sz w:val="32"/>
          <w:szCs w:val="32"/>
        </w:rPr>
        <w:t>表</w:t>
      </w:r>
    </w:p>
    <w:p w14:paraId="105AC2AF">
      <w:pPr>
        <w:keepNext w:val="0"/>
        <w:keepLines w:val="0"/>
        <w:pageBreakBefore w:val="0"/>
        <w:widowControl w:val="0"/>
        <w:numPr>
          <w:ilvl w:val="0"/>
          <w:numId w:val="2"/>
        </w:numPr>
        <w:kinsoku/>
        <w:wordWrap/>
        <w:overflowPunct/>
        <w:topLinePunct w:val="0"/>
        <w:bidi w:val="0"/>
        <w:snapToGrid/>
        <w:spacing w:line="560" w:lineRule="exact"/>
        <w:ind w:left="1916" w:leftChars="760" w:hanging="320" w:hangingChars="1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阳江市</w:t>
      </w:r>
      <w:r>
        <w:rPr>
          <w:rFonts w:hint="eastAsia" w:ascii="仿宋" w:hAnsi="仿宋" w:eastAsia="仿宋" w:cs="仿宋"/>
          <w:sz w:val="32"/>
          <w:szCs w:val="32"/>
          <w:lang w:val="en-US" w:eastAsia="zh-CN"/>
        </w:rPr>
        <w:t>康复类</w:t>
      </w:r>
      <w:r>
        <w:rPr>
          <w:rFonts w:hint="eastAsia" w:ascii="仿宋" w:hAnsi="仿宋" w:eastAsia="仿宋" w:cs="仿宋"/>
          <w:color w:val="auto"/>
          <w:sz w:val="32"/>
          <w:szCs w:val="32"/>
          <w:lang w:val="en-US" w:eastAsia="zh-CN"/>
        </w:rPr>
        <w:t>医疗服务</w:t>
      </w:r>
      <w:r>
        <w:rPr>
          <w:rFonts w:hint="eastAsia" w:ascii="仿宋" w:hAnsi="仿宋" w:eastAsia="仿宋" w:cs="仿宋"/>
          <w:color w:val="auto"/>
          <w:sz w:val="32"/>
          <w:szCs w:val="32"/>
        </w:rPr>
        <w:t>价格项目</w:t>
      </w:r>
      <w:r>
        <w:rPr>
          <w:rFonts w:hint="eastAsia" w:ascii="仿宋" w:hAnsi="仿宋" w:eastAsia="仿宋" w:cs="仿宋"/>
          <w:color w:val="auto"/>
          <w:sz w:val="32"/>
          <w:szCs w:val="32"/>
          <w:lang w:val="en-US" w:eastAsia="zh-CN"/>
        </w:rPr>
        <w:t>及价格</w:t>
      </w:r>
      <w:r>
        <w:rPr>
          <w:rFonts w:hint="eastAsia" w:ascii="仿宋" w:hAnsi="仿宋" w:eastAsia="仿宋" w:cs="仿宋"/>
          <w:color w:val="auto"/>
          <w:sz w:val="32"/>
          <w:szCs w:val="32"/>
        </w:rPr>
        <w:t>表</w:t>
      </w:r>
    </w:p>
    <w:p w14:paraId="455690D8">
      <w:pPr>
        <w:keepNext w:val="0"/>
        <w:keepLines w:val="0"/>
        <w:pageBreakBefore w:val="0"/>
        <w:widowControl w:val="0"/>
        <w:numPr>
          <w:ilvl w:val="0"/>
          <w:numId w:val="2"/>
        </w:numPr>
        <w:kinsoku/>
        <w:wordWrap/>
        <w:overflowPunct/>
        <w:topLinePunct w:val="0"/>
        <w:bidi w:val="0"/>
        <w:snapToGrid/>
        <w:spacing w:line="560" w:lineRule="exact"/>
        <w:ind w:left="1916" w:leftChars="760" w:hanging="320" w:hangingChars="100"/>
        <w:textAlignment w:val="auto"/>
        <w:rPr>
          <w:rFonts w:hint="default" w:ascii="仿宋" w:hAnsi="仿宋" w:eastAsia="仿宋" w:cs="仿宋"/>
          <w:color w:val="auto"/>
          <w:sz w:val="32"/>
          <w:szCs w:val="32"/>
          <w:lang w:val="en-US" w:eastAsia="zh-CN"/>
        </w:rPr>
      </w:pPr>
      <w:r>
        <w:rPr>
          <w:rFonts w:hint="eastAsia" w:ascii="仿宋" w:hAnsi="仿宋" w:eastAsia="仿宋" w:cs="仿宋"/>
          <w:sz w:val="32"/>
          <w:szCs w:val="32"/>
          <w:lang w:val="en-US" w:eastAsia="zh-CN"/>
        </w:rPr>
        <w:t>可收费一次性使用医用耗材清单</w:t>
      </w:r>
    </w:p>
    <w:p w14:paraId="1D6A6802">
      <w:pPr>
        <w:keepNext w:val="0"/>
        <w:keepLines w:val="0"/>
        <w:pageBreakBefore w:val="0"/>
        <w:widowControl w:val="0"/>
        <w:numPr>
          <w:ilvl w:val="0"/>
          <w:numId w:val="2"/>
        </w:numPr>
        <w:kinsoku/>
        <w:wordWrap/>
        <w:overflowPunct/>
        <w:topLinePunct w:val="0"/>
        <w:bidi w:val="0"/>
        <w:snapToGrid/>
        <w:spacing w:line="560" w:lineRule="exact"/>
        <w:ind w:left="1916" w:leftChars="760" w:hanging="320" w:hangingChars="100"/>
        <w:textAlignment w:val="auto"/>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麻醉类医疗服务价格项目废止表</w:t>
      </w:r>
    </w:p>
    <w:p w14:paraId="098CD3F7">
      <w:pPr>
        <w:keepNext w:val="0"/>
        <w:keepLines w:val="0"/>
        <w:pageBreakBefore w:val="0"/>
        <w:widowControl w:val="0"/>
        <w:numPr>
          <w:ilvl w:val="0"/>
          <w:numId w:val="2"/>
        </w:numPr>
        <w:kinsoku/>
        <w:wordWrap/>
        <w:overflowPunct/>
        <w:topLinePunct w:val="0"/>
        <w:bidi w:val="0"/>
        <w:snapToGrid/>
        <w:spacing w:line="560" w:lineRule="exact"/>
        <w:ind w:left="1916" w:leftChars="760" w:hanging="320" w:hangingChars="100"/>
        <w:textAlignment w:val="auto"/>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神经系统类医疗服务价格项目废止表</w:t>
      </w:r>
    </w:p>
    <w:p w14:paraId="5156D3D4">
      <w:pPr>
        <w:keepNext w:val="0"/>
        <w:keepLines w:val="0"/>
        <w:pageBreakBefore w:val="0"/>
        <w:widowControl w:val="0"/>
        <w:numPr>
          <w:ilvl w:val="0"/>
          <w:numId w:val="2"/>
        </w:numPr>
        <w:kinsoku/>
        <w:wordWrap/>
        <w:overflowPunct/>
        <w:topLinePunct w:val="0"/>
        <w:bidi w:val="0"/>
        <w:snapToGrid/>
        <w:spacing w:line="560" w:lineRule="exact"/>
        <w:ind w:left="1916" w:leftChars="760" w:hanging="320" w:hangingChars="100"/>
        <w:textAlignment w:val="auto"/>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耳鼻喉科医疗服务价格项目废止表</w:t>
      </w:r>
    </w:p>
    <w:p w14:paraId="544F2524">
      <w:pPr>
        <w:keepNext w:val="0"/>
        <w:keepLines w:val="0"/>
        <w:pageBreakBefore w:val="0"/>
        <w:widowControl w:val="0"/>
        <w:numPr>
          <w:ilvl w:val="0"/>
          <w:numId w:val="2"/>
        </w:numPr>
        <w:kinsoku/>
        <w:wordWrap/>
        <w:overflowPunct/>
        <w:topLinePunct w:val="0"/>
        <w:bidi w:val="0"/>
        <w:snapToGrid/>
        <w:spacing w:line="560" w:lineRule="exact"/>
        <w:ind w:left="1916" w:leftChars="760" w:hanging="320" w:hangingChars="100"/>
        <w:textAlignment w:val="auto"/>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口腔类医疗服务价格项目废止表</w:t>
      </w:r>
    </w:p>
    <w:p w14:paraId="0A60B04C">
      <w:pPr>
        <w:keepNext w:val="0"/>
        <w:keepLines w:val="0"/>
        <w:pageBreakBefore w:val="0"/>
        <w:widowControl w:val="0"/>
        <w:numPr>
          <w:ilvl w:val="0"/>
          <w:numId w:val="2"/>
        </w:numPr>
        <w:kinsoku/>
        <w:wordWrap/>
        <w:overflowPunct/>
        <w:topLinePunct w:val="0"/>
        <w:bidi w:val="0"/>
        <w:snapToGrid/>
        <w:spacing w:line="560" w:lineRule="exact"/>
        <w:ind w:left="1916" w:leftChars="760" w:hanging="320" w:hangingChars="100"/>
        <w:textAlignment w:val="auto"/>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呼吸系统类医疗服务价格项目废止表</w:t>
      </w:r>
    </w:p>
    <w:p w14:paraId="219E8B6A">
      <w:pPr>
        <w:keepNext w:val="0"/>
        <w:keepLines w:val="0"/>
        <w:pageBreakBefore w:val="0"/>
        <w:widowControl w:val="0"/>
        <w:numPr>
          <w:ilvl w:val="0"/>
          <w:numId w:val="2"/>
        </w:numPr>
        <w:kinsoku/>
        <w:wordWrap/>
        <w:overflowPunct/>
        <w:topLinePunct w:val="0"/>
        <w:bidi w:val="0"/>
        <w:snapToGrid/>
        <w:spacing w:line="560" w:lineRule="exact"/>
        <w:ind w:left="1916" w:leftChars="760" w:hanging="320" w:hangingChars="100"/>
        <w:textAlignment w:val="auto"/>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血液系统类医疗服务价格项目废止表</w:t>
      </w:r>
    </w:p>
    <w:p w14:paraId="3EE59799">
      <w:pPr>
        <w:keepNext w:val="0"/>
        <w:keepLines w:val="0"/>
        <w:pageBreakBefore w:val="0"/>
        <w:widowControl w:val="0"/>
        <w:numPr>
          <w:ilvl w:val="0"/>
          <w:numId w:val="2"/>
        </w:numPr>
        <w:kinsoku/>
        <w:wordWrap/>
        <w:overflowPunct/>
        <w:topLinePunct w:val="0"/>
        <w:bidi w:val="0"/>
        <w:snapToGrid/>
        <w:spacing w:line="560" w:lineRule="exact"/>
        <w:ind w:left="1916" w:leftChars="760" w:hanging="320" w:hangingChars="100"/>
        <w:textAlignment w:val="auto"/>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消化系统类医疗服务价格项目废止表</w:t>
      </w:r>
    </w:p>
    <w:p w14:paraId="45C6B6D8">
      <w:pPr>
        <w:keepNext w:val="0"/>
        <w:keepLines w:val="0"/>
        <w:pageBreakBefore w:val="0"/>
        <w:widowControl w:val="0"/>
        <w:numPr>
          <w:ilvl w:val="0"/>
          <w:numId w:val="2"/>
        </w:numPr>
        <w:kinsoku/>
        <w:wordWrap/>
        <w:overflowPunct/>
        <w:topLinePunct w:val="0"/>
        <w:bidi w:val="0"/>
        <w:snapToGrid/>
        <w:spacing w:line="560" w:lineRule="exact"/>
        <w:ind w:left="1916" w:leftChars="760" w:hanging="320" w:hangingChars="100"/>
        <w:textAlignment w:val="auto"/>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泌尿系统类医疗服务价格项目废止表</w:t>
      </w:r>
    </w:p>
    <w:p w14:paraId="600B6199">
      <w:pPr>
        <w:keepNext w:val="0"/>
        <w:keepLines w:val="0"/>
        <w:pageBreakBefore w:val="0"/>
        <w:widowControl w:val="0"/>
        <w:numPr>
          <w:ilvl w:val="0"/>
          <w:numId w:val="2"/>
        </w:numPr>
        <w:kinsoku/>
        <w:wordWrap/>
        <w:overflowPunct/>
        <w:topLinePunct w:val="0"/>
        <w:bidi w:val="0"/>
        <w:snapToGrid/>
        <w:spacing w:line="560" w:lineRule="exact"/>
        <w:ind w:left="1916" w:leftChars="760" w:hanging="320" w:hangingChars="100"/>
        <w:textAlignment w:val="auto"/>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精神治疗类医疗服务价格项目废止表</w:t>
      </w:r>
    </w:p>
    <w:p w14:paraId="31224AE0">
      <w:pPr>
        <w:keepNext w:val="0"/>
        <w:keepLines w:val="0"/>
        <w:pageBreakBefore w:val="0"/>
        <w:widowControl w:val="0"/>
        <w:numPr>
          <w:ilvl w:val="0"/>
          <w:numId w:val="2"/>
        </w:numPr>
        <w:kinsoku/>
        <w:wordWrap/>
        <w:overflowPunct/>
        <w:topLinePunct w:val="0"/>
        <w:bidi w:val="0"/>
        <w:snapToGrid/>
        <w:spacing w:line="560" w:lineRule="exact"/>
        <w:ind w:left="1916" w:leftChars="760" w:hanging="320" w:hangingChars="100"/>
        <w:textAlignment w:val="auto"/>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疝甲乳类医疗服务价格项目废止表</w:t>
      </w:r>
    </w:p>
    <w:p w14:paraId="07DD966C">
      <w:pPr>
        <w:keepNext w:val="0"/>
        <w:keepLines w:val="0"/>
        <w:pageBreakBefore w:val="0"/>
        <w:widowControl w:val="0"/>
        <w:numPr>
          <w:ilvl w:val="0"/>
          <w:numId w:val="2"/>
        </w:numPr>
        <w:kinsoku/>
        <w:wordWrap/>
        <w:overflowPunct/>
        <w:topLinePunct w:val="0"/>
        <w:bidi w:val="0"/>
        <w:snapToGrid/>
        <w:spacing w:line="560" w:lineRule="exact"/>
        <w:ind w:left="1916" w:leftChars="760" w:hanging="320" w:hangingChars="100"/>
        <w:textAlignment w:val="auto"/>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康复类医疗服务价格项目废止表</w:t>
      </w:r>
    </w:p>
    <w:p w14:paraId="68155BE9">
      <w:pPr>
        <w:keepNext w:val="0"/>
        <w:keepLines w:val="0"/>
        <w:pageBreakBefore w:val="0"/>
        <w:widowControl w:val="0"/>
        <w:numPr>
          <w:ilvl w:val="0"/>
          <w:numId w:val="0"/>
        </w:numPr>
        <w:kinsoku/>
        <w:wordWrap/>
        <w:overflowPunct/>
        <w:topLinePunct w:val="0"/>
        <w:bidi w:val="0"/>
        <w:snapToGrid/>
        <w:spacing w:line="560" w:lineRule="exact"/>
        <w:ind w:leftChars="66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（以电子版形式提供）</w:t>
      </w:r>
    </w:p>
    <w:p w14:paraId="0C32C8CB">
      <w:pPr>
        <w:pStyle w:val="3"/>
        <w:keepNext w:val="0"/>
        <w:keepLines w:val="0"/>
        <w:pageBreakBefore w:val="0"/>
        <w:widowControl w:val="0"/>
        <w:kinsoku/>
        <w:wordWrap/>
        <w:overflowPunct/>
        <w:topLinePunct w:val="0"/>
        <w:autoSpaceDE/>
        <w:autoSpaceDN/>
        <w:bidi w:val="0"/>
        <w:adjustRightInd/>
        <w:snapToGrid/>
        <w:spacing w:after="0" w:line="560" w:lineRule="exact"/>
        <w:ind w:left="0" w:firstLine="640"/>
        <w:textAlignment w:val="auto"/>
        <w:rPr>
          <w:rFonts w:hint="eastAsia" w:ascii="仿宋" w:hAnsi="仿宋" w:eastAsia="仿宋" w:cs="仿宋"/>
          <w:sz w:val="32"/>
          <w:szCs w:val="32"/>
          <w:lang w:val="en-US" w:eastAsia="zh-CN"/>
        </w:rPr>
      </w:pPr>
    </w:p>
    <w:p w14:paraId="56A819D8">
      <w:pPr>
        <w:pStyle w:val="3"/>
        <w:keepNext w:val="0"/>
        <w:keepLines w:val="0"/>
        <w:pageBreakBefore w:val="0"/>
        <w:widowControl w:val="0"/>
        <w:kinsoku/>
        <w:wordWrap/>
        <w:overflowPunct/>
        <w:topLinePunct w:val="0"/>
        <w:autoSpaceDE/>
        <w:autoSpaceDN/>
        <w:bidi w:val="0"/>
        <w:adjustRightInd/>
        <w:snapToGrid/>
        <w:spacing w:after="0" w:line="560" w:lineRule="exact"/>
        <w:ind w:left="0" w:firstLine="640"/>
        <w:textAlignment w:val="auto"/>
        <w:rPr>
          <w:rFonts w:hint="eastAsia" w:ascii="仿宋" w:hAnsi="仿宋" w:eastAsia="仿宋" w:cs="仿宋"/>
          <w:sz w:val="32"/>
          <w:szCs w:val="32"/>
          <w:lang w:val="en-US" w:eastAsia="zh-CN"/>
        </w:rPr>
      </w:pPr>
    </w:p>
    <w:p w14:paraId="6B63D7AB">
      <w:pPr>
        <w:pStyle w:val="3"/>
        <w:keepNext w:val="0"/>
        <w:keepLines w:val="0"/>
        <w:pageBreakBefore w:val="0"/>
        <w:widowControl w:val="0"/>
        <w:kinsoku/>
        <w:wordWrap/>
        <w:overflowPunct/>
        <w:topLinePunct w:val="0"/>
        <w:autoSpaceDE/>
        <w:autoSpaceDN/>
        <w:bidi w:val="0"/>
        <w:adjustRightInd/>
        <w:snapToGrid/>
        <w:spacing w:after="0" w:line="560" w:lineRule="exact"/>
        <w:ind w:left="0" w:firstLine="640"/>
        <w:textAlignment w:val="auto"/>
        <w:rPr>
          <w:rFonts w:hint="eastAsia" w:ascii="仿宋" w:hAnsi="仿宋" w:eastAsia="仿宋" w:cs="仿宋"/>
          <w:sz w:val="32"/>
          <w:szCs w:val="32"/>
          <w:lang w:val="en-US" w:eastAsia="zh-CN"/>
        </w:rPr>
      </w:pPr>
    </w:p>
    <w:p w14:paraId="14E672AB">
      <w:pPr>
        <w:pStyle w:val="3"/>
        <w:keepNext w:val="0"/>
        <w:keepLines w:val="0"/>
        <w:pageBreakBefore w:val="0"/>
        <w:widowControl w:val="0"/>
        <w:kinsoku/>
        <w:wordWrap/>
        <w:overflowPunct/>
        <w:topLinePunct w:val="0"/>
        <w:autoSpaceDE/>
        <w:autoSpaceDN/>
        <w:bidi w:val="0"/>
        <w:adjustRightInd/>
        <w:snapToGrid/>
        <w:spacing w:after="0" w:line="560" w:lineRule="exact"/>
        <w:ind w:left="0" w:firstLine="4960" w:firstLineChars="155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阳江市医疗保障局</w:t>
      </w:r>
    </w:p>
    <w:p w14:paraId="70EAB360">
      <w:pPr>
        <w:pStyle w:val="3"/>
        <w:keepNext w:val="0"/>
        <w:keepLines w:val="0"/>
        <w:pageBreakBefore w:val="0"/>
        <w:widowControl w:val="0"/>
        <w:kinsoku/>
        <w:wordWrap/>
        <w:overflowPunct/>
        <w:topLinePunct w:val="0"/>
        <w:autoSpaceDE/>
        <w:autoSpaceDN/>
        <w:bidi w:val="0"/>
        <w:adjustRightInd/>
        <w:snapToGrid/>
        <w:spacing w:after="0" w:line="560" w:lineRule="exact"/>
        <w:ind w:left="0" w:firstLine="4960" w:firstLineChars="155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2026年  </w:t>
      </w:r>
      <w:bookmarkStart w:id="0" w:name="_GoBack"/>
      <w:bookmarkEnd w:id="0"/>
      <w:r>
        <w:rPr>
          <w:rFonts w:hint="eastAsia" w:ascii="仿宋" w:hAnsi="仿宋" w:eastAsia="仿宋" w:cs="仿宋"/>
          <w:sz w:val="32"/>
          <w:szCs w:val="32"/>
          <w:lang w:val="en-US" w:eastAsia="zh-CN"/>
        </w:rPr>
        <w:t>月  日</w:t>
      </w:r>
    </w:p>
    <w:p w14:paraId="7A9A8031"/>
    <w:sectPr>
      <w:footerReference r:id="rId3" w:type="default"/>
      <w:pgSz w:w="11906" w:h="16838"/>
      <w:pgMar w:top="2098" w:right="1474" w:bottom="1984" w:left="1587" w:header="851" w:footer="1361" w:gutter="0"/>
      <w:pgNumType w:fmt="decimal"/>
      <w:cols w:space="72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D5CC7A9-23CD-4359-B0BD-4FB88C82CE2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0D69474-FAD7-4298-8207-26125DA0C0F6}"/>
  </w:font>
  <w:font w:name="方正仿宋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3" w:fontKey="{20081D22-0ACA-4C33-B969-0EAC24BE4413}"/>
  </w:font>
  <w:font w:name="仿宋">
    <w:panose1 w:val="02010609060101010101"/>
    <w:charset w:val="86"/>
    <w:family w:val="auto"/>
    <w:pitch w:val="default"/>
    <w:sig w:usb0="800002BF" w:usb1="38CF7CFA" w:usb2="00000016" w:usb3="00000000" w:csb0="00040001" w:csb1="00000000"/>
    <w:embedRegular r:id="rId4" w:fontKey="{375BBF38-91F3-4161-92FB-FD8D021B5692}"/>
  </w:font>
  <w:font w:name="方正小标宋简体">
    <w:panose1 w:val="02000000000000000000"/>
    <w:charset w:val="86"/>
    <w:family w:val="auto"/>
    <w:pitch w:val="default"/>
    <w:sig w:usb0="00000001" w:usb1="08000000" w:usb2="00000000" w:usb3="00000000" w:csb0="00040000" w:csb1="00000000"/>
    <w:embedRegular r:id="rId5" w:fontKey="{5BA0B689-E44C-451B-9410-BC80367F238F}"/>
  </w:font>
  <w:font w:name="KSOFE44F9426">
    <w:panose1 w:val="02010609060101010101"/>
    <w:charset w:val="86"/>
    <w:family w:val="auto"/>
    <w:pitch w:val="default"/>
    <w:sig w:usb0="00000001" w:usb1="00000000" w:usb2="00000000" w:usb3="00000000" w:csb0="00040001" w:csb1="00000000"/>
  </w:font>
  <w:font w:name="KSOF025BBAAE">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3B47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7949DD">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E7949DD">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3E7192"/>
    <w:multiLevelType w:val="singleLevel"/>
    <w:tmpl w:val="383E7192"/>
    <w:lvl w:ilvl="0" w:tentative="0">
      <w:start w:val="2"/>
      <w:numFmt w:val="decimal"/>
      <w:lvlText w:val="%1."/>
      <w:lvlJc w:val="left"/>
      <w:pPr>
        <w:tabs>
          <w:tab w:val="left" w:pos="312"/>
        </w:tabs>
      </w:pPr>
    </w:lvl>
  </w:abstractNum>
  <w:abstractNum w:abstractNumId="1">
    <w:nsid w:val="6F5CBF34"/>
    <w:multiLevelType w:val="singleLevel"/>
    <w:tmpl w:val="6F5CBF34"/>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zYTNjZjcyNzQ2NDVlMzA1ZGY0ZTNhNmFlOWNhYmQifQ=="/>
  </w:docVars>
  <w:rsids>
    <w:rsidRoot w:val="00000000"/>
    <w:rsid w:val="00394543"/>
    <w:rsid w:val="00B40401"/>
    <w:rsid w:val="00CD79DA"/>
    <w:rsid w:val="01625764"/>
    <w:rsid w:val="01A00C4B"/>
    <w:rsid w:val="030F31DC"/>
    <w:rsid w:val="0414565C"/>
    <w:rsid w:val="04983E5B"/>
    <w:rsid w:val="051C5FC6"/>
    <w:rsid w:val="06FE6B3F"/>
    <w:rsid w:val="07BD4509"/>
    <w:rsid w:val="07CF12CC"/>
    <w:rsid w:val="09532895"/>
    <w:rsid w:val="096E0789"/>
    <w:rsid w:val="09D8517B"/>
    <w:rsid w:val="0A483328"/>
    <w:rsid w:val="0CC64C10"/>
    <w:rsid w:val="0D0753D1"/>
    <w:rsid w:val="0EB53765"/>
    <w:rsid w:val="102D6397"/>
    <w:rsid w:val="136936AE"/>
    <w:rsid w:val="14283019"/>
    <w:rsid w:val="14AA0C13"/>
    <w:rsid w:val="150512E4"/>
    <w:rsid w:val="154D3089"/>
    <w:rsid w:val="179601B1"/>
    <w:rsid w:val="191A6188"/>
    <w:rsid w:val="1C1C4F1A"/>
    <w:rsid w:val="1CE77EC0"/>
    <w:rsid w:val="1D83441C"/>
    <w:rsid w:val="1D8911BE"/>
    <w:rsid w:val="1EF96D75"/>
    <w:rsid w:val="1EFC1FBA"/>
    <w:rsid w:val="1FF42436"/>
    <w:rsid w:val="217229B1"/>
    <w:rsid w:val="222B40F3"/>
    <w:rsid w:val="23154CC0"/>
    <w:rsid w:val="23AD76CF"/>
    <w:rsid w:val="2711228D"/>
    <w:rsid w:val="29667D65"/>
    <w:rsid w:val="29E702A0"/>
    <w:rsid w:val="2D5D5D34"/>
    <w:rsid w:val="2D8868B3"/>
    <w:rsid w:val="300321AA"/>
    <w:rsid w:val="319D2ECE"/>
    <w:rsid w:val="329E4752"/>
    <w:rsid w:val="33545636"/>
    <w:rsid w:val="33832D50"/>
    <w:rsid w:val="35234E2B"/>
    <w:rsid w:val="35CF657A"/>
    <w:rsid w:val="36040F8B"/>
    <w:rsid w:val="38BE13DB"/>
    <w:rsid w:val="39795985"/>
    <w:rsid w:val="3B213704"/>
    <w:rsid w:val="3B893940"/>
    <w:rsid w:val="3F30752E"/>
    <w:rsid w:val="3F815541"/>
    <w:rsid w:val="40257EB6"/>
    <w:rsid w:val="40C75FB9"/>
    <w:rsid w:val="418A4550"/>
    <w:rsid w:val="42ED7EB5"/>
    <w:rsid w:val="43655275"/>
    <w:rsid w:val="438420BC"/>
    <w:rsid w:val="43FF0FF3"/>
    <w:rsid w:val="44E96005"/>
    <w:rsid w:val="44F70BB8"/>
    <w:rsid w:val="454D4212"/>
    <w:rsid w:val="47215B75"/>
    <w:rsid w:val="47610441"/>
    <w:rsid w:val="482D7A75"/>
    <w:rsid w:val="49047674"/>
    <w:rsid w:val="497902D7"/>
    <w:rsid w:val="4B4977A6"/>
    <w:rsid w:val="4D8B58D8"/>
    <w:rsid w:val="4E327D25"/>
    <w:rsid w:val="4EBB3F9B"/>
    <w:rsid w:val="507605D4"/>
    <w:rsid w:val="51DD6B7D"/>
    <w:rsid w:val="535624E4"/>
    <w:rsid w:val="54871C6E"/>
    <w:rsid w:val="55802FC7"/>
    <w:rsid w:val="56327FF9"/>
    <w:rsid w:val="5644102F"/>
    <w:rsid w:val="5BAA7EFA"/>
    <w:rsid w:val="5BB46942"/>
    <w:rsid w:val="5E79177D"/>
    <w:rsid w:val="5E7950D9"/>
    <w:rsid w:val="5E7F023D"/>
    <w:rsid w:val="5EDB0F96"/>
    <w:rsid w:val="5FFC38D2"/>
    <w:rsid w:val="604D28D9"/>
    <w:rsid w:val="606B7EDA"/>
    <w:rsid w:val="612F00CC"/>
    <w:rsid w:val="624E4A30"/>
    <w:rsid w:val="63F8134C"/>
    <w:rsid w:val="64994927"/>
    <w:rsid w:val="6674578B"/>
    <w:rsid w:val="66920FE9"/>
    <w:rsid w:val="66E374F2"/>
    <w:rsid w:val="69272501"/>
    <w:rsid w:val="6A4969FF"/>
    <w:rsid w:val="6AB26742"/>
    <w:rsid w:val="6B6317EA"/>
    <w:rsid w:val="6B783B32"/>
    <w:rsid w:val="6DA643A3"/>
    <w:rsid w:val="6DD676B6"/>
    <w:rsid w:val="70085819"/>
    <w:rsid w:val="702C48A1"/>
    <w:rsid w:val="7190490D"/>
    <w:rsid w:val="73CA199A"/>
    <w:rsid w:val="74273CFD"/>
    <w:rsid w:val="755D329F"/>
    <w:rsid w:val="75A031F5"/>
    <w:rsid w:val="76894AE1"/>
    <w:rsid w:val="779A73D7"/>
    <w:rsid w:val="79220189"/>
    <w:rsid w:val="7A4A4789"/>
    <w:rsid w:val="7E067AFE"/>
    <w:rsid w:val="7F567A43"/>
    <w:rsid w:val="7F892909"/>
    <w:rsid w:val="7FBD3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cs="Times New Roman"/>
    </w:rPr>
  </w:style>
  <w:style w:type="paragraph" w:styleId="3">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Default"/>
    <w:basedOn w:val="10"/>
    <w:next w:val="1"/>
    <w:qFormat/>
    <w:uiPriority w:val="99"/>
    <w:pPr>
      <w:widowControl w:val="0"/>
      <w:autoSpaceDE w:val="0"/>
      <w:autoSpaceDN w:val="0"/>
      <w:adjustRightInd w:val="0"/>
    </w:pPr>
    <w:rPr>
      <w:rFonts w:hint="eastAsia" w:ascii="方正仿宋简体" w:hAnsi="方正仿宋简体" w:eastAsia="方正仿宋简体" w:cs="Times New Roman"/>
      <w:color w:val="000000"/>
      <w:sz w:val="24"/>
      <w:szCs w:val="22"/>
      <w:lang w:val="en-US" w:eastAsia="zh-CN" w:bidi="ar-SA"/>
    </w:rPr>
  </w:style>
  <w:style w:type="paragraph" w:customStyle="1" w:styleId="10">
    <w:name w:val="正文 New"/>
    <w:next w:val="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标题 2 New"/>
    <w:basedOn w:val="10"/>
    <w:next w:val="10"/>
    <w:qFormat/>
    <w:uiPriority w:val="0"/>
    <w:pPr>
      <w:keepNext/>
      <w:keepLines/>
      <w:spacing w:before="260" w:after="260" w:line="416" w:lineRule="auto"/>
      <w:outlineLvl w:val="1"/>
    </w:pPr>
    <w:rPr>
      <w:rFonts w:ascii="Calibri Light" w:hAnsi="Calibri Light" w:eastAsia="宋体" w:cs="Times New Roman"/>
      <w:b/>
      <w:bCs/>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1373</Words>
  <Characters>1416</Characters>
  <Lines>0</Lines>
  <Paragraphs>0</Paragraphs>
  <TotalTime>8</TotalTime>
  <ScaleCrop>false</ScaleCrop>
  <LinksUpToDate>false</LinksUpToDate>
  <CharactersWithSpaces>1418</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2024-09-10T02:37:00Z</dcterms:created>
  <dc:creator>LENOVO</dc:creator>
  <cp:lastModifiedBy>良</cp:lastModifiedBy>
  <cp:lastPrinted>2025-07-03T09:30:00Z</cp:lastPrinted>
  <dcterms:modified xsi:type="dcterms:W3CDTF">2026-05-27T09:39:48Z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7BAC2FE58CEC4271B820DC1272A924A0_13</vt:lpwstr>
  </property>
  <property fmtid="{D5CDD505-2E9C-101B-9397-08002B2CF9AE}" pid="4" name="KSOTemplateDocerSaveRecord">
    <vt:lpwstr>eyJoZGlkIjoiNzk5YzYyYzNlMzA3MDk4NGMyOTE4MTJlMWYwMWMzMmIiLCJ1c2VySWQiOiIxODE3Mjg5MzgzIn0=</vt:lpwstr>
  </property>
</Properties>
</file>