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0698A">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both"/>
        <w:textAlignment w:val="auto"/>
        <w:outlineLvl w:val="9"/>
        <w:rPr>
          <w:rFonts w:hint="default"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以此件为准</w:t>
      </w:r>
    </w:p>
    <w:p w14:paraId="6BE3F2D5">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宋体" w:hAnsi="宋体"/>
          <w:b/>
          <w:bCs/>
          <w:sz w:val="32"/>
          <w:szCs w:val="32"/>
        </w:rPr>
      </w:pPr>
    </w:p>
    <w:p w14:paraId="7BE41C82">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宋体" w:hAnsi="宋体"/>
          <w:b/>
          <w:bCs/>
          <w:sz w:val="32"/>
          <w:szCs w:val="32"/>
        </w:rPr>
      </w:pPr>
    </w:p>
    <w:p w14:paraId="51B99B6C">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宋体" w:hAnsi="宋体"/>
          <w:b/>
          <w:bCs/>
          <w:sz w:val="32"/>
          <w:szCs w:val="32"/>
        </w:rPr>
      </w:pPr>
    </w:p>
    <w:p w14:paraId="4095A778">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eastAsia" w:ascii="宋体" w:hAnsi="宋体"/>
          <w:b/>
          <w:bCs/>
          <w:sz w:val="32"/>
          <w:szCs w:val="32"/>
        </w:rPr>
      </w:pPr>
    </w:p>
    <w:p w14:paraId="193B4902">
      <w:pPr>
        <w:keepNext w:val="0"/>
        <w:keepLines w:val="0"/>
        <w:pageBreakBefore w:val="0"/>
        <w:widowControl w:val="0"/>
        <w:kinsoku/>
        <w:wordWrap/>
        <w:overflowPunct/>
        <w:topLinePunct w:val="0"/>
        <w:autoSpaceDE/>
        <w:autoSpaceDN/>
        <w:bidi w:val="0"/>
        <w:adjustRightInd/>
        <w:spacing w:line="620" w:lineRule="exact"/>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阳医保通</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2024</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7号</w:t>
      </w:r>
    </w:p>
    <w:p w14:paraId="0134FEC9">
      <w:pPr>
        <w:keepNext w:val="0"/>
        <w:keepLines w:val="0"/>
        <w:pageBreakBefore w:val="0"/>
        <w:widowControl w:val="0"/>
        <w:kinsoku/>
        <w:wordWrap/>
        <w:overflowPunct/>
        <w:topLinePunct w:val="0"/>
        <w:autoSpaceDE/>
        <w:autoSpaceDN/>
        <w:bidi w:val="0"/>
        <w:adjustRightInd/>
        <w:snapToGrid w:val="0"/>
        <w:spacing w:line="620" w:lineRule="exact"/>
        <w:ind w:left="0" w:leftChars="0" w:right="0" w:rightChars="0" w:firstLine="0" w:firstLineChars="0"/>
        <w:jc w:val="center"/>
        <w:textAlignment w:val="auto"/>
        <w:outlineLvl w:val="9"/>
        <w:rPr>
          <w:rFonts w:hint="eastAsia" w:ascii="仿宋" w:hAnsi="仿宋" w:eastAsia="仿宋" w:cs="仿宋"/>
          <w:b/>
          <w:bCs/>
          <w:sz w:val="32"/>
          <w:szCs w:val="32"/>
          <w:lang w:val="en-US" w:eastAsia="zh-CN"/>
        </w:rPr>
      </w:pPr>
    </w:p>
    <w:p w14:paraId="050B0F1A">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阳江市医疗保障局关于印发《阳江市医疗保障</w:t>
      </w:r>
    </w:p>
    <w:p w14:paraId="0BD58874">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待遇清单（2024年版）》的通知</w:t>
      </w:r>
    </w:p>
    <w:p w14:paraId="7AC3D591">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 w:hAnsi="仿宋" w:eastAsia="仿宋" w:cs="仿宋"/>
          <w:sz w:val="32"/>
          <w:szCs w:val="32"/>
          <w:lang w:val="en-US" w:eastAsia="zh-CN"/>
        </w:rPr>
      </w:pPr>
    </w:p>
    <w:p w14:paraId="20B76961">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市医疗保障事业管理中心，各县（市、区）医疗保障局，各定点医药机构：</w:t>
      </w:r>
    </w:p>
    <w:p w14:paraId="211BF421">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为保障人民群众医保权益，促进医疗保障制度管理规范化，根据《广东省医疗保障局 广东省财政厅关于建立广东省医疗保障待遇清单制度的实施方案》（粤医保规〔2022〕3号）精神，我局将现行的医疗保障待遇政策汇总编制成《阳江市医疗保障待遇清单（2024年版）》，现印发给你们，请认真贯彻执行。待遇清单执行过程中如遇国家、省、市有新的文件规定的，按新的文件规定执行。</w:t>
      </w:r>
    </w:p>
    <w:p w14:paraId="5F846764">
      <w:pPr>
        <w:pStyle w:val="4"/>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default"/>
          <w:lang w:val="en-US" w:eastAsia="zh-CN"/>
        </w:rPr>
      </w:pPr>
    </w:p>
    <w:p w14:paraId="61A66712">
      <w:pPr>
        <w:keepNext w:val="0"/>
        <w:keepLines w:val="0"/>
        <w:pageBreakBefore w:val="0"/>
        <w:widowControl w:val="0"/>
        <w:kinsoku/>
        <w:wordWrap/>
        <w:overflowPunct/>
        <w:topLinePunct w:val="0"/>
        <w:autoSpaceDE/>
        <w:autoSpaceDN/>
        <w:bidi w:val="0"/>
        <w:adjustRightInd/>
        <w:snapToGrid/>
        <w:spacing w:line="600" w:lineRule="exact"/>
        <w:ind w:firstLine="640"/>
        <w:jc w:val="lef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附件：《阳江市医疗保障待遇清单（2024年版）》</w:t>
      </w:r>
    </w:p>
    <w:p w14:paraId="2F458054">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（此页无正文）</w:t>
      </w:r>
    </w:p>
    <w:p w14:paraId="78B3A518">
      <w:pPr>
        <w:pStyle w:val="12"/>
        <w:keepNext w:val="0"/>
        <w:keepLines w:val="0"/>
        <w:pageBreakBefore w:val="0"/>
        <w:widowControl w:val="0"/>
        <w:kinsoku/>
        <w:wordWrap/>
        <w:overflowPunct/>
        <w:topLinePunct w:val="0"/>
        <w:autoSpaceDE w:val="0"/>
        <w:autoSpaceDN w:val="0"/>
        <w:bidi w:val="0"/>
        <w:adjustRightInd w:val="0"/>
        <w:snapToGrid/>
        <w:spacing w:line="600" w:lineRule="exact"/>
        <w:textAlignment w:val="auto"/>
        <w:outlineLvl w:val="9"/>
        <w:rPr>
          <w:rFonts w:hint="eastAsia" w:ascii="仿宋" w:hAnsi="仿宋" w:eastAsia="仿宋" w:cs="仿宋"/>
          <w:sz w:val="32"/>
          <w:szCs w:val="32"/>
          <w:lang w:val="en-US" w:eastAsia="zh-CN"/>
        </w:rPr>
      </w:pPr>
    </w:p>
    <w:p w14:paraId="53EDE162">
      <w:pPr>
        <w:pStyle w:val="12"/>
        <w:keepNext w:val="0"/>
        <w:keepLines w:val="0"/>
        <w:pageBreakBefore w:val="0"/>
        <w:widowControl w:val="0"/>
        <w:kinsoku/>
        <w:wordWrap/>
        <w:overflowPunct/>
        <w:topLinePunct w:val="0"/>
        <w:autoSpaceDE w:val="0"/>
        <w:autoSpaceDN w:val="0"/>
        <w:bidi w:val="0"/>
        <w:adjustRightInd w:val="0"/>
        <w:snapToGrid/>
        <w:spacing w:line="600" w:lineRule="exact"/>
        <w:textAlignment w:val="auto"/>
        <w:outlineLvl w:val="9"/>
        <w:rPr>
          <w:rFonts w:hint="eastAsia" w:ascii="仿宋" w:hAnsi="仿宋" w:eastAsia="仿宋" w:cs="仿宋"/>
          <w:sz w:val="32"/>
          <w:szCs w:val="32"/>
          <w:lang w:val="en-US" w:eastAsia="zh-CN"/>
        </w:rPr>
      </w:pPr>
    </w:p>
    <w:p w14:paraId="24045B1B">
      <w:pPr>
        <w:pStyle w:val="12"/>
        <w:keepNext w:val="0"/>
        <w:keepLines w:val="0"/>
        <w:pageBreakBefore w:val="0"/>
        <w:widowControl w:val="0"/>
        <w:kinsoku/>
        <w:wordWrap/>
        <w:overflowPunct/>
        <w:topLinePunct w:val="0"/>
        <w:autoSpaceDE w:val="0"/>
        <w:autoSpaceDN w:val="0"/>
        <w:bidi w:val="0"/>
        <w:adjustRightInd w:val="0"/>
        <w:snapToGrid/>
        <w:spacing w:line="600" w:lineRule="exact"/>
        <w:textAlignment w:val="auto"/>
        <w:outlineLvl w:val="9"/>
        <w:rPr>
          <w:rFonts w:hint="eastAsia" w:ascii="仿宋" w:hAnsi="仿宋" w:eastAsia="仿宋" w:cs="仿宋"/>
          <w:sz w:val="32"/>
          <w:szCs w:val="32"/>
          <w:lang w:val="en-US" w:eastAsia="zh-CN"/>
        </w:rPr>
      </w:pPr>
    </w:p>
    <w:p w14:paraId="4899D189">
      <w:pPr>
        <w:keepNext w:val="0"/>
        <w:keepLines w:val="0"/>
        <w:pageBreakBefore w:val="0"/>
        <w:widowControl w:val="0"/>
        <w:kinsoku/>
        <w:wordWrap/>
        <w:overflowPunct/>
        <w:topLinePunct w:val="0"/>
        <w:autoSpaceDE/>
        <w:autoSpaceDN/>
        <w:bidi w:val="0"/>
        <w:adjustRightInd/>
        <w:snapToGrid/>
        <w:spacing w:line="600" w:lineRule="exact"/>
        <w:ind w:firstLine="4960" w:firstLineChars="155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阳江市医疗保障局</w:t>
      </w:r>
    </w:p>
    <w:p w14:paraId="394FA03D">
      <w:pPr>
        <w:keepNext w:val="0"/>
        <w:keepLines w:val="0"/>
        <w:pageBreakBefore w:val="0"/>
        <w:widowControl w:val="0"/>
        <w:kinsoku/>
        <w:wordWrap/>
        <w:overflowPunct/>
        <w:topLinePunct w:val="0"/>
        <w:autoSpaceDE/>
        <w:autoSpaceDN/>
        <w:bidi w:val="0"/>
        <w:adjustRightInd/>
        <w:snapToGrid/>
        <w:spacing w:line="600" w:lineRule="exact"/>
        <w:ind w:firstLine="4960" w:firstLineChars="155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2024年3月14日</w:t>
      </w:r>
    </w:p>
    <w:p w14:paraId="35BF17AA">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both"/>
        <w:textAlignment w:val="auto"/>
        <w:outlineLvl w:val="9"/>
        <w:rPr>
          <w:rFonts w:hint="eastAsia" w:ascii="仿宋" w:hAnsi="仿宋" w:eastAsia="仿宋" w:cs="仿宋"/>
          <w:sz w:val="32"/>
          <w:szCs w:val="32"/>
          <w:lang w:val="en-US" w:eastAsia="zh-CN"/>
        </w:rPr>
        <w:sectPr>
          <w:headerReference r:id="rId3" w:type="first"/>
          <w:footerReference r:id="rId5" w:type="first"/>
          <w:footerReference r:id="rId4" w:type="default"/>
          <w:pgSz w:w="11906" w:h="16838"/>
          <w:pgMar w:top="2098" w:right="1474" w:bottom="1984" w:left="1587" w:header="851" w:footer="1361" w:gutter="0"/>
          <w:pgNumType w:fmt="decimal"/>
          <w:cols w:space="0" w:num="1"/>
          <w:rtlGutter w:val="0"/>
          <w:docGrid w:type="lines" w:linePitch="312" w:charSpace="0"/>
        </w:sectPr>
      </w:pPr>
    </w:p>
    <w:p w14:paraId="21F1C550">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637693E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阳江市医疗保障待遇清单（2024年版）</w:t>
      </w:r>
    </w:p>
    <w:p w14:paraId="1A684548">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14:paraId="0A3E9D43">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一、参保缴费</w:t>
      </w:r>
    </w:p>
    <w:p w14:paraId="43970570">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（一）职工基本医疗保险、生育保险</w:t>
      </w:r>
    </w:p>
    <w:p w14:paraId="3C3ABA2A">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right="0" w:firstLine="643" w:firstLineChars="200"/>
        <w:textAlignment w:val="auto"/>
        <w:outlineLvl w:val="9"/>
        <w:rPr>
          <w:rFonts w:hint="eastAsia" w:ascii="仿宋" w:hAnsi="仿宋" w:eastAsia="仿宋" w:cs="仿宋"/>
          <w:b/>
          <w:bCs/>
          <w:spacing w:val="18"/>
          <w:sz w:val="32"/>
          <w:szCs w:val="32"/>
          <w:lang w:val="en-US" w:eastAsia="zh-CN"/>
        </w:rPr>
      </w:pPr>
      <w:r>
        <w:rPr>
          <w:rFonts w:hint="eastAsia" w:ascii="仿宋" w:hAnsi="仿宋" w:eastAsia="仿宋" w:cs="仿宋"/>
          <w:b/>
          <w:bCs/>
          <w:kern w:val="2"/>
          <w:sz w:val="32"/>
          <w:szCs w:val="32"/>
          <w:lang w:val="en-US" w:eastAsia="zh-CN" w:bidi="ar-SA"/>
        </w:rPr>
        <w:t>1.</w:t>
      </w:r>
      <w:r>
        <w:rPr>
          <w:rFonts w:hint="eastAsia" w:ascii="仿宋" w:hAnsi="仿宋" w:eastAsia="仿宋" w:cs="仿宋"/>
          <w:b/>
          <w:bCs/>
          <w:spacing w:val="18"/>
          <w:sz w:val="32"/>
          <w:szCs w:val="32"/>
          <w:lang w:val="en-US" w:eastAsia="zh-CN"/>
        </w:rPr>
        <w:t>参保范围</w:t>
      </w:r>
    </w:p>
    <w:p w14:paraId="1F73E41B">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 本市行政区域内的下列单位和人员应当参加职工基本医疗保险和生育保险：</w:t>
      </w:r>
    </w:p>
    <w:p w14:paraId="48C6CC2E">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（1）国家机关、企业、事业单位、社会团体、民办非企业单位、基金会、律师事务所、会计师事务所等组织及其在职职工;</w:t>
      </w:r>
    </w:p>
    <w:p w14:paraId="4B1EA541">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（2）有非军籍职工的军队、武警部队所属用人单位及其非军籍职工;</w:t>
      </w:r>
    </w:p>
    <w:p w14:paraId="5DD06971">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（3）有雇工的个体工商户及其雇工;</w:t>
      </w:r>
    </w:p>
    <w:p w14:paraId="1AD5622C">
      <w:pPr>
        <w:pStyle w:val="12"/>
        <w:keepNext w:val="0"/>
        <w:keepLines w:val="0"/>
        <w:pageBreakBefore w:val="0"/>
        <w:widowControl w:val="0"/>
        <w:kinsoku/>
        <w:wordWrap/>
        <w:overflowPunct/>
        <w:topLinePunct w:val="0"/>
        <w:bidi w:val="0"/>
        <w:snapToGrid/>
        <w:spacing w:line="54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（4）领取失业保险金期间的失业人员;</w:t>
      </w:r>
    </w:p>
    <w:p w14:paraId="0D6B54C3">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（5）法律、法规、规章规定的其他单位和人员。</w:t>
      </w:r>
    </w:p>
    <w:p w14:paraId="30ADFA34">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上述所列单位，以下统称用人单位；上述所列人员，以下统称职工。</w:t>
      </w:r>
    </w:p>
    <w:p w14:paraId="5C222181">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职工基本医疗保险和生育保险合并实施，用人单位及其职工同步参加职工基本医疗保险和生育保险。</w:t>
      </w:r>
    </w:p>
    <w:p w14:paraId="104303CD">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 下列人员或者其用人单位按规定参加职工基本医疗保险，无须缴纳生育保险费：</w:t>
      </w:r>
    </w:p>
    <w:p w14:paraId="742C9B11">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（1）无雇工的个体工商户、未在用人单位参加职工基本医疗保险的非全日制从业人员以及其他灵活就业人员(以下统称灵活就业人员)；</w:t>
      </w:r>
    </w:p>
    <w:p w14:paraId="5F5E442D">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（2）因工致残被鉴定为一级至四级伤残并办理伤残退休手续的职工;</w:t>
      </w:r>
    </w:p>
    <w:p w14:paraId="1367B789">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（3）到达法定退休年龄时未达到规定的职工基本医疗保险缴费年限的职工。</w:t>
      </w:r>
    </w:p>
    <w:p w14:paraId="3FA9C7C0">
      <w:pPr>
        <w:keepNext w:val="0"/>
        <w:keepLines w:val="0"/>
        <w:pageBreakBefore w:val="0"/>
        <w:widowControl w:val="0"/>
        <w:kinsoku/>
        <w:wordWrap/>
        <w:overflowPunct/>
        <w:topLinePunct w:val="0"/>
        <w:bidi w:val="0"/>
        <w:snapToGrid/>
        <w:spacing w:line="54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2.筹资政策</w:t>
      </w:r>
    </w:p>
    <w:p w14:paraId="7295F0B4">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2.1 职工基本医疗保险、生育保险：由用人单位和个人按规定缴费。灵活就业人员参加职工基本医疗保险的，由个人按规定缴费。</w:t>
      </w:r>
    </w:p>
    <w:p w14:paraId="42FE1E9C">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2.2 缴费基数</w:t>
      </w:r>
    </w:p>
    <w:p w14:paraId="5BA71E8A">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职工基本医疗保险由用人单位和个人按规定缴费。用人单位缴费基数为本单位职工缴费工资总额，个人缴费基数为本人工资收入。本人工资收入高于19962元的，以19962元为缴费基数；本人工资收入低于3992元的，以3992元为缴费基数。生育保险缴费基数与职工基本医疗保险一致。</w:t>
      </w:r>
    </w:p>
    <w:p w14:paraId="3F2B65F7">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灵活就业人员参加职工基本医疗保险，由个人自行缴费。灵活就业人员以个人申报的工资收入为缴费基数，个人申报工资高于19962元的，以19962元为缴费基数；个人申报工资低于3992元的，以3992元为缴费基数。</w:t>
      </w:r>
    </w:p>
    <w:p w14:paraId="48A68A7D">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领取失业保险金期间的失业人员按照6654元为缴费基数，应当缴纳的职工基本医疗保险费（含个人缴费部分）及生育保险费从失业保险基金中支付，个人不缴纳职工基本医疗保险费及生育保险费，由社会保险经办机构办理代缴职工基本医疗保险及生育保险手续。</w:t>
      </w:r>
    </w:p>
    <w:p w14:paraId="0D389572">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因工致残被鉴定为一级至四级伤残的职工，以工伤职工伤残津贴为缴费基数，由用人单位或工伤保险基金支付单位部分费用，个人部分费用由个人按规定缴纳，由社会保险经办机构办理代缴职工基本医疗保险手续。</w:t>
      </w:r>
    </w:p>
    <w:p w14:paraId="4FC267FC">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（5）已达到法定退休年龄但尚未达到规定缴费年限，继续按月缴费的参保人员，以6654元为缴费基数，由用人单位或参</w:t>
      </w:r>
      <w:r>
        <w:rPr>
          <w:rFonts w:hint="eastAsia" w:ascii="仿宋" w:hAnsi="仿宋" w:eastAsia="仿宋" w:cs="仿宋"/>
          <w:b w:val="0"/>
          <w:bCs w:val="0"/>
          <w:sz w:val="32"/>
          <w:szCs w:val="32"/>
          <w:lang w:val="en-US" w:eastAsia="zh-CN"/>
        </w:rPr>
        <w:t>保人缴纳单位部分费用，个人部分费用无需缴纳。</w:t>
      </w:r>
    </w:p>
    <w:p w14:paraId="08404FCE">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u w:val="none"/>
          <w:lang w:val="en-US" w:eastAsia="zh-CN"/>
        </w:rPr>
      </w:pPr>
      <w:r>
        <w:rPr>
          <w:rFonts w:hint="eastAsia" w:ascii="仿宋" w:hAnsi="仿宋" w:eastAsia="仿宋" w:cs="仿宋"/>
          <w:b w:val="0"/>
          <w:bCs w:val="0"/>
          <w:sz w:val="32"/>
          <w:szCs w:val="32"/>
          <w:u w:val="none"/>
          <w:lang w:val="en-US" w:eastAsia="zh-CN"/>
        </w:rPr>
        <w:t>2.3 缴费比例</w:t>
      </w:r>
    </w:p>
    <w:p w14:paraId="7F67E823">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（1）职工基本医疗保险单位缴费比例为5%，个人缴费比例为2%；生育保险由用人单位缴费，个人不缴费，缴费比例为1% 。</w:t>
      </w:r>
    </w:p>
    <w:p w14:paraId="537C3C4A">
      <w:pPr>
        <w:pStyle w:val="12"/>
        <w:keepNext w:val="0"/>
        <w:keepLines w:val="0"/>
        <w:pageBreakBefore w:val="0"/>
        <w:widowControl w:val="0"/>
        <w:kinsoku/>
        <w:wordWrap/>
        <w:overflowPunct/>
        <w:topLinePunct w:val="0"/>
        <w:bidi w:val="0"/>
        <w:spacing w:line="560" w:lineRule="exact"/>
        <w:ind w:firstLine="640" w:firstLineChars="200"/>
        <w:jc w:val="both"/>
        <w:textAlignment w:val="auto"/>
        <w:rPr>
          <w:rFonts w:hint="eastAsia"/>
          <w:sz w:val="32"/>
          <w:szCs w:val="32"/>
          <w:lang w:val="en-US" w:eastAsia="zh-CN"/>
        </w:rPr>
      </w:pPr>
      <w:r>
        <w:rPr>
          <w:rFonts w:hint="eastAsia" w:ascii="仿宋" w:hAnsi="仿宋" w:eastAsia="仿宋" w:cs="仿宋"/>
          <w:sz w:val="32"/>
          <w:szCs w:val="32"/>
          <w:lang w:val="en-US" w:eastAsia="zh-CN"/>
        </w:rPr>
        <w:t xml:space="preserve">（2）自2024年4月1日起，阶段性降低本市行政区域内的企业、民办非企业单位、律师事务所、会计师事务所、有雇工的个体工商户及灵活就业人员职工基本医疗保险单位缴费率1个百分点，即上述单位缴纳职工基本医疗保险费率由5%下调至4% </w:t>
      </w:r>
      <w:r>
        <w:rPr>
          <w:rFonts w:hint="eastAsia" w:ascii="仿宋" w:hAnsi="仿宋" w:eastAsia="仿宋" w:cs="仿宋"/>
          <w:color w:val="auto"/>
          <w:kern w:val="2"/>
          <w:sz w:val="32"/>
          <w:szCs w:val="32"/>
          <w:lang w:val="en-US" w:eastAsia="zh-CN" w:bidi="ar-SA"/>
        </w:rPr>
        <w:t>。</w:t>
      </w:r>
    </w:p>
    <w:p w14:paraId="1BDEEF31">
      <w:pPr>
        <w:keepNext w:val="0"/>
        <w:keepLines w:val="0"/>
        <w:pageBreakBefore w:val="0"/>
        <w:widowControl w:val="0"/>
        <w:kinsoku/>
        <w:wordWrap/>
        <w:overflowPunct/>
        <w:topLinePunct w:val="0"/>
        <w:bidi w:val="0"/>
        <w:snapToGrid/>
        <w:spacing w:line="56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3.缴费年限</w:t>
      </w:r>
    </w:p>
    <w:p w14:paraId="3C80F9A7">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3.1 女职工</w:t>
      </w:r>
    </w:p>
    <w:p w14:paraId="22C9E2A8">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参加职工基本医疗保险的女职工达到法定退休年龄，在本市实际缴纳职工基本医疗保险满10年，且累计缴费年限满25年的，其退休后用人单位和个人不再缴纳职工基本医疗保险，个人按规定享受退休人员医疗保障待遇。</w:t>
      </w:r>
    </w:p>
    <w:p w14:paraId="40643ECE">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3.2 男职工</w:t>
      </w:r>
    </w:p>
    <w:p w14:paraId="01958637">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男职工基本医疗保险累计缴费年限设置过渡期。从2023年1月起至2025年12月，参加职工基本医疗保险的男职工达到法定退休年龄，在本市实</w:t>
      </w:r>
      <w:r>
        <w:rPr>
          <w:rFonts w:hint="eastAsia" w:ascii="仿宋" w:hAnsi="仿宋" w:eastAsia="仿宋" w:cs="仿宋"/>
          <w:sz w:val="32"/>
          <w:szCs w:val="32"/>
          <w:lang w:val="en-US" w:eastAsia="zh-CN"/>
        </w:rPr>
        <w:t>际缴纳职工基本医疗保险满10年，且累计缴费年限满25年的，其退休后用人单位和个人不再缴纳职工基本医疗保险，个人按规定享受退休人员医疗保障待遇。</w:t>
      </w:r>
    </w:p>
    <w:p w14:paraId="47FF88E6">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2026年1月起，用5年时间逐年调整男职工累计缴费年限至30年，即2026年、2027年、2028年、2029年、2030年及之后，参加职工基本医疗保险的男职工达到法定退休年龄的在本市实际缴纳职工基本医疗保险满10年，且累计缴费年限分别满26年、27年、28年、29年、30年的，其退休后用人单位和个人不再缴纳职工基本医疗保险，个人按规定享受退休人员医疗</w:t>
      </w:r>
      <w:r>
        <w:rPr>
          <w:rFonts w:hint="eastAsia" w:ascii="仿宋" w:hAnsi="仿宋" w:eastAsia="仿宋" w:cs="仿宋"/>
          <w:b w:val="0"/>
          <w:bCs w:val="0"/>
          <w:sz w:val="32"/>
          <w:szCs w:val="32"/>
          <w:lang w:val="en-US" w:eastAsia="zh-CN"/>
        </w:rPr>
        <w:t>保障待遇。</w:t>
      </w:r>
    </w:p>
    <w:p w14:paraId="6F2BC1C9">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3.3 未达缴费年限退休人员缴费办法</w:t>
      </w:r>
    </w:p>
    <w:p w14:paraId="16244EE7">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曾以职工身份参加我市职工基本医疗保险的个人（含灵活就业人员），达到法定退休年龄时，符合本市为待遇享受地且选择本市为职工医保待遇享受地，其累计缴费年限或在本市实际缴费年限不符合本市规定的，自达到法定退休年龄次月起，由个人选择按月或一次性缴费至相应规定年限；个人未及时选择缴费方式的视为自愿按月继续参保缴费。具体按以下方式缴费：</w:t>
      </w:r>
    </w:p>
    <w:p w14:paraId="292F39C0">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（1）按月缴费</w:t>
      </w:r>
    </w:p>
    <w:p w14:paraId="34B18D0B">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u w:val="none"/>
          <w:lang w:val="en-US" w:eastAsia="zh-CN"/>
        </w:rPr>
      </w:pPr>
      <w:r>
        <w:rPr>
          <w:rFonts w:hint="eastAsia" w:ascii="仿宋" w:hAnsi="仿宋" w:eastAsia="仿宋" w:cs="仿宋"/>
          <w:b w:val="0"/>
          <w:bCs w:val="0"/>
          <w:sz w:val="32"/>
          <w:szCs w:val="32"/>
          <w:lang w:val="en-US" w:eastAsia="zh-CN"/>
        </w:rPr>
        <w:t>达到法定退休年龄人员选择按月缴费的，</w:t>
      </w:r>
      <w:r>
        <w:rPr>
          <w:rFonts w:hint="eastAsia" w:ascii="仿宋" w:hAnsi="仿宋" w:eastAsia="仿宋" w:cs="仿宋"/>
          <w:b w:val="0"/>
          <w:bCs w:val="0"/>
          <w:sz w:val="32"/>
          <w:szCs w:val="32"/>
          <w:u w:val="none"/>
          <w:lang w:val="en-US" w:eastAsia="zh-CN"/>
        </w:rPr>
        <w:t>以本市上上年度全口径城镇单位就业人员月平均工资为缴费基数，由用人单位或参保人缴纳单位部分费用，</w:t>
      </w:r>
      <w:r>
        <w:rPr>
          <w:rFonts w:hint="eastAsia" w:ascii="仿宋" w:hAnsi="仿宋" w:eastAsia="仿宋" w:cs="仿宋"/>
          <w:b w:val="0"/>
          <w:bCs w:val="0"/>
          <w:sz w:val="32"/>
          <w:szCs w:val="32"/>
          <w:lang w:val="en-US" w:eastAsia="zh-CN"/>
        </w:rPr>
        <w:t>无需缴纳个人部分费用</w:t>
      </w:r>
      <w:r>
        <w:rPr>
          <w:rFonts w:hint="eastAsia" w:ascii="仿宋" w:hAnsi="仿宋" w:eastAsia="仿宋" w:cs="仿宋"/>
          <w:b w:val="0"/>
          <w:bCs w:val="0"/>
          <w:sz w:val="32"/>
          <w:szCs w:val="32"/>
          <w:u w:val="none"/>
          <w:lang w:val="en-US" w:eastAsia="zh-CN"/>
        </w:rPr>
        <w:t>。按月缴费期间享受在职人员医疗保障待遇，不计发个人账户。缴满规定年限后，享受退休人员医疗保障待遇。按月缴费期间，可申请一次性缴费。</w:t>
      </w:r>
    </w:p>
    <w:p w14:paraId="7CEDAF12">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u w:val="none"/>
          <w:lang w:val="en-US" w:eastAsia="zh-CN"/>
        </w:rPr>
      </w:pPr>
      <w:r>
        <w:rPr>
          <w:rFonts w:hint="eastAsia" w:ascii="仿宋" w:hAnsi="仿宋" w:eastAsia="仿宋" w:cs="仿宋"/>
          <w:b w:val="0"/>
          <w:bCs w:val="0"/>
          <w:sz w:val="32"/>
          <w:szCs w:val="32"/>
          <w:u w:val="none"/>
          <w:lang w:val="en-US" w:eastAsia="zh-CN"/>
        </w:rPr>
        <w:t>（2）一次性缴费</w:t>
      </w:r>
    </w:p>
    <w:p w14:paraId="596F1DE9">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u w:val="none"/>
          <w:lang w:val="en-US" w:eastAsia="zh-CN"/>
        </w:rPr>
      </w:pPr>
      <w:r>
        <w:rPr>
          <w:rFonts w:hint="eastAsia" w:ascii="仿宋" w:hAnsi="仿宋" w:eastAsia="仿宋" w:cs="仿宋"/>
          <w:b w:val="0"/>
          <w:bCs w:val="0"/>
          <w:sz w:val="32"/>
          <w:szCs w:val="32"/>
          <w:lang w:val="en-US" w:eastAsia="zh-CN"/>
        </w:rPr>
        <w:t>达到法定退休年龄人员选择一次性缴费的，以</w:t>
      </w:r>
      <w:r>
        <w:rPr>
          <w:rFonts w:hint="eastAsia" w:ascii="仿宋" w:hAnsi="仿宋" w:eastAsia="仿宋" w:cs="仿宋"/>
          <w:b w:val="0"/>
          <w:bCs w:val="0"/>
          <w:sz w:val="32"/>
          <w:szCs w:val="32"/>
          <w:u w:val="none"/>
          <w:lang w:val="en-US" w:eastAsia="zh-CN"/>
        </w:rPr>
        <w:t>6654元为缴费基数，按照5%的缴费比例一次性缴费至相应规定年限。参保人从一次性缴费到账次月起享受</w:t>
      </w:r>
      <w:r>
        <w:rPr>
          <w:rFonts w:hint="eastAsia" w:ascii="仿宋" w:hAnsi="仿宋" w:eastAsia="仿宋" w:cs="仿宋"/>
          <w:b w:val="0"/>
          <w:bCs w:val="0"/>
          <w:sz w:val="32"/>
          <w:szCs w:val="32"/>
          <w:lang w:val="en-US" w:eastAsia="zh-CN"/>
        </w:rPr>
        <w:t>退休人员医疗保障待遇</w:t>
      </w:r>
      <w:r>
        <w:rPr>
          <w:rFonts w:hint="eastAsia" w:ascii="仿宋" w:hAnsi="仿宋" w:eastAsia="仿宋" w:cs="仿宋"/>
          <w:b w:val="0"/>
          <w:bCs w:val="0"/>
          <w:sz w:val="32"/>
          <w:szCs w:val="32"/>
          <w:u w:val="none"/>
          <w:lang w:val="en-US" w:eastAsia="zh-CN"/>
        </w:rPr>
        <w:t>。</w:t>
      </w:r>
    </w:p>
    <w:p w14:paraId="45326050">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（3）按照国家、省、市规定办理医疗保险关系转移接续的市外职工基本医疗保险缴费年限纳入累计缴费年限计算。军人服现役年限视同职工基本医疗保险实际缴费年限。</w:t>
      </w:r>
    </w:p>
    <w:p w14:paraId="26BC0FA6">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2023年1月1日前已达到法定退休年龄并选择一次性趸缴或按月已缴满规定年限的人员不再缴纳职工基本医疗保险；已选择一次性趸缴的，所缴纳的职工医保费不予退还；按月缴费的，累计缴费年限和本市实际缴费年限已达到规定要求的，不再缴纳职工基本医疗保险，超出部分不予退还。</w:t>
      </w:r>
    </w:p>
    <w:p w14:paraId="454159D0">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（5）职工基本医疗保险的实际缴费年限和累计缴费年限按参保人实际缴费月数和视同缴费月数计算。</w:t>
      </w:r>
    </w:p>
    <w:p w14:paraId="51C7514F">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（二）职工大额医疗费用补助</w:t>
      </w:r>
    </w:p>
    <w:p w14:paraId="6AD5036F">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1.参保范围</w:t>
      </w:r>
    </w:p>
    <w:p w14:paraId="1DF411D1">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参加职工基本医疗保险的人员同步参加职工大额医疗费用补助。领取失业保险金期间的失业人员及因工致残被鉴定为一级至四级伤残的职工按照自愿原则参加职工大额医疗费用补助，由个人自行缴费。</w:t>
      </w:r>
    </w:p>
    <w:p w14:paraId="2B49260E">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left="0" w:leftChars="0"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2.筹资政策</w:t>
      </w:r>
    </w:p>
    <w:p w14:paraId="02F7022C">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 职工大额医疗费用补助由用人单位或参保人按月缴费。</w:t>
      </w:r>
    </w:p>
    <w:p w14:paraId="08506792">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2.2 职工大额医疗费用补助不设置缴费年限，实行按月缴费，缴费标准为24元/月.人。</w:t>
      </w:r>
    </w:p>
    <w:p w14:paraId="13DD3664">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（三）公务员医疗补助</w:t>
      </w:r>
    </w:p>
    <w:p w14:paraId="254EE9BB">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firstLine="643" w:firstLineChars="200"/>
        <w:textAlignment w:val="auto"/>
        <w:outlineLvl w:val="9"/>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1.参保范围</w:t>
      </w:r>
    </w:p>
    <w:p w14:paraId="12E8304C">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right="0" w:firstLine="640" w:firstLineChars="200"/>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本市</w:t>
      </w:r>
      <w:r>
        <w:rPr>
          <w:rFonts w:hint="default" w:ascii="仿宋" w:hAnsi="仿宋" w:eastAsia="仿宋" w:cs="仿宋"/>
          <w:kern w:val="2"/>
          <w:sz w:val="32"/>
          <w:szCs w:val="32"/>
          <w:lang w:val="en-US" w:eastAsia="zh-CN" w:bidi="ar-SA"/>
        </w:rPr>
        <w:t>行政区域内的下列单位和人员</w:t>
      </w:r>
      <w:r>
        <w:rPr>
          <w:rFonts w:hint="eastAsia" w:ascii="仿宋" w:hAnsi="仿宋" w:eastAsia="仿宋" w:cs="仿宋"/>
          <w:kern w:val="2"/>
          <w:sz w:val="32"/>
          <w:szCs w:val="32"/>
          <w:lang w:val="en-US" w:eastAsia="zh-CN" w:bidi="ar-SA"/>
        </w:rPr>
        <w:t>可申请</w:t>
      </w:r>
      <w:r>
        <w:rPr>
          <w:rFonts w:hint="default" w:ascii="仿宋" w:hAnsi="仿宋" w:eastAsia="仿宋" w:cs="仿宋"/>
          <w:kern w:val="2"/>
          <w:sz w:val="32"/>
          <w:szCs w:val="32"/>
          <w:lang w:val="en-US" w:eastAsia="zh-CN" w:bidi="ar-SA"/>
        </w:rPr>
        <w:t>参加</w:t>
      </w:r>
      <w:r>
        <w:rPr>
          <w:rFonts w:hint="eastAsia" w:ascii="仿宋" w:hAnsi="仿宋" w:eastAsia="仿宋" w:cs="仿宋"/>
          <w:kern w:val="2"/>
          <w:sz w:val="32"/>
          <w:szCs w:val="32"/>
          <w:lang w:val="en-US" w:eastAsia="zh-CN" w:bidi="ar-SA"/>
        </w:rPr>
        <w:t>公务员医疗补助：</w:t>
      </w:r>
    </w:p>
    <w:p w14:paraId="32E2E0B8">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left="0" w:leftChars="0" w:firstLine="640" w:firstLineChars="200"/>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（1）各级机关、事业单位在职人员和退休人员；</w:t>
      </w:r>
    </w:p>
    <w:p w14:paraId="7981DC19">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left="0" w:leftChars="0" w:firstLine="640" w:firstLineChars="200"/>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（2）各中央直属、省直属机关单位在职人员和退休人员；</w:t>
      </w:r>
    </w:p>
    <w:p w14:paraId="193FC55B">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left="0" w:leftChars="0" w:firstLine="640" w:firstLineChars="200"/>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（3）各国有企业在职人员和退休人员。</w:t>
      </w:r>
    </w:p>
    <w:p w14:paraId="1F6C410E">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left="0" w:leftChars="0"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2.筹资政策</w:t>
      </w:r>
    </w:p>
    <w:p w14:paraId="31689B6F">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right="0" w:firstLine="640" w:firstLineChars="200"/>
        <w:textAlignment w:val="auto"/>
        <w:outlineLvl w:val="9"/>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公务员医疗补助由用人单位按月缴费，不设置缴费年限，缴费标准为60元/月.人（其中5元划入个人账户）。</w:t>
      </w:r>
    </w:p>
    <w:p w14:paraId="66A44ABE">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left="0" w:leftChars="0"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（四）城乡居民医保</w:t>
      </w:r>
    </w:p>
    <w:p w14:paraId="3BDBFCAA">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left="0" w:leftChars="0"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1.参保范围</w:t>
      </w:r>
    </w:p>
    <w:p w14:paraId="63CAE7D5">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1.1 下列人员可参加本市城乡居民基本医疗保险：</w:t>
      </w:r>
    </w:p>
    <w:p w14:paraId="61E2E7FA">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（1）未参加职工基本医疗保险的本市户籍城乡居民（以下统称为城乡居民）;</w:t>
      </w:r>
    </w:p>
    <w:p w14:paraId="7AA3151E">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（2）未参加职工基本医疗保险的持本市居住证人员（含持本市居住证的港澳台居民）（以下统称为持居住证人员）;</w:t>
      </w:r>
    </w:p>
    <w:p w14:paraId="156132DC">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（3）在本市就读的全日制普通高等学校（含高职、民办高校、独立学院）本专科学生和研究生（含港澳台、华侨学生）、中职技校学生（含民办中职技校）（以下统称为大中专学生）;</w:t>
      </w:r>
    </w:p>
    <w:p w14:paraId="1920B755">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（4）在本市就读的全日制基础教育学生（幼儿园至高中阶段，以下统称为中小幼学生）;</w:t>
      </w:r>
    </w:p>
    <w:p w14:paraId="6C45BB10">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（5）法律、法规、规章规定的其他人员。</w:t>
      </w:r>
    </w:p>
    <w:p w14:paraId="7100C998">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以上（1）至（5）项人员统称为城乡居民基本医疗保险参保人，简称“参保人”，参保人不得重复参加基本医疗保险。</w:t>
      </w:r>
    </w:p>
    <w:p w14:paraId="4BDF30DF">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 城乡居民医保年度内发生下列情形的城乡居民，按规定提供相关依据，可中途参加我市城乡居民医疗保险，但不得重复参保，缴费标准为全年度个人缴费标准：</w:t>
      </w:r>
    </w:p>
    <w:p w14:paraId="205E6EBE">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（1）终止或中断职工基本医疗保险关系的人员；</w:t>
      </w:r>
    </w:p>
    <w:p w14:paraId="013C04EB">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（2）退役军人；</w:t>
      </w:r>
    </w:p>
    <w:p w14:paraId="6A010A60">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（3）新迁入统筹区户籍人员（包括新领取居住证人员）；</w:t>
      </w:r>
    </w:p>
    <w:p w14:paraId="61AA42F5">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（4）中途转入统筹区就读的学生；</w:t>
      </w:r>
    </w:p>
    <w:p w14:paraId="573407F3">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sz w:val="32"/>
          <w:szCs w:val="32"/>
          <w:lang w:val="en-US" w:eastAsia="zh-CN"/>
        </w:rPr>
      </w:pPr>
      <w:r>
        <w:rPr>
          <w:rFonts w:hint="eastAsia" w:ascii="仿宋" w:hAnsi="仿宋" w:eastAsia="仿宋" w:cs="仿宋"/>
          <w:sz w:val="32"/>
          <w:szCs w:val="32"/>
          <w:lang w:val="en-US" w:eastAsia="zh-CN"/>
        </w:rPr>
        <w:t>（5）刑满释放人员和被判刑缓期执行的犯罪人员；</w:t>
      </w:r>
    </w:p>
    <w:p w14:paraId="379D9AAB">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（6）新出生婴儿及孕程满24周但未分娩</w:t>
      </w:r>
      <w:r>
        <w:rPr>
          <w:rFonts w:hint="eastAsia" w:ascii="仿宋" w:hAnsi="仿宋" w:eastAsia="仿宋" w:cs="仿宋"/>
          <w:sz w:val="32"/>
          <w:szCs w:val="32"/>
          <w:u w:val="none"/>
          <w:lang w:val="en-US" w:eastAsia="zh-CN"/>
        </w:rPr>
        <w:t>胎儿</w:t>
      </w:r>
      <w:r>
        <w:rPr>
          <w:rFonts w:hint="eastAsia" w:ascii="仿宋" w:hAnsi="仿宋" w:eastAsia="仿宋" w:cs="仿宋"/>
          <w:sz w:val="32"/>
          <w:szCs w:val="32"/>
          <w:lang w:val="en-US" w:eastAsia="zh-CN"/>
        </w:rPr>
        <w:t>（以下统称为新生儿）；</w:t>
      </w:r>
    </w:p>
    <w:p w14:paraId="2DE8C509">
      <w:pPr>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（7）符合规定的新增医疗救助对象；</w:t>
      </w:r>
    </w:p>
    <w:p w14:paraId="0063A391">
      <w:pPr>
        <w:pStyle w:val="12"/>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default"/>
          <w:sz w:val="32"/>
          <w:szCs w:val="32"/>
          <w:lang w:val="en-US" w:eastAsia="zh-CN"/>
        </w:rPr>
      </w:pPr>
      <w:r>
        <w:rPr>
          <w:rFonts w:hint="eastAsia" w:ascii="仿宋" w:hAnsi="仿宋" w:eastAsia="仿宋" w:cs="仿宋"/>
          <w:color w:val="auto"/>
          <w:kern w:val="2"/>
          <w:sz w:val="32"/>
          <w:szCs w:val="32"/>
          <w:lang w:val="en-US" w:eastAsia="zh-CN" w:bidi="ar-SA"/>
        </w:rPr>
        <w:t>（8）严重精神障碍患者；</w:t>
      </w:r>
    </w:p>
    <w:p w14:paraId="5630B057">
      <w:pPr>
        <w:pStyle w:val="12"/>
        <w:keepNext w:val="0"/>
        <w:keepLines w:val="0"/>
        <w:pageBreakBefore w:val="0"/>
        <w:widowControl w:val="0"/>
        <w:kinsoku/>
        <w:wordWrap/>
        <w:overflowPunct/>
        <w:topLinePunct w:val="0"/>
        <w:bidi w:val="0"/>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（9）其他法律、法规、规章规定的人员。</w:t>
      </w:r>
    </w:p>
    <w:p w14:paraId="2EF7F19E">
      <w:pPr>
        <w:keepNext w:val="0"/>
        <w:keepLines w:val="0"/>
        <w:pageBreakBefore w:val="0"/>
        <w:widowControl w:val="0"/>
        <w:numPr>
          <w:ilvl w:val="0"/>
          <w:numId w:val="0"/>
        </w:numPr>
        <w:tabs>
          <w:tab w:val="left" w:pos="840"/>
          <w:tab w:val="left" w:pos="1470"/>
        </w:tabs>
        <w:kinsoku/>
        <w:wordWrap/>
        <w:overflowPunct/>
        <w:topLinePunct w:val="0"/>
        <w:bidi w:val="0"/>
        <w:snapToGrid/>
        <w:spacing w:line="540" w:lineRule="exact"/>
        <w:ind w:left="0" w:lef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 未在户籍所在地(居住地)参加入学当年度城乡居民医疗保险的大中专学生，从入学当天起可中途参加我市当年度城乡居民医疗保险，从缴费到账次月起享受当年度城乡居民医疗保险待遇。在我市就读的大中专学生可按规定在我市城乡居民医疗保险集中参保缴费期正常办理参保缴费。</w:t>
      </w:r>
    </w:p>
    <w:p w14:paraId="34C8F84F">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2.筹资政策</w:t>
      </w:r>
    </w:p>
    <w:p w14:paraId="2C9B463F">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2024年度城乡居民医保个人缴费标准为380元，财政补助标准按照国家和省的要求确定。</w:t>
      </w:r>
    </w:p>
    <w:p w14:paraId="39438F6B">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（五）医保退费</w:t>
      </w:r>
    </w:p>
    <w:p w14:paraId="0C84DC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1.职工医保退费</w:t>
      </w:r>
    </w:p>
    <w:p w14:paraId="1B3B5D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参保人缴纳职工医保后，因重复参保申请退费的，医保个人账户款项已划入参保人社会保障卡的，原则上基本医疗保险单位缴费部分和个人缴费部分不再退回，单独征缴的补充医疗保险未享受相应待遇的可依规定申请退费。</w:t>
      </w:r>
    </w:p>
    <w:p w14:paraId="15403C8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2.城乡居民医保退费</w:t>
      </w:r>
    </w:p>
    <w:p w14:paraId="5A5380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参保人在缴纳城乡居民医保后，在相应待遇享受期未开始前因重复缴费、参加职工医保或其他统筹地区居民医保的，可在终止相关居民医保参保关系的同时，依申请为个人办理退费。参保人申请退费时，原使用银行签约划账缴费的原则上优先使用签约的银行账户进行退款；没有使用银行签约划账缴费的，则由参保人提供退款银行账户信息进行退款，退款账户原则上必须是参保人本人，因特殊原因需退款到他人账户的，需提供账户人与参保人的身份关系证明。参保人发起退费申请的，由税务部门统一对参保人身份资料和退款银行账号信息进行登记，并加具意见后交医保经办机构进行退费。各级税务部门受理城乡居民医保退费截止时间为缴费当年12月31日。</w:t>
      </w:r>
    </w:p>
    <w:p w14:paraId="522AAC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符合资助参保的困难人员已自行缴纳城乡居民医保的，为防止重复退费，各级税务部门办事窗口不再受理困难人员退费，由医疗保障部门收集已自行缴费的困难人员身份资料和退款银行账户信息，制作批量退费名单，医疗保障部门与税务部门联合加具意见，交医保经办机构进行退费。</w:t>
      </w:r>
    </w:p>
    <w:p w14:paraId="7D94E07A">
      <w:pPr>
        <w:keepNext w:val="0"/>
        <w:keepLines w:val="0"/>
        <w:pageBreakBefore w:val="0"/>
        <w:widowControl w:val="0"/>
        <w:numPr>
          <w:ilvl w:val="0"/>
          <w:numId w:val="0"/>
        </w:numPr>
        <w:tabs>
          <w:tab w:val="left" w:pos="840"/>
          <w:tab w:val="left" w:pos="1470"/>
        </w:tabs>
        <w:kinsoku/>
        <w:wordWrap/>
        <w:overflowPunct/>
        <w:topLinePunct w:val="0"/>
        <w:bidi w:val="0"/>
        <w:snapToGrid/>
        <w:spacing w:line="560" w:lineRule="exact"/>
        <w:ind w:left="0" w:leftChars="0"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（六）医保年度</w:t>
      </w:r>
    </w:p>
    <w:p w14:paraId="6D223BDC">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医保年度自公历1月1日起至12月31日止。</w:t>
      </w:r>
    </w:p>
    <w:p w14:paraId="6D17BE13">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二、基本医疗保险、补充医疗保险待遇支付政策</w:t>
      </w:r>
    </w:p>
    <w:p w14:paraId="34C01DDC">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（一）待遇享受开始时间</w:t>
      </w:r>
    </w:p>
    <w:p w14:paraId="0ABFF165">
      <w:pPr>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outlineLvl w:val="9"/>
        <w:rPr>
          <w:rFonts w:hint="default"/>
          <w:sz w:val="32"/>
          <w:szCs w:val="32"/>
          <w:lang w:val="en-US" w:eastAsia="zh-CN"/>
        </w:rPr>
      </w:pPr>
      <w:r>
        <w:rPr>
          <w:rFonts w:hint="eastAsia" w:ascii="仿宋" w:hAnsi="仿宋" w:eastAsia="仿宋" w:cs="仿宋"/>
          <w:b/>
          <w:bCs/>
          <w:sz w:val="32"/>
          <w:szCs w:val="32"/>
          <w:lang w:val="en-US" w:eastAsia="zh-CN"/>
        </w:rPr>
        <w:t>1.职工基本医疗保险、职工大额医疗费用补助、公务员医疗费用补助：</w:t>
      </w:r>
      <w:r>
        <w:rPr>
          <w:rFonts w:hint="eastAsia" w:ascii="仿宋" w:hAnsi="仿宋" w:eastAsia="仿宋" w:cs="仿宋"/>
          <w:sz w:val="32"/>
          <w:szCs w:val="32"/>
          <w:lang w:val="en-US" w:eastAsia="zh-CN"/>
        </w:rPr>
        <w:t>按月缴费，在职职工自缴费次月起享受待遇，停止缴费次月起停止待遇。灵活就业人员首次参保，连续缴费不满6个月的，只享受个人账户待遇，不享受统筹待遇；连续缴费满6个月不满12个月的，除享受个人账户待遇外，各项待遇统筹基金支付比例按照规定比例的50%执行，各项待遇统筹基金年度封顶额按照规定封顶额的50%执行；连续缴费满12个月的，从第13个月起，统筹待遇标准按规定执行。</w:t>
      </w:r>
    </w:p>
    <w:p w14:paraId="1566E168">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2.城乡居民医保：</w:t>
      </w:r>
      <w:r>
        <w:rPr>
          <w:rFonts w:hint="eastAsia" w:ascii="仿宋" w:hAnsi="仿宋" w:eastAsia="仿宋" w:cs="仿宋"/>
          <w:sz w:val="32"/>
          <w:szCs w:val="32"/>
          <w:lang w:val="en-US" w:eastAsia="zh-CN"/>
        </w:rPr>
        <w:t>按年缴费，每年9-12月份集中办理下一年度参保缴费手续，从参保缴费的次年1月1日起享受待遇。符合规定的退役军人、新迁入统筹区户籍人员、中途转入统筹区就读学生、刑满释放人员、被判刑缓期执行的犯罪人员、重症精神障碍患者等特殊人群中途参保的，在足额完成参保缴费次月起享受城乡居民医保待遇；符合规定的新生儿中途参保的，从出生之日起享受城乡居民医保待遇；符合规定的医疗救助对象，从完成参保登记、做好身份标识之日起享受城乡居民医保待遇。</w:t>
      </w:r>
    </w:p>
    <w:p w14:paraId="60B460AC">
      <w:pPr>
        <w:pStyle w:val="4"/>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3.待遇衔接</w:t>
      </w:r>
    </w:p>
    <w:p w14:paraId="20472297">
      <w:pPr>
        <w:pStyle w:val="4"/>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（1）参保人缴纳城乡居民医保保费后参加职工医保的，在职工医保待遇享受等待期内可正常享受已缴费年度的城乡居民医保待遇，待职工医保待遇享受等待期满后应暂停原城乡居民医保参保关系。</w:t>
      </w:r>
    </w:p>
    <w:p w14:paraId="38863F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参保人已连续2年（含2年）以上参加基本医疗保险的（包括职工医保和城乡居民医保），因就业等个人状态变化由职工医保转为中途参加城乡居民医保的，且中断缴费时间未超过3个月的，从国家医疗保障信息平台缴费到账当日起即可正常享受城乡居民医保待遇；中断缴费时间超过3个月的，从国家医疗保障信息平台缴费到账次月起享受城乡居民医保待遇。</w:t>
      </w:r>
    </w:p>
    <w:p w14:paraId="6680E4ED">
      <w:pPr>
        <w:pStyle w:val="4"/>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职工医保参保人员在省内转移接续的，参保人员在转出地最后一次缴费的次月，仍享受转出地的职工医保待遇。在转移接续前连续缴费未中断的，参保人员在转入地参加职工医保后，自缴费次月起享受转入地的职工医保待遇，确保待遇享受无缝衔接。灵活就业人员办理转移接续的，从在转入地连续缴费的第7个月起享受职工医保待遇。</w:t>
      </w:r>
    </w:p>
    <w:p w14:paraId="15DDE6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（二）住院待遇支付政策</w:t>
      </w:r>
    </w:p>
    <w:p w14:paraId="4757F8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1.职工基本医疗保险</w:t>
      </w:r>
    </w:p>
    <w:p w14:paraId="419F7884">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起付标准：市内镇级定点医疗机构300元、一级定点医疗机构400元、二级定点医疗机构500元、三级定点医疗机构700元;异地长期居住人员在市外定点医疗机构就医的，起付标准按照市内同级别定点医疗机构标准执行；异地转诊人员、急诊人员在市外定点医疗机构就医的起付标准为1000元。</w:t>
      </w:r>
    </w:p>
    <w:p w14:paraId="59F20C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（2）报销比例：参保人在定点医疗机构住院就医，对于起付标准以上、最高支付限</w:t>
      </w:r>
      <w:r>
        <w:rPr>
          <w:rFonts w:hint="eastAsia" w:ascii="仿宋" w:hAnsi="仿宋" w:eastAsia="仿宋" w:cs="仿宋"/>
          <w:sz w:val="32"/>
          <w:szCs w:val="32"/>
          <w:lang w:val="en-US" w:eastAsia="zh-CN"/>
        </w:rPr>
        <w:t>额以下的政策范围内医疗费用，报销比例具体为：市内一级及以下定点医疗机构在职90%、退休92%；二级定点医疗机构在职84%、退休86%；三级定点医疗机构在职80%、退休82%；异地长期居住、异地安置、常驻异地工作人员在市外定点医疗机构就医的，报销比例按照市内同级别定点医疗机构标准执行；已办理异地就医备案的异地转诊人员、急诊人员在市外定点医疗机构就医报销比例按照本市同级别医疗机构标准下降10%；未办理异地就医备案人员在市外定点医疗机构就医报销比例按照本市同级别医疗机构标准下降15%。</w:t>
      </w:r>
    </w:p>
    <w:p w14:paraId="516459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（3）年度统筹封顶额：职工基本医疗保险年度最高支付限额为13万元。</w:t>
      </w:r>
    </w:p>
    <w:p w14:paraId="388938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2.职工大额医疗费用补助：</w:t>
      </w:r>
    </w:p>
    <w:p w14:paraId="4383E7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起付标准：参加职工大额医疗费用补助的参保人在一个自然年度内，住院和门诊特定病种就医（不分医院级别）发生的符合阳江市基本医疗保险政策规定范围内的医疗费用，个人自付累计超过12000元（不含起付线、个人先行自付费用、超医保支付标准限额费用和全自费项目费用）以上的费用由职工大额医疗费用补助进行赔付。</w:t>
      </w:r>
    </w:p>
    <w:p w14:paraId="260FB272">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（2）报销比例：参保人在市内就医的报销比例为90%；已办理</w:t>
      </w:r>
      <w:r>
        <w:rPr>
          <w:rFonts w:hint="eastAsia" w:ascii="仿宋" w:hAnsi="仿宋" w:eastAsia="仿宋" w:cs="仿宋"/>
          <w:b w:val="0"/>
          <w:bCs w:val="0"/>
          <w:sz w:val="32"/>
          <w:szCs w:val="32"/>
        </w:rPr>
        <w:t>异地长期居住</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异地安置、常驻异地工作备案手续</w:t>
      </w:r>
      <w:r>
        <w:rPr>
          <w:rFonts w:hint="eastAsia" w:ascii="仿宋" w:hAnsi="仿宋" w:eastAsia="仿宋" w:cs="仿宋"/>
          <w:b w:val="0"/>
          <w:bCs w:val="0"/>
          <w:sz w:val="32"/>
          <w:szCs w:val="32"/>
        </w:rPr>
        <w:t>人员</w:t>
      </w:r>
      <w:r>
        <w:rPr>
          <w:rFonts w:hint="eastAsia" w:ascii="仿宋" w:hAnsi="仿宋" w:eastAsia="仿宋" w:cs="仿宋"/>
          <w:b w:val="0"/>
          <w:bCs w:val="0"/>
          <w:sz w:val="32"/>
          <w:szCs w:val="32"/>
          <w:lang w:val="en-US" w:eastAsia="zh-CN"/>
        </w:rPr>
        <w:t>在市外定点医疗机构就医的报销比例为90%；</w:t>
      </w:r>
      <w:r>
        <w:rPr>
          <w:rFonts w:hint="eastAsia" w:ascii="仿宋" w:hAnsi="仿宋" w:eastAsia="仿宋" w:cs="仿宋"/>
          <w:b w:val="0"/>
          <w:bCs w:val="0"/>
          <w:sz w:val="32"/>
          <w:szCs w:val="32"/>
        </w:rPr>
        <w:t>异地转诊人员</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异地</w:t>
      </w:r>
      <w:r>
        <w:rPr>
          <w:rFonts w:hint="eastAsia" w:ascii="仿宋" w:hAnsi="仿宋" w:eastAsia="仿宋" w:cs="仿宋"/>
          <w:b w:val="0"/>
          <w:bCs w:val="0"/>
          <w:sz w:val="32"/>
          <w:szCs w:val="32"/>
        </w:rPr>
        <w:t>急诊人员</w:t>
      </w:r>
      <w:r>
        <w:rPr>
          <w:rFonts w:hint="eastAsia" w:ascii="仿宋" w:hAnsi="仿宋" w:eastAsia="仿宋" w:cs="仿宋"/>
          <w:b w:val="0"/>
          <w:bCs w:val="0"/>
          <w:sz w:val="32"/>
          <w:szCs w:val="32"/>
          <w:lang w:val="en-US" w:eastAsia="zh-CN"/>
        </w:rPr>
        <w:t>以及未办理异地就医备案手续人员在市外定点医疗机构就医的</w:t>
      </w:r>
      <w:r>
        <w:rPr>
          <w:rFonts w:hint="eastAsia" w:ascii="仿宋" w:hAnsi="仿宋" w:eastAsia="仿宋" w:cs="仿宋"/>
          <w:b w:val="0"/>
          <w:bCs w:val="0"/>
          <w:sz w:val="32"/>
          <w:szCs w:val="32"/>
        </w:rPr>
        <w:t>报销比例</w:t>
      </w:r>
      <w:r>
        <w:rPr>
          <w:rFonts w:hint="eastAsia" w:ascii="仿宋" w:hAnsi="仿宋" w:eastAsia="仿宋" w:cs="仿宋"/>
          <w:b w:val="0"/>
          <w:bCs w:val="0"/>
          <w:sz w:val="32"/>
          <w:szCs w:val="32"/>
          <w:lang w:val="en-US" w:eastAsia="zh-CN"/>
        </w:rPr>
        <w:t>为85%。</w:t>
      </w:r>
    </w:p>
    <w:p w14:paraId="10460C04">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（3）年度统筹封顶额：职工大额医疗费用补助年度最高支付限额为62万元。参保人发生的门诊特定病种合规医疗费用月度最高赔付限额按职工基本医疗保险月度限额的50%执行。</w:t>
      </w:r>
    </w:p>
    <w:p w14:paraId="288D2912">
      <w:pPr>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3.公务员医疗补助</w:t>
      </w:r>
    </w:p>
    <w:p w14:paraId="55D71EA3">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起付标准：公务员医疗补助不设起付标准。参加公务员医疗补助的参保人在一个自然年度内，住院和门诊特定病种就医（不分医院级别）发生的符合阳江市职工基本医疗保险政策规定报销范围内的医疗费用和职工大额医疗费用补助责任范围内的医疗费用共付段中个人自付部分，以及这两项封顶以上符合基本医疗保险政策范围内的医疗费用（不含起付线、超医保支付标准限额费用和全自费项目费用）由公务员医疗补助进行赔付。</w:t>
      </w:r>
    </w:p>
    <w:p w14:paraId="5B05C20B">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（2）报销比例：参保人在市内就医的报销比例为90%；已办理</w:t>
      </w:r>
      <w:r>
        <w:rPr>
          <w:rFonts w:hint="eastAsia" w:ascii="仿宋" w:hAnsi="仿宋" w:eastAsia="仿宋" w:cs="仿宋"/>
          <w:b w:val="0"/>
          <w:bCs w:val="0"/>
          <w:sz w:val="32"/>
          <w:szCs w:val="32"/>
        </w:rPr>
        <w:t>异地长期居住</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异地安置、常驻异地工作备案手续</w:t>
      </w:r>
      <w:r>
        <w:rPr>
          <w:rFonts w:hint="eastAsia" w:ascii="仿宋" w:hAnsi="仿宋" w:eastAsia="仿宋" w:cs="仿宋"/>
          <w:b w:val="0"/>
          <w:bCs w:val="0"/>
          <w:sz w:val="32"/>
          <w:szCs w:val="32"/>
        </w:rPr>
        <w:t>人员</w:t>
      </w:r>
      <w:r>
        <w:rPr>
          <w:rFonts w:hint="eastAsia" w:ascii="仿宋" w:hAnsi="仿宋" w:eastAsia="仿宋" w:cs="仿宋"/>
          <w:b w:val="0"/>
          <w:bCs w:val="0"/>
          <w:sz w:val="32"/>
          <w:szCs w:val="32"/>
          <w:lang w:val="en-US" w:eastAsia="zh-CN"/>
        </w:rPr>
        <w:t>在市外定点医疗机构就医的报销比例为90%；</w:t>
      </w:r>
      <w:r>
        <w:rPr>
          <w:rFonts w:hint="eastAsia" w:ascii="仿宋" w:hAnsi="仿宋" w:eastAsia="仿宋" w:cs="仿宋"/>
          <w:b w:val="0"/>
          <w:bCs w:val="0"/>
          <w:sz w:val="32"/>
          <w:szCs w:val="32"/>
        </w:rPr>
        <w:t>异地转诊人员</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异地</w:t>
      </w:r>
      <w:r>
        <w:rPr>
          <w:rFonts w:hint="eastAsia" w:ascii="仿宋" w:hAnsi="仿宋" w:eastAsia="仿宋" w:cs="仿宋"/>
          <w:b w:val="0"/>
          <w:bCs w:val="0"/>
          <w:sz w:val="32"/>
          <w:szCs w:val="32"/>
        </w:rPr>
        <w:t>急诊人员</w:t>
      </w:r>
      <w:r>
        <w:rPr>
          <w:rFonts w:hint="eastAsia" w:ascii="仿宋" w:hAnsi="仿宋" w:eastAsia="仿宋" w:cs="仿宋"/>
          <w:b w:val="0"/>
          <w:bCs w:val="0"/>
          <w:sz w:val="32"/>
          <w:szCs w:val="32"/>
          <w:lang w:val="en-US" w:eastAsia="zh-CN"/>
        </w:rPr>
        <w:t>以及未办理异地就医备案手续人员在市外定点医疗机构就医的</w:t>
      </w:r>
      <w:r>
        <w:rPr>
          <w:rFonts w:hint="eastAsia" w:ascii="仿宋" w:hAnsi="仿宋" w:eastAsia="仿宋" w:cs="仿宋"/>
          <w:b w:val="0"/>
          <w:bCs w:val="0"/>
          <w:sz w:val="32"/>
          <w:szCs w:val="32"/>
        </w:rPr>
        <w:t>报销比例</w:t>
      </w:r>
      <w:r>
        <w:rPr>
          <w:rFonts w:hint="eastAsia" w:ascii="仿宋" w:hAnsi="仿宋" w:eastAsia="仿宋" w:cs="仿宋"/>
          <w:b w:val="0"/>
          <w:bCs w:val="0"/>
          <w:sz w:val="32"/>
          <w:szCs w:val="32"/>
          <w:lang w:val="en-US" w:eastAsia="zh-CN"/>
        </w:rPr>
        <w:t>为85%。参保人发生的个人先行自付费用按照40%的比例纳入公务员医疗补助赔付。</w:t>
      </w:r>
    </w:p>
    <w:p w14:paraId="5247CEF1">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（3）年度统筹封顶额：公务员医疗补助年度最高支付限额为20万元。参保人发生的门诊特定病种合规医疗费用月度最高赔付限额按职工基本医疗保险月度限额的50%执行。</w:t>
      </w:r>
    </w:p>
    <w:p w14:paraId="64AA7A89">
      <w:pPr>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4.城乡居民基本医疗保险</w:t>
      </w:r>
    </w:p>
    <w:p w14:paraId="20223261">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（1）起付标准：市内未定级和一级定点医疗机构</w:t>
      </w:r>
      <w:r>
        <w:rPr>
          <w:rFonts w:hint="eastAsia" w:ascii="仿宋" w:hAnsi="仿宋" w:eastAsia="仿宋" w:cs="仿宋"/>
          <w:b w:val="0"/>
          <w:bCs w:val="0"/>
          <w:sz w:val="32"/>
          <w:szCs w:val="32"/>
          <w:u w:val="none"/>
          <w:lang w:val="en-US" w:eastAsia="zh-CN"/>
        </w:rPr>
        <w:t>200元、</w:t>
      </w:r>
      <w:r>
        <w:rPr>
          <w:rFonts w:hint="eastAsia" w:ascii="仿宋" w:hAnsi="仿宋" w:eastAsia="仿宋" w:cs="仿宋"/>
          <w:b w:val="0"/>
          <w:bCs w:val="0"/>
          <w:sz w:val="32"/>
          <w:szCs w:val="32"/>
          <w:lang w:val="en-US" w:eastAsia="zh-CN"/>
        </w:rPr>
        <w:t>二级定点医疗机构400元、三级定点医疗机构700元;</w:t>
      </w:r>
      <w:r>
        <w:rPr>
          <w:rFonts w:hint="eastAsia" w:ascii="仿宋" w:hAnsi="仿宋" w:eastAsia="仿宋" w:cs="仿宋"/>
          <w:b w:val="0"/>
          <w:bCs w:val="0"/>
          <w:sz w:val="32"/>
          <w:szCs w:val="32"/>
        </w:rPr>
        <w:t>异地长期居住人员</w:t>
      </w:r>
      <w:r>
        <w:rPr>
          <w:rFonts w:hint="eastAsia" w:ascii="仿宋" w:hAnsi="仿宋" w:eastAsia="仿宋" w:cs="仿宋"/>
          <w:b w:val="0"/>
          <w:bCs w:val="0"/>
          <w:sz w:val="32"/>
          <w:szCs w:val="32"/>
          <w:lang w:val="en-US" w:eastAsia="zh-CN"/>
        </w:rPr>
        <w:t>在市外定点医疗机构就医的，起付标准按照市内同级别定点医疗机构标准执行；</w:t>
      </w:r>
      <w:r>
        <w:rPr>
          <w:rFonts w:hint="eastAsia" w:ascii="仿宋" w:hAnsi="仿宋" w:eastAsia="仿宋" w:cs="仿宋"/>
          <w:b w:val="0"/>
          <w:bCs w:val="0"/>
          <w:sz w:val="32"/>
          <w:szCs w:val="32"/>
        </w:rPr>
        <w:t>异地转诊人员</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急诊人员</w:t>
      </w:r>
      <w:r>
        <w:rPr>
          <w:rFonts w:hint="eastAsia" w:ascii="仿宋" w:hAnsi="仿宋" w:eastAsia="仿宋" w:cs="仿宋"/>
          <w:b w:val="0"/>
          <w:bCs w:val="0"/>
          <w:sz w:val="32"/>
          <w:szCs w:val="32"/>
          <w:lang w:val="en-US" w:eastAsia="zh-CN"/>
        </w:rPr>
        <w:t>在市外定点医疗机构就医的起付标准为900元。</w:t>
      </w:r>
    </w:p>
    <w:p w14:paraId="27398C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报销比例：参保人在定点医疗机构住院就医，对于起付标准以上、最高支付限额以下的政策范围内医疗费用，报销比例具体为：市内未定级和一级定点医疗机构90%、二级定点医疗机构75%、三级定点医疗机构65%;</w:t>
      </w:r>
      <w:r>
        <w:rPr>
          <w:rFonts w:hint="eastAsia" w:ascii="仿宋" w:hAnsi="仿宋" w:eastAsia="仿宋" w:cs="仿宋"/>
          <w:b w:val="0"/>
          <w:bCs w:val="0"/>
          <w:sz w:val="32"/>
          <w:szCs w:val="32"/>
        </w:rPr>
        <w:t>异地长期居住人员</w:t>
      </w:r>
      <w:r>
        <w:rPr>
          <w:rFonts w:hint="eastAsia" w:ascii="仿宋" w:hAnsi="仿宋" w:eastAsia="仿宋" w:cs="仿宋"/>
          <w:b w:val="0"/>
          <w:bCs w:val="0"/>
          <w:sz w:val="32"/>
          <w:szCs w:val="32"/>
          <w:lang w:val="en-US" w:eastAsia="zh-CN"/>
        </w:rPr>
        <w:t>在市外定点医疗机构就医的，报销比例按照市内同级别定点医疗机构标准执行；已办理异地就医备案的</w:t>
      </w:r>
      <w:r>
        <w:rPr>
          <w:rFonts w:hint="eastAsia" w:ascii="仿宋" w:hAnsi="仿宋" w:eastAsia="仿宋" w:cs="仿宋"/>
          <w:b w:val="0"/>
          <w:bCs w:val="0"/>
          <w:sz w:val="32"/>
          <w:szCs w:val="32"/>
        </w:rPr>
        <w:t>异地转诊人员</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急诊人员</w:t>
      </w:r>
      <w:r>
        <w:rPr>
          <w:rFonts w:hint="eastAsia" w:ascii="仿宋" w:hAnsi="仿宋" w:eastAsia="仿宋" w:cs="仿宋"/>
          <w:b w:val="0"/>
          <w:bCs w:val="0"/>
          <w:sz w:val="32"/>
          <w:szCs w:val="32"/>
          <w:lang w:val="en-US" w:eastAsia="zh-CN"/>
        </w:rPr>
        <w:t>在市外定点医疗机构就医</w:t>
      </w:r>
      <w:r>
        <w:rPr>
          <w:rFonts w:hint="eastAsia" w:ascii="仿宋" w:hAnsi="仿宋" w:eastAsia="仿宋" w:cs="仿宋"/>
          <w:b w:val="0"/>
          <w:bCs w:val="0"/>
          <w:sz w:val="32"/>
          <w:szCs w:val="32"/>
        </w:rPr>
        <w:t>报销比例按照本市同级别医疗机构标准下降10%</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未办理异地就医备案</w:t>
      </w:r>
      <w:r>
        <w:rPr>
          <w:rFonts w:hint="eastAsia" w:ascii="仿宋" w:hAnsi="仿宋" w:eastAsia="仿宋" w:cs="仿宋"/>
          <w:b w:val="0"/>
          <w:bCs w:val="0"/>
          <w:sz w:val="32"/>
          <w:szCs w:val="32"/>
        </w:rPr>
        <w:t>人员</w:t>
      </w:r>
      <w:r>
        <w:rPr>
          <w:rFonts w:hint="eastAsia" w:ascii="仿宋" w:hAnsi="仿宋" w:eastAsia="仿宋" w:cs="仿宋"/>
          <w:b w:val="0"/>
          <w:bCs w:val="0"/>
          <w:sz w:val="32"/>
          <w:szCs w:val="32"/>
          <w:lang w:val="en-US" w:eastAsia="zh-CN"/>
        </w:rPr>
        <w:t>在市外定点医疗机构就医</w:t>
      </w:r>
      <w:r>
        <w:rPr>
          <w:rFonts w:hint="eastAsia" w:ascii="仿宋" w:hAnsi="仿宋" w:eastAsia="仿宋" w:cs="仿宋"/>
          <w:b w:val="0"/>
          <w:bCs w:val="0"/>
          <w:sz w:val="32"/>
          <w:szCs w:val="32"/>
        </w:rPr>
        <w:t>报销比例按照本市同级别医疗机构标准下降1</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w:t>
      </w:r>
    </w:p>
    <w:p w14:paraId="0B83B006">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（3）年度统筹封顶额：城乡居民基本医疗保险年度最高支付限额为15万元。</w:t>
      </w:r>
    </w:p>
    <w:p w14:paraId="6646FB1B">
      <w:pPr>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5.城乡居民大病保险</w:t>
      </w:r>
    </w:p>
    <w:p w14:paraId="49488727">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起付标准：参加城乡居民基本医疗保险的参保人同步参加城乡居民大病保险，无需另行缴费。参保人在一个自然年度内，住院和门诊特定病种就医（不分医院级别）发生的符合阳江市基本医疗保险政策规定范围内的医疗费用，个人自付累计超过15000元（不含起付线、个人先行自付费用、超医保支付标准限额费用和全自费项目费用）以上的费用由城乡居民大病保险进行赔付。</w:t>
      </w:r>
    </w:p>
    <w:p w14:paraId="401AEDC7">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特困供养人员、孤儿、事实无人抚养儿童城乡居民大病保险起付标准为3000元；最低生活保障对象、最低生活保障边缘家庭救助对象、</w:t>
      </w:r>
      <w:r>
        <w:rPr>
          <w:rFonts w:hint="eastAsia" w:ascii="仿宋" w:hAnsi="仿宋" w:eastAsia="仿宋" w:cs="仿宋"/>
          <w:b w:val="0"/>
          <w:bCs w:val="0"/>
          <w:sz w:val="32"/>
          <w:szCs w:val="32"/>
        </w:rPr>
        <w:t>纳入监测范围的农村易返贫致贫人口</w:t>
      </w:r>
      <w:r>
        <w:rPr>
          <w:rFonts w:hint="eastAsia" w:ascii="仿宋" w:hAnsi="仿宋" w:eastAsia="仿宋" w:cs="仿宋"/>
          <w:b w:val="0"/>
          <w:bCs w:val="0"/>
          <w:sz w:val="32"/>
          <w:szCs w:val="32"/>
          <w:lang w:val="en-US" w:eastAsia="zh-CN"/>
        </w:rPr>
        <w:t>城乡居民大病保险起付标准为4500元。</w:t>
      </w:r>
    </w:p>
    <w:p w14:paraId="5E25F6D6">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（2）报销比例：城乡居民大病保险报销比例实行分段设置，具体如下：</w:t>
      </w:r>
    </w:p>
    <w:p w14:paraId="711258F3">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参保人在一个医保年度内符合政策范围的住院（含入院前3天的门、急诊）和门诊特定病种个人自付费用累计达到15000元（不含15000元）-65000元的，报销比例为60%；参保人在一个医保年度内符合政策范围的住院（含入院前3天的门、急诊）和门诊特定病种个人自付费用累计达到65000元（不含65000元）以上的，报销比例为70%。特困供养人员、孤儿、事实无人抚养儿童报销比例为80%；最低生活保障对象、最低生活保障边缘家庭救助对象、</w:t>
      </w:r>
      <w:r>
        <w:rPr>
          <w:rFonts w:hint="eastAsia" w:ascii="仿宋" w:hAnsi="仿宋" w:eastAsia="仿宋" w:cs="仿宋"/>
          <w:b w:val="0"/>
          <w:bCs w:val="0"/>
          <w:sz w:val="32"/>
          <w:szCs w:val="32"/>
        </w:rPr>
        <w:t>纳入监测范围的农村易返贫致贫人口</w:t>
      </w:r>
      <w:r>
        <w:rPr>
          <w:rFonts w:hint="eastAsia" w:ascii="仿宋" w:hAnsi="仿宋" w:eastAsia="仿宋" w:cs="仿宋"/>
          <w:b w:val="0"/>
          <w:bCs w:val="0"/>
          <w:sz w:val="32"/>
          <w:szCs w:val="32"/>
          <w:lang w:val="en-US" w:eastAsia="zh-CN"/>
        </w:rPr>
        <w:t>报销比例为70%。</w:t>
      </w:r>
    </w:p>
    <w:p w14:paraId="4F0EB10F">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异地转诊人员</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急诊人员</w:t>
      </w:r>
      <w:r>
        <w:rPr>
          <w:rFonts w:hint="eastAsia" w:ascii="仿宋" w:hAnsi="仿宋" w:eastAsia="仿宋" w:cs="仿宋"/>
          <w:b w:val="0"/>
          <w:bCs w:val="0"/>
          <w:sz w:val="32"/>
          <w:szCs w:val="32"/>
          <w:lang w:val="en-US" w:eastAsia="zh-CN"/>
        </w:rPr>
        <w:t>以及未办理异地就医备案手续的人员在市外定点医疗机构就医的，城乡居民大病保险</w:t>
      </w:r>
      <w:r>
        <w:rPr>
          <w:rFonts w:hint="eastAsia" w:ascii="仿宋" w:hAnsi="仿宋" w:eastAsia="仿宋" w:cs="仿宋"/>
          <w:b w:val="0"/>
          <w:bCs w:val="0"/>
          <w:sz w:val="32"/>
          <w:szCs w:val="32"/>
        </w:rPr>
        <w:t>报销比例</w:t>
      </w:r>
      <w:r>
        <w:rPr>
          <w:rFonts w:hint="eastAsia" w:ascii="仿宋" w:hAnsi="仿宋" w:eastAsia="仿宋" w:cs="仿宋"/>
          <w:b w:val="0"/>
          <w:bCs w:val="0"/>
          <w:sz w:val="32"/>
          <w:szCs w:val="32"/>
          <w:lang w:val="en-US" w:eastAsia="zh-CN"/>
        </w:rPr>
        <w:t>下调5</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异地长期居住人员</w:t>
      </w:r>
      <w:r>
        <w:rPr>
          <w:rFonts w:hint="eastAsia" w:ascii="仿宋" w:hAnsi="仿宋" w:eastAsia="仿宋" w:cs="仿宋"/>
          <w:b w:val="0"/>
          <w:bCs w:val="0"/>
          <w:sz w:val="32"/>
          <w:szCs w:val="32"/>
          <w:lang w:val="en-US" w:eastAsia="zh-CN"/>
        </w:rPr>
        <w:t>在市外定点医疗机构就医的，报销比例按照市内就医标准执行。</w:t>
      </w:r>
    </w:p>
    <w:p w14:paraId="0E5962D5">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年度统筹封顶额：城乡居民大病保险年度最高支付限额为15万元。参保人发生的门诊特定病种合规医疗费用月度最高赔付限额按城乡居民基本医疗保险月度限额的50%执行。特困供养人员、孤儿、事实无人抚养儿童、最低生活保障对象、最低生活保障边缘家庭救助对象、</w:t>
      </w:r>
      <w:r>
        <w:rPr>
          <w:rFonts w:hint="eastAsia" w:ascii="仿宋" w:hAnsi="仿宋" w:eastAsia="仿宋" w:cs="仿宋"/>
          <w:b w:val="0"/>
          <w:bCs w:val="0"/>
          <w:sz w:val="32"/>
          <w:szCs w:val="32"/>
        </w:rPr>
        <w:t>纳入监测范围的农村易返贫致贫人口</w:t>
      </w:r>
      <w:r>
        <w:rPr>
          <w:rFonts w:hint="eastAsia" w:ascii="仿宋" w:hAnsi="仿宋" w:eastAsia="仿宋" w:cs="仿宋"/>
          <w:b w:val="0"/>
          <w:bCs w:val="0"/>
          <w:sz w:val="32"/>
          <w:szCs w:val="32"/>
          <w:lang w:val="en-US" w:eastAsia="zh-CN"/>
        </w:rPr>
        <w:t>上不封顶。</w:t>
      </w:r>
    </w:p>
    <w:p w14:paraId="4B55E283">
      <w:pPr>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6.跨年度住院待遇标准</w:t>
      </w:r>
    </w:p>
    <w:p w14:paraId="5CF8456A">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参保人跨医保年度住院的，上一医保年度发生的医疗总费用低于2万元的（含2万元），待遇标准按参保人实际出院日期的医保年度规定执行，本次住院统筹基金支付金额累计到参保人实际出院日期的医保年度支付限额中（包括基本医疗保险和补充医疗保险）；参保人跨医保年度住院的，上一医保年度发生的医疗总费用高于2万元的，参保人本次住院的医疗费用应按年度分别进行核算。</w:t>
      </w:r>
    </w:p>
    <w:p w14:paraId="32467B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（三）门诊特定病种待遇支付政策</w:t>
      </w:r>
    </w:p>
    <w:p w14:paraId="1FBAF8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1.病种范围</w:t>
      </w:r>
    </w:p>
    <w:p w14:paraId="5FFB43D3">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我市共有53个病种纳入门特范围，包括省医疗保障局制定的52个病种及本市已开展但不在省规定范围内可继续保障的脑瘫病种，各病种名称和定额标准详见附件1。</w:t>
      </w:r>
    </w:p>
    <w:p w14:paraId="750D3198">
      <w:pPr>
        <w:keepNext w:val="0"/>
        <w:keepLines w:val="0"/>
        <w:pageBreakBefore w:val="0"/>
        <w:widowControl w:val="0"/>
        <w:kinsoku/>
        <w:wordWrap/>
        <w:overflowPunct/>
        <w:topLinePunct w:val="0"/>
        <w:bidi w:val="0"/>
        <w:snapToGrid/>
        <w:spacing w:line="56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2.报销比例</w:t>
      </w:r>
    </w:p>
    <w:p w14:paraId="7E699672">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门诊特定病种不设起付线，报销比例按照住院报销比例标准执行。参保人选定的门诊特定病种定点医疗机构为异地医疗机构的，需按规定办理异地就医备案，报销比例按照已办理异地转诊备案手续人员住院报销比例执行。已办理常住异地（含异地安置退休人员、异地长期居住人员、常驻异地工作人员）备案手续的，参保人可持备案就医地二级及以上定点医疗机构门特病种资格认证相关资料办理门特病种备案手续，报销比例按照市内住院报销比例执行。</w:t>
      </w:r>
    </w:p>
    <w:p w14:paraId="18504C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3.月度支付限额</w:t>
      </w:r>
    </w:p>
    <w:p w14:paraId="0ED29D77">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门诊特定病种实行月度支付限额，统筹费用纳入参保人统筹基金年度累计最高支付限额计算。参保人同时患有多个病种的，月度支付限额按照定额标准最高的病种定额加上其他病种定额的20%合并计算。其中以下病种月度支付限额有结余的，结余部分可在当年度待遇有效期内累积使用：</w:t>
      </w:r>
    </w:p>
    <w:p w14:paraId="26530AF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（1）支气管哮喘；</w:t>
      </w:r>
    </w:p>
    <w:p w14:paraId="13561EE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（2）肢端肥大症；</w:t>
      </w:r>
    </w:p>
    <w:p w14:paraId="5F3EDB0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（3）多发性硬化；</w:t>
      </w:r>
    </w:p>
    <w:p w14:paraId="2BCED63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（4）强直性脊柱炎；</w:t>
      </w:r>
    </w:p>
    <w:p w14:paraId="0B6B79F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（5）银屑病；</w:t>
      </w:r>
    </w:p>
    <w:p w14:paraId="5BD3C1F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（6）克罗恩病；</w:t>
      </w:r>
    </w:p>
    <w:p w14:paraId="34A5802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（7）溃疡性结肠炎；</w:t>
      </w:r>
    </w:p>
    <w:p w14:paraId="6B07D45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（8）湿性年龄相关性黄斑变性；</w:t>
      </w:r>
    </w:p>
    <w:p w14:paraId="4642D9B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（9）糖尿病黄斑水肿；</w:t>
      </w:r>
    </w:p>
    <w:p w14:paraId="1251CE8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（10）脉络膜新生血管；</w:t>
      </w:r>
    </w:p>
    <w:p w14:paraId="70C54FF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（11）视网膜静脉阻塞所致黄斑水肿。</w:t>
      </w:r>
    </w:p>
    <w:p w14:paraId="610E33D7">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其他非按年度统筹封顶设置限额的病种月度支付限额当月有效，结余清零。</w:t>
      </w:r>
    </w:p>
    <w:p w14:paraId="70A49DBC">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本医疗保险实行月度支付限额的门诊特定病种，大病保险、补充医疗保险月度支付限额按照基本医疗保险月度支付限额的50%执行；基本医疗保险按年度统筹封顶设置限额的门特病种，大病保险、补充医疗保险按年度统筹封顶设置支付限额。</w:t>
      </w:r>
    </w:p>
    <w:p w14:paraId="6B617C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4.经办管理</w:t>
      </w:r>
    </w:p>
    <w:p w14:paraId="69BF73A1">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门诊特定病种实施病种资格认证和定点就医备案管理。参保人员申请门诊特定病种待遇须经医保经办机构公布的可办理门诊特定病种资格认证的医疗机构按照相应病种准入标准予以审核确认，选定1-3家符合条件的定点医疗机构作为本人门诊特定病种就诊医疗机构并向医保经办机构进行备案。既往已确诊的参保人员，办理病种资格认证的医疗机构可根据既往一年内化验单、诊断书等予以审核确认。</w:t>
      </w:r>
    </w:p>
    <w:p w14:paraId="05E745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选定医疗机构原则上一年内不变更，参保人员确因病情需要、居住地迁移、工作地址变更、定点医疗机构门诊特定病种服务范围变动等情形需变更选定医疗机构的，可按规定出具相关证明后向医保经办机构申请办理变更手续。</w:t>
      </w:r>
    </w:p>
    <w:p w14:paraId="13A6E6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5.待遇有效期</w:t>
      </w:r>
    </w:p>
    <w:p w14:paraId="0A546627">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（1）参保人按照有关规定享受基本医疗保险待遇后方可申请门诊特定病种待遇，享受门诊特定病种待遇开始时间为医保经办机构审批之日起。</w:t>
      </w:r>
    </w:p>
    <w:p w14:paraId="4953FBE3">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（2）门诊特定病种待遇享受有效期按省医疗保障行政部门的有关规定执行，具体见附件1。</w:t>
      </w:r>
    </w:p>
    <w:p w14:paraId="502A7F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（四）普通门诊待遇支付政策</w:t>
      </w:r>
    </w:p>
    <w:p w14:paraId="4A367B4B">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1.经办管理</w:t>
      </w:r>
    </w:p>
    <w:p w14:paraId="2940D2A4">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市内各级定点医疗机构（含实施基本药物制度和镇村一体化管理的村卫生站）为我市职工医保普通门诊定点服务机构。市内各乡镇卫生院和社区卫生服务中心（含实施基本药物制度和镇村一体化管理的村卫生站）为我市城乡居民医保普通门诊定点服务机构。</w:t>
      </w:r>
    </w:p>
    <w:p w14:paraId="41D246CF">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普通门诊实施选点备案制及逐级转诊制。职工医保和城乡居民医保参保人员需在本市范围内选定1家基层定点医疗机构（包括镇卫生院、社区卫生服务中心及实施基本药物制度和镇村一体化管理的村卫生站）作为普通门诊就医的定点医疗机构（以下简称基层选定医疗机构），并向医保经办机构申请备案，备案后原则上一年内不予变更。参保人确因居住地迁移等情形需要变更选定的普通门诊定点医疗机构的，可向医保经办机构递交相关材料申请办理变更手续。</w:t>
      </w:r>
    </w:p>
    <w:p w14:paraId="4D0C1DF3">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异地安置退休人员、异地长期居住人员及常驻异地工作人员在异地就医备案地定点医疗机构门诊就医无需办理选点备案和转诊手续。</w:t>
      </w:r>
    </w:p>
    <w:p w14:paraId="6185B6A6">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（3）</w:t>
      </w:r>
      <w:r>
        <w:rPr>
          <w:rFonts w:hint="eastAsia" w:ascii="仿宋" w:hAnsi="仿宋" w:eastAsia="仿宋" w:cs="仿宋"/>
          <w:sz w:val="32"/>
          <w:szCs w:val="32"/>
          <w:lang w:val="en-US" w:eastAsia="zh-CN"/>
        </w:rPr>
        <w:t>职工医保参保人因选定的基层医疗机构条件所限需转诊至其他定点医疗机构就诊的，应经选定的基层医疗机构同意，并向医保经办机构申请办理转诊手续转诊至其他一级或二级定点医疗机构；如有特殊情况的，可由基层医疗机构根据参保人疾病情况直接转诊至三级定点医疗机构。办理转诊手续后30日内在其转诊的定点医疗机构门诊就医的，发生的门诊医疗费用可纳入普通门诊统筹基金支付。</w:t>
      </w:r>
    </w:p>
    <w:p w14:paraId="22BC5FDD">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保人因急救和抢救到非选定或未办理转诊手续的定点医疗机构门诊就医的，发生的门诊医疗费用可由参保人先行垫付后，凭相关资料到医保经办机构申请零星报销。除急救和抢救需要外，参保人员未经转诊到非选定定点医疗机构门诊就医的，统筹基金不予支付。</w:t>
      </w:r>
    </w:p>
    <w:p w14:paraId="7A2640C2">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（4）未办理异地安置、异地长期居住或常驻异地工作备案手续的人员，在异地发生的普通门诊医疗费用统筹基金不予支付。</w:t>
      </w:r>
    </w:p>
    <w:p w14:paraId="6CAC2972">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2.报销比例</w:t>
      </w:r>
    </w:p>
    <w:p w14:paraId="6A5D8508">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sz w:val="32"/>
          <w:szCs w:val="32"/>
          <w:lang w:val="en-US" w:eastAsia="zh-CN"/>
        </w:rPr>
        <w:t>（1）职工医保：</w:t>
      </w:r>
      <w:r>
        <w:rPr>
          <w:rFonts w:hint="eastAsia" w:ascii="仿宋" w:hAnsi="仿宋" w:eastAsia="仿宋" w:cs="仿宋"/>
          <w:b w:val="0"/>
          <w:bCs w:val="0"/>
          <w:kern w:val="2"/>
          <w:sz w:val="32"/>
          <w:szCs w:val="32"/>
          <w:highlight w:val="none"/>
          <w:lang w:val="en-US" w:eastAsia="zh-CN" w:bidi="ar-SA"/>
        </w:rPr>
        <w:t>职工医保普通门诊统筹不设起付标准，参保人发生的政策范围内医疗费用，乡镇卫生院、社区卫生服务中心、村卫生站支付比例为在职职工70%、退休职工75%，一级定点医疗机构支付比例为在职职工60%、退休职工65%，二级定点医疗机构支付比例为在职职工55%、退休职工60%，三级定点医疗机构支付比例为在职职工50%、退休职工55%。</w:t>
      </w:r>
    </w:p>
    <w:p w14:paraId="3A7806F4">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b w:val="0"/>
          <w:bCs w:val="0"/>
          <w:sz w:val="32"/>
          <w:szCs w:val="32"/>
          <w:lang w:val="en-US" w:eastAsia="zh-CN"/>
        </w:rPr>
        <w:t>（2）城乡居民医保：</w:t>
      </w:r>
      <w:r>
        <w:rPr>
          <w:rFonts w:hint="eastAsia" w:ascii="仿宋" w:hAnsi="仿宋" w:eastAsia="仿宋" w:cs="仿宋"/>
          <w:b w:val="0"/>
          <w:bCs w:val="0"/>
          <w:kern w:val="2"/>
          <w:sz w:val="32"/>
          <w:szCs w:val="32"/>
          <w:highlight w:val="none"/>
          <w:lang w:val="en-US" w:eastAsia="zh-CN" w:bidi="ar-SA"/>
        </w:rPr>
        <w:t>城乡居民医保普通门诊统筹不设起付标准，参保人在各乡镇卫生院、社区卫生服务中心和村卫生站发生的政策范围内医疗费用支</w:t>
      </w:r>
      <w:r>
        <w:rPr>
          <w:rFonts w:hint="eastAsia" w:ascii="仿宋" w:hAnsi="仿宋" w:eastAsia="仿宋" w:cs="仿宋"/>
          <w:kern w:val="2"/>
          <w:sz w:val="32"/>
          <w:szCs w:val="32"/>
          <w:highlight w:val="none"/>
          <w:lang w:val="en-US" w:eastAsia="zh-CN" w:bidi="ar-SA"/>
        </w:rPr>
        <w:t>付比例为60%。城乡居民医保参保人在非基层定点医疗机构发生的普通门诊费用不纳入统筹支付范围。</w:t>
      </w:r>
    </w:p>
    <w:p w14:paraId="7C226E54">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3.月度支付限额</w:t>
      </w:r>
    </w:p>
    <w:p w14:paraId="54E2F8C3">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普通门诊统筹实行月度支付限额。2024年度职工医保普通门诊月度支付限额为161.58元/月，城乡居民医保度月度支付限额为129.25元/月，月度支付限额不结转次月使用。</w:t>
      </w:r>
    </w:p>
    <w:p w14:paraId="0CE2B0FE">
      <w:pPr>
        <w:pStyle w:val="4"/>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default"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（五）药品单独支付政策待遇</w:t>
      </w:r>
    </w:p>
    <w:p w14:paraId="268DABD2">
      <w:pPr>
        <w:pStyle w:val="4"/>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1.政策范围</w:t>
      </w:r>
    </w:p>
    <w:p w14:paraId="0C5FD243">
      <w:pPr>
        <w:pStyle w:val="4"/>
        <w:keepNext w:val="0"/>
        <w:keepLines w:val="0"/>
        <w:pageBreakBefore w:val="0"/>
        <w:widowControl w:val="0"/>
        <w:kinsoku/>
        <w:wordWrap/>
        <w:overflowPunct/>
        <w:topLinePunct w:val="0"/>
        <w:bidi w:val="0"/>
        <w:snapToGrid/>
        <w:spacing w:line="560" w:lineRule="exact"/>
        <w:ind w:firstLine="616" w:firstLineChars="200"/>
        <w:textAlignment w:val="auto"/>
        <w:outlineLvl w:val="9"/>
        <w:rPr>
          <w:rFonts w:hint="eastAsia" w:ascii="仿宋" w:hAnsi="仿宋" w:eastAsia="仿宋" w:cs="仿宋"/>
          <w:spacing w:val="-6"/>
          <w:kern w:val="2"/>
          <w:sz w:val="32"/>
          <w:szCs w:val="32"/>
          <w:highlight w:val="none"/>
          <w:lang w:val="en-US" w:eastAsia="zh-CN" w:bidi="ar-SA"/>
        </w:rPr>
      </w:pPr>
      <w:r>
        <w:rPr>
          <w:rFonts w:hint="eastAsia" w:ascii="仿宋" w:hAnsi="仿宋" w:eastAsia="仿宋" w:cs="仿宋"/>
          <w:spacing w:val="-6"/>
          <w:sz w:val="32"/>
          <w:szCs w:val="32"/>
          <w:lang w:val="en-US" w:eastAsia="zh-CN" w:bidi="ar-SA"/>
        </w:rPr>
        <w:t>国家谈判药品和2个重症精神病长效针剂实施单独支付政策。</w:t>
      </w:r>
    </w:p>
    <w:p w14:paraId="41C8D4D7">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2.报销比例</w:t>
      </w:r>
    </w:p>
    <w:p w14:paraId="57BF1257">
      <w:pPr>
        <w:pStyle w:val="15"/>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outlineLvl w:val="9"/>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rPr>
        <w:t>药品单独支付病种不设起付线，</w:t>
      </w:r>
      <w:r>
        <w:rPr>
          <w:rFonts w:hint="eastAsia" w:ascii="仿宋" w:hAnsi="仿宋" w:eastAsia="仿宋" w:cs="仿宋"/>
          <w:sz w:val="32"/>
          <w:szCs w:val="32"/>
          <w:lang w:val="en-US" w:eastAsia="zh-CN" w:bidi="ar-SA"/>
        </w:rPr>
        <w:t>报销比例按住院比例执行、不设月度支付限额、发生的统筹支付费用纳入各医疗保障基金年度累计最高支付限额计算。未办理异地长期居住手续的参保人在市外定点医疗机构结算的，报销比例按照转外诊治住院报销比例执行。</w:t>
      </w:r>
    </w:p>
    <w:p w14:paraId="7D8896B5">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3.经办服务</w:t>
      </w:r>
    </w:p>
    <w:p w14:paraId="7E50F4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rPr>
        <w:t>药品单独支付病种无需进行选点，不限制就诊医疗机构。</w:t>
      </w:r>
      <w:r>
        <w:rPr>
          <w:rFonts w:hint="eastAsia" w:ascii="仿宋" w:hAnsi="仿宋" w:eastAsia="仿宋" w:cs="仿宋"/>
          <w:sz w:val="32"/>
          <w:szCs w:val="32"/>
          <w:lang w:val="en-US" w:bidi="ar-SA"/>
        </w:rPr>
        <w:t>参保人</w:t>
      </w:r>
      <w:r>
        <w:rPr>
          <w:rFonts w:hint="eastAsia" w:ascii="仿宋" w:hAnsi="仿宋" w:eastAsia="仿宋" w:cs="仿宋"/>
          <w:sz w:val="32"/>
          <w:szCs w:val="32"/>
          <w:lang w:val="en-US" w:eastAsia="zh-CN" w:bidi="ar-SA"/>
        </w:rPr>
        <w:t>经医疗机构确诊并</w:t>
      </w:r>
      <w:r>
        <w:rPr>
          <w:rFonts w:hint="eastAsia" w:ascii="仿宋" w:hAnsi="仿宋" w:eastAsia="仿宋" w:cs="仿宋"/>
          <w:sz w:val="32"/>
          <w:szCs w:val="32"/>
          <w:lang w:val="en-US" w:bidi="ar-SA"/>
        </w:rPr>
        <w:t>符合药品限定支付</w:t>
      </w:r>
      <w:r>
        <w:rPr>
          <w:rFonts w:hint="eastAsia" w:ascii="仿宋" w:hAnsi="仿宋" w:eastAsia="仿宋" w:cs="仿宋"/>
          <w:sz w:val="32"/>
          <w:szCs w:val="32"/>
          <w:lang w:val="en-US" w:eastAsia="zh-CN" w:bidi="ar-SA"/>
        </w:rPr>
        <w:t>条件的</w:t>
      </w:r>
      <w:r>
        <w:rPr>
          <w:rFonts w:hint="eastAsia" w:ascii="仿宋" w:hAnsi="仿宋" w:eastAsia="仿宋" w:cs="仿宋"/>
          <w:sz w:val="32"/>
          <w:szCs w:val="32"/>
          <w:lang w:val="en-US" w:bidi="ar-SA"/>
        </w:rPr>
        <w:t>，</w:t>
      </w:r>
      <w:r>
        <w:rPr>
          <w:rFonts w:hint="eastAsia" w:ascii="仿宋" w:hAnsi="仿宋" w:eastAsia="仿宋" w:cs="仿宋"/>
          <w:sz w:val="32"/>
          <w:szCs w:val="32"/>
          <w:lang w:val="en-US" w:eastAsia="zh-CN" w:bidi="ar-SA"/>
        </w:rPr>
        <w:t>可凭医疗机构相关证明到各级医保经办机构申请备案，医保经办机构应将参保人信息通过国家医疗保障信息平台备案至门诊特定病种“M90507 国谈药品单独支付专用病种”，参保人完成备案后可在市内、市外任一定点医疗机构结算。</w:t>
      </w:r>
    </w:p>
    <w:p w14:paraId="1587F5D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（六）个人账户待遇</w:t>
      </w:r>
    </w:p>
    <w:p w14:paraId="1C14C11E">
      <w:pPr>
        <w:keepNext w:val="0"/>
        <w:keepLines w:val="0"/>
        <w:pageBreakBefore w:val="0"/>
        <w:widowControl w:val="0"/>
        <w:kinsoku/>
        <w:wordWrap/>
        <w:overflowPunct/>
        <w:topLinePunct w:val="0"/>
        <w:bidi w:val="0"/>
        <w:adjustRightInd/>
        <w:snapToGrid/>
        <w:spacing w:line="54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1.个人账户划拨标准</w:t>
      </w:r>
    </w:p>
    <w:p w14:paraId="6D2D278D">
      <w:pPr>
        <w:keepNext w:val="0"/>
        <w:keepLines w:val="0"/>
        <w:pageBreakBefore w:val="0"/>
        <w:widowControl w:val="0"/>
        <w:kinsoku/>
        <w:wordWrap/>
        <w:overflowPunct/>
        <w:topLinePunct w:val="0"/>
        <w:bidi w:val="0"/>
        <w:adjustRightInd/>
        <w:snapToGrid/>
        <w:spacing w:line="540" w:lineRule="exact"/>
        <w:ind w:firstLine="640" w:firstLineChars="200"/>
        <w:jc w:val="both"/>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sz w:val="32"/>
          <w:szCs w:val="32"/>
          <w:lang w:val="en-US" w:eastAsia="zh-CN"/>
        </w:rPr>
        <w:t>（1）在职职工：</w:t>
      </w:r>
      <w:r>
        <w:rPr>
          <w:rFonts w:hint="eastAsia" w:ascii="仿宋" w:hAnsi="仿宋" w:eastAsia="仿宋" w:cs="仿宋"/>
          <w:b w:val="0"/>
          <w:bCs w:val="0"/>
          <w:kern w:val="2"/>
          <w:sz w:val="32"/>
          <w:szCs w:val="32"/>
          <w:highlight w:val="none"/>
          <w:lang w:val="en-US" w:eastAsia="zh-CN" w:bidi="ar-SA"/>
        </w:rPr>
        <w:t>个人账户由个人缴纳的基本医疗保险费计入，月计入标准为本人参保缴费月基数的2%。</w:t>
      </w:r>
    </w:p>
    <w:p w14:paraId="11E48C8D">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sz w:val="32"/>
          <w:szCs w:val="32"/>
          <w:lang w:val="en-US" w:eastAsia="zh-CN"/>
        </w:rPr>
        <w:t>（2）退休职工：</w:t>
      </w:r>
      <w:r>
        <w:rPr>
          <w:rFonts w:hint="eastAsia" w:ascii="仿宋" w:hAnsi="仿宋" w:eastAsia="仿宋" w:cs="仿宋"/>
          <w:b w:val="0"/>
          <w:bCs w:val="0"/>
          <w:kern w:val="2"/>
          <w:sz w:val="32"/>
          <w:szCs w:val="32"/>
          <w:highlight w:val="none"/>
          <w:lang w:val="en-US" w:eastAsia="zh-CN" w:bidi="ar-SA"/>
        </w:rPr>
        <w:t>个人账户由职工医保统筹基金按每月109.97元的标准划入。</w:t>
      </w:r>
    </w:p>
    <w:p w14:paraId="5F65636F">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（3）参加公务员医疗补助险人员每月从公务员医疗补助险保费中划拨5元至个人账户。</w:t>
      </w:r>
    </w:p>
    <w:p w14:paraId="6B49C58C">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（4）已达法定退休年龄但未达最低缴费年限人员，在按月缴费期间不享受个人账户待遇。</w:t>
      </w:r>
    </w:p>
    <w:p w14:paraId="0022117D">
      <w:pPr>
        <w:keepNext w:val="0"/>
        <w:keepLines w:val="0"/>
        <w:pageBreakBefore w:val="0"/>
        <w:widowControl w:val="0"/>
        <w:kinsoku/>
        <w:wordWrap/>
        <w:overflowPunct/>
        <w:topLinePunct w:val="0"/>
        <w:bidi w:val="0"/>
        <w:adjustRightInd/>
        <w:snapToGrid/>
        <w:spacing w:line="54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2.个人账户支付范围</w:t>
      </w:r>
    </w:p>
    <w:p w14:paraId="44CFE5E8">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个人账户可用于支付参保人员本人及其配偶、父母、子女以下费用：</w:t>
      </w:r>
    </w:p>
    <w:p w14:paraId="106A3F5C">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（1）在定点医疗机构就医发生的由个人负担的医疗费用。</w:t>
      </w:r>
    </w:p>
    <w:p w14:paraId="0DEC2529">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（2）在定点零售药店购买药品、医疗器械、医用耗材发生的由个人负担的费用。</w:t>
      </w:r>
    </w:p>
    <w:p w14:paraId="01CC7F62">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（3）配偶、父母、子女参加城乡居民医保的个人缴费。</w:t>
      </w:r>
    </w:p>
    <w:p w14:paraId="348B80E4">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（4）本人、配偶、父母、子女参加我市政府指导的普惠型商业补充医疗保险的个人缴费。</w:t>
      </w:r>
    </w:p>
    <w:p w14:paraId="0955E8CB">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（5）参保人员本人退休时未达到职工医保最低缴费年限的缴费费用。</w:t>
      </w:r>
    </w:p>
    <w:p w14:paraId="3375593A">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（6）在定点医疗机构发生的由个人负担的符合规定的中医“治未病”费用。</w:t>
      </w:r>
    </w:p>
    <w:p w14:paraId="225183E7">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（7）其他符合国家、省规定的费用。</w:t>
      </w:r>
    </w:p>
    <w:p w14:paraId="321F20C1">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个人账户不得用于公共卫生费用、体育健身或养生保健消费等不属于基本医疗保险保障范围的支出。</w:t>
      </w:r>
    </w:p>
    <w:p w14:paraId="6684D9B8">
      <w:pPr>
        <w:keepNext w:val="0"/>
        <w:keepLines w:val="0"/>
        <w:pageBreakBefore w:val="0"/>
        <w:widowControl w:val="0"/>
        <w:numPr>
          <w:ilvl w:val="0"/>
          <w:numId w:val="0"/>
        </w:numPr>
        <w:kinsoku/>
        <w:wordWrap/>
        <w:overflowPunct/>
        <w:topLinePunct w:val="0"/>
        <w:bidi w:val="0"/>
        <w:adjustRightInd/>
        <w:snapToGrid/>
        <w:spacing w:line="540" w:lineRule="exact"/>
        <w:ind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3.个人账户资金转移与提现</w:t>
      </w:r>
    </w:p>
    <w:p w14:paraId="72E6F420">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3.1 参保人员省内跨市转移职工医保关系的，个人账户资金跨市使用，不划转、不提现。</w:t>
      </w:r>
    </w:p>
    <w:p w14:paraId="0D4ADF66">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3.2 参保人员出现以下情况的，可申请将个人账户资金提现至本人银行账户：</w:t>
      </w:r>
    </w:p>
    <w:p w14:paraId="637DB91F">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（1）参保人员跨省转移职工医保关系的；</w:t>
      </w:r>
    </w:p>
    <w:p w14:paraId="37E7A15B">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（2）办理跨省异地安置手续的退休人员；</w:t>
      </w:r>
    </w:p>
    <w:p w14:paraId="66C59E68">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（3）参保人员在参保期间应征入伍的；</w:t>
      </w:r>
    </w:p>
    <w:p w14:paraId="7E8C0CEA">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（4）参保人员死亡的（本人银行账户已注销的可按规定划拨至继承人银行账户）；</w:t>
      </w:r>
    </w:p>
    <w:p w14:paraId="74A274C3">
      <w:pPr>
        <w:pStyle w:val="3"/>
        <w:keepNext w:val="0"/>
        <w:keepLines w:val="0"/>
        <w:pageBreakBefore w:val="0"/>
        <w:widowControl w:val="0"/>
        <w:kinsoku/>
        <w:wordWrap/>
        <w:overflowPunct/>
        <w:topLinePunct w:val="0"/>
        <w:autoSpaceDE w:val="0"/>
        <w:autoSpaceDN w:val="0"/>
        <w:bidi w:val="0"/>
        <w:adjustRightInd/>
        <w:snapToGrid/>
        <w:spacing w:before="0" w:after="0" w:line="540" w:lineRule="exact"/>
        <w:ind w:left="0" w:right="0" w:firstLine="640" w:firstLineChars="200"/>
        <w:jc w:val="both"/>
        <w:textAlignment w:val="auto"/>
        <w:outlineLvl w:val="9"/>
        <w:rPr>
          <w:rFonts w:hint="default" w:ascii="Times New Roman" w:hAnsi="Times New Roman" w:eastAsia="仿宋_GB2312" w:cs="Times New Roman"/>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（5）参保人员出境（包括港、澳、台地区）定居的。</w:t>
      </w:r>
    </w:p>
    <w:p w14:paraId="7B76EC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（七）门诊诊查费待遇</w:t>
      </w:r>
    </w:p>
    <w:p w14:paraId="61E362FE">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参保人在纳入我市医改范围的城市公立定点医疗机构门诊就诊的，发生的门诊诊查费按照3元/次标准纳入职工基本医疗保险、城乡居民基本医疗保险统筹基金支付。门诊诊查费不设限额，按就诊次数支付。</w:t>
      </w:r>
    </w:p>
    <w:p w14:paraId="77E07E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（八）家庭医生签约服务费待遇</w:t>
      </w:r>
    </w:p>
    <w:p w14:paraId="426612DB">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参保人在基层定点医疗机构签约家庭医生服务的，职工基本医疗保险统筹基金按照3.5元/人.月、城乡居民基本医疗保险统筹基金按照2.25元/人.月标准划拨家庭医生签约服务费。职工医保参保人发生的家庭医生签约服务费从职工普通门诊月度限额中扣减。</w:t>
      </w:r>
    </w:p>
    <w:p w14:paraId="0E4946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（九）狂犬疫苗接种费待遇</w:t>
      </w:r>
    </w:p>
    <w:p w14:paraId="0DBAFC63">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kern w:val="2"/>
          <w:sz w:val="32"/>
          <w:szCs w:val="32"/>
          <w:highlight w:val="none"/>
          <w:lang w:val="en-US" w:eastAsia="zh-CN" w:bidi="ar-SA"/>
        </w:rPr>
        <w:t>城乡居民医保参保人因动物致伤在门、急诊接种狂犬疫苗的，狂犬疫苗接种费用纳入城乡居民基本医疗保险基金支付，不设起付标准，每疗程最高支付限额为200元,未达最高支付限额的按实际支付。</w:t>
      </w:r>
    </w:p>
    <w:p w14:paraId="07488CDA">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三、生育保险待遇支付政策</w:t>
      </w:r>
    </w:p>
    <w:p w14:paraId="5B8824F1">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lang w:val="en-US" w:eastAsia="zh-CN"/>
        </w:rPr>
      </w:pPr>
      <w:r>
        <w:rPr>
          <w:rFonts w:hint="eastAsia" w:ascii="楷体" w:hAnsi="楷体" w:eastAsia="楷体" w:cs="楷体"/>
          <w:b w:val="0"/>
          <w:bCs w:val="0"/>
          <w:sz w:val="32"/>
          <w:szCs w:val="32"/>
          <w:lang w:val="en-US" w:eastAsia="zh-CN"/>
        </w:rPr>
        <w:t>（一）待遇享受时间</w:t>
      </w:r>
    </w:p>
    <w:p w14:paraId="4FD06217">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生育保险由用人单位按月缴费，在职职工自缴费次月起享受待遇，停止缴费次月起停止待遇。灵活就业人员首次参加职工基本医疗保险，连续缴费不满6个月的，不享受生育保险待遇；连续缴费满6个月不满12个月的，生育保险支付比例按照50%执行；连续缴费满12个月的，从第13个月起，生育保险待遇标准按规定执行。</w:t>
      </w:r>
    </w:p>
    <w:p w14:paraId="4A89EEDA">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（二）待遇享受人员与类别</w:t>
      </w:r>
    </w:p>
    <w:p w14:paraId="461C05DD">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1.用人单位已按时足额缴费的，职工本人可享受生育医疗费用和生育津贴待遇。</w:t>
      </w:r>
    </w:p>
    <w:p w14:paraId="25FE497D">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2.参加职工基本医疗保险的灵活就业人员、因工致残被鉴定为一级至四级伤残并办理伤残退休手续的职工、享受职工基本医疗保险待遇的退休人员按照规定享受生育医疗费用待遇，不享受生育津贴待遇。</w:t>
      </w:r>
    </w:p>
    <w:p w14:paraId="1045EB2D">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3.职工未就业配偶纳入生育保险支付的项目和报销比例按照我市城乡居民基本医疗保险的标准执行，不享受产前检查待遇，可按规定享受其他生育医疗费用待遇。</w:t>
      </w:r>
    </w:p>
    <w:p w14:paraId="5BA76A18">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default"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（三）生育医疗费用待遇</w:t>
      </w:r>
    </w:p>
    <w:p w14:paraId="48E05E43">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747" w:firstLineChars="200"/>
        <w:jc w:val="both"/>
        <w:textAlignment w:val="auto"/>
        <w:outlineLvl w:val="9"/>
        <w:rPr>
          <w:rFonts w:hint="eastAsia" w:ascii="仿宋" w:hAnsi="仿宋" w:eastAsia="仿宋" w:cs="仿宋"/>
          <w:b/>
          <w:bCs/>
          <w:spacing w:val="18"/>
          <w:sz w:val="32"/>
          <w:szCs w:val="32"/>
          <w:lang w:val="en-US" w:eastAsia="zh-CN"/>
        </w:rPr>
      </w:pPr>
      <w:r>
        <w:rPr>
          <w:rFonts w:hint="eastAsia" w:ascii="仿宋" w:hAnsi="仿宋" w:eastAsia="仿宋" w:cs="仿宋"/>
          <w:b/>
          <w:bCs/>
          <w:spacing w:val="26"/>
          <w:sz w:val="32"/>
          <w:szCs w:val="32"/>
          <w:lang w:val="en-US" w:eastAsia="zh-CN"/>
        </w:rPr>
        <w:t>1.</w:t>
      </w:r>
      <w:r>
        <w:rPr>
          <w:rFonts w:hint="eastAsia" w:ascii="仿宋" w:hAnsi="仿宋" w:eastAsia="仿宋" w:cs="仿宋"/>
          <w:b/>
          <w:bCs/>
          <w:spacing w:val="26"/>
          <w:sz w:val="32"/>
          <w:szCs w:val="32"/>
        </w:rPr>
        <w:t>生育医疗费用</w:t>
      </w:r>
      <w:r>
        <w:rPr>
          <w:rFonts w:hint="eastAsia" w:ascii="仿宋" w:hAnsi="仿宋" w:eastAsia="仿宋" w:cs="仿宋"/>
          <w:b/>
          <w:bCs/>
          <w:spacing w:val="26"/>
          <w:sz w:val="32"/>
          <w:szCs w:val="32"/>
          <w:lang w:val="en-US" w:eastAsia="zh-CN"/>
        </w:rPr>
        <w:t>类别</w:t>
      </w:r>
    </w:p>
    <w:p w14:paraId="073109F5">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712" w:firstLineChars="200"/>
        <w:jc w:val="both"/>
        <w:textAlignment w:val="auto"/>
        <w:outlineLvl w:val="9"/>
        <w:rPr>
          <w:rFonts w:hint="eastAsia" w:ascii="仿宋" w:hAnsi="仿宋" w:eastAsia="仿宋" w:cs="仿宋"/>
          <w:b w:val="0"/>
          <w:bCs w:val="0"/>
          <w:spacing w:val="35"/>
          <w:sz w:val="32"/>
          <w:szCs w:val="32"/>
          <w:lang w:val="en-US" w:eastAsia="zh-CN"/>
        </w:rPr>
      </w:pPr>
      <w:r>
        <w:rPr>
          <w:rFonts w:hint="eastAsia" w:ascii="仿宋" w:hAnsi="仿宋" w:eastAsia="仿宋" w:cs="仿宋"/>
          <w:b w:val="0"/>
          <w:bCs w:val="0"/>
          <w:spacing w:val="18"/>
          <w:sz w:val="32"/>
          <w:szCs w:val="32"/>
          <w:lang w:val="en-US" w:eastAsia="zh-CN"/>
        </w:rPr>
        <w:t xml:space="preserve">1.1 </w:t>
      </w:r>
      <w:r>
        <w:rPr>
          <w:rFonts w:hint="eastAsia" w:ascii="仿宋" w:hAnsi="仿宋" w:eastAsia="仿宋" w:cs="仿宋"/>
          <w:b w:val="0"/>
          <w:bCs w:val="0"/>
          <w:spacing w:val="18"/>
          <w:sz w:val="32"/>
          <w:szCs w:val="32"/>
        </w:rPr>
        <w:t>生育医疗费用</w:t>
      </w:r>
    </w:p>
    <w:p w14:paraId="35E3E5E6">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1）产前检查费用：纳入生育保险支付范围的产前检查项目包括常规项目和备查项目。常规项目指定点医疗机构应当为参保人提供的基本医疗服务项目，备查项目指定点医疗机构根据参保人具体情况建议检查的项目。</w:t>
      </w:r>
    </w:p>
    <w:p w14:paraId="6052D0AD">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常规项目包括：产检、尿常规、血常规、血型、血糖、肝功能、肾功能、乙肝表面抗原、梅毒血清学检测、HIV筛查、B超、胎心监测、心电图。备查项目包括：15-20周妊娠中期非整倍体母体血清学筛查、丙型肝炎抗体测定、血红蛋白电泳试验、抗D滴度检查（Rh阴性者）、阴道分泌物检查、甲状腺功能筛查、宫颈脱落细胞学检查、宫颈分泌物检测淋球菌、宫颈分泌物检测沙眼衣原体。</w:t>
      </w:r>
    </w:p>
    <w:p w14:paraId="7F80BE14">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outlineLvl w:val="9"/>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（2）终止妊娠（含宫外孕终止妊娠）、分娩住院期间的费用，终止妊娠、分娩住院期间诊治妊娠合并症、并发症的费用。</w:t>
      </w:r>
    </w:p>
    <w:p w14:paraId="380F26D7">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716" w:firstLineChars="200"/>
        <w:jc w:val="both"/>
        <w:textAlignment w:val="auto"/>
        <w:outlineLvl w:val="9"/>
        <w:rPr>
          <w:rFonts w:hint="eastAsia" w:ascii="仿宋" w:hAnsi="仿宋" w:eastAsia="仿宋" w:cs="仿宋"/>
          <w:kern w:val="2"/>
          <w:sz w:val="32"/>
          <w:szCs w:val="32"/>
          <w:highlight w:val="none"/>
          <w:lang w:val="en-US" w:eastAsia="zh-CN" w:bidi="ar-SA"/>
        </w:rPr>
      </w:pPr>
      <w:r>
        <w:rPr>
          <w:rFonts w:hint="eastAsia" w:ascii="仿宋" w:hAnsi="仿宋" w:eastAsia="仿宋" w:cs="仿宋"/>
          <w:b w:val="0"/>
          <w:bCs w:val="0"/>
          <w:spacing w:val="19"/>
          <w:sz w:val="32"/>
          <w:szCs w:val="32"/>
          <w:lang w:val="en-US" w:eastAsia="zh-CN"/>
        </w:rPr>
        <w:t xml:space="preserve">1.2 </w:t>
      </w:r>
      <w:r>
        <w:rPr>
          <w:rFonts w:hint="eastAsia" w:ascii="仿宋" w:hAnsi="仿宋" w:eastAsia="仿宋" w:cs="仿宋"/>
          <w:b w:val="0"/>
          <w:bCs w:val="0"/>
          <w:spacing w:val="19"/>
          <w:sz w:val="32"/>
          <w:szCs w:val="32"/>
        </w:rPr>
        <w:t>计划生育医疗费用</w:t>
      </w:r>
      <w:r>
        <w:rPr>
          <w:rFonts w:hint="eastAsia" w:ascii="仿宋" w:hAnsi="仿宋" w:eastAsia="仿宋" w:cs="仿宋"/>
          <w:b w:val="0"/>
          <w:bCs w:val="0"/>
          <w:spacing w:val="19"/>
          <w:sz w:val="32"/>
          <w:szCs w:val="32"/>
          <w:lang w:eastAsia="zh-CN"/>
        </w:rPr>
        <w:t>：</w:t>
      </w:r>
      <w:r>
        <w:rPr>
          <w:rFonts w:hint="eastAsia" w:ascii="仿宋" w:hAnsi="仿宋" w:eastAsia="仿宋" w:cs="仿宋"/>
          <w:b w:val="0"/>
          <w:bCs w:val="0"/>
          <w:kern w:val="2"/>
          <w:sz w:val="32"/>
          <w:szCs w:val="32"/>
          <w:highlight w:val="none"/>
          <w:lang w:val="en-US" w:eastAsia="zh-CN" w:bidi="ar-SA"/>
        </w:rPr>
        <w:t>包括放置或者取出宫内节育器，施行输卵管、输精管结扎或者复通手术、人</w:t>
      </w:r>
      <w:r>
        <w:rPr>
          <w:rFonts w:hint="eastAsia" w:ascii="仿宋" w:hAnsi="仿宋" w:eastAsia="仿宋" w:cs="仿宋"/>
          <w:kern w:val="2"/>
          <w:sz w:val="32"/>
          <w:szCs w:val="32"/>
          <w:highlight w:val="none"/>
          <w:lang w:val="en-US" w:eastAsia="zh-CN" w:bidi="ar-SA"/>
        </w:rPr>
        <w:t>工流产、引产术等发生的医疗费用，施行计划生育手术期间诊治合并症、并发症的费用。</w:t>
      </w:r>
    </w:p>
    <w:p w14:paraId="7D6C01E4">
      <w:pPr>
        <w:keepNext w:val="0"/>
        <w:keepLines w:val="0"/>
        <w:pageBreakBefore w:val="0"/>
        <w:widowControl w:val="0"/>
        <w:kinsoku/>
        <w:wordWrap/>
        <w:overflowPunct/>
        <w:topLinePunct w:val="0"/>
        <w:bidi w:val="0"/>
        <w:snapToGrid/>
        <w:spacing w:line="560" w:lineRule="exact"/>
        <w:ind w:firstLine="715" w:firstLineChars="200"/>
        <w:textAlignment w:val="auto"/>
        <w:outlineLvl w:val="9"/>
        <w:rPr>
          <w:rFonts w:hint="eastAsia" w:ascii="仿宋" w:hAnsi="仿宋" w:eastAsia="仿宋" w:cs="仿宋"/>
          <w:b/>
          <w:bCs/>
          <w:spacing w:val="18"/>
          <w:sz w:val="32"/>
          <w:szCs w:val="32"/>
          <w:lang w:val="en-US" w:eastAsia="zh-CN"/>
        </w:rPr>
      </w:pPr>
      <w:r>
        <w:rPr>
          <w:rFonts w:hint="eastAsia" w:ascii="仿宋" w:hAnsi="仿宋" w:eastAsia="仿宋" w:cs="仿宋"/>
          <w:b/>
          <w:bCs/>
          <w:spacing w:val="18"/>
          <w:sz w:val="32"/>
          <w:szCs w:val="32"/>
          <w:lang w:val="en-US" w:eastAsia="zh-CN"/>
        </w:rPr>
        <w:t>2.生育医疗费用待遇标准</w:t>
      </w:r>
    </w:p>
    <w:p w14:paraId="6CCC13FB">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2.1 产前检查：产前检查实行按孕次定额结算，每孕次定额标准为1700元，超过孕次定额标准以上费用不予支付。</w:t>
      </w:r>
    </w:p>
    <w:p w14:paraId="1E7D67C6">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2.2 其他生育医疗费用待遇标准：</w:t>
      </w:r>
    </w:p>
    <w:p w14:paraId="5652A9E4">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（1）市内联网结算：参保人在市内定点医疗机构就医发生的合规生育医疗费用据实结算，不设定额标准。</w:t>
      </w:r>
    </w:p>
    <w:p w14:paraId="72F65A33">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highlight w:val="none"/>
          <w:lang w:val="en-US" w:eastAsia="zh-CN"/>
        </w:rPr>
        <w:t>（2）市外联网结算：</w:t>
      </w:r>
      <w:r>
        <w:rPr>
          <w:rFonts w:hint="eastAsia" w:ascii="仿宋" w:hAnsi="仿宋" w:eastAsia="仿宋" w:cs="仿宋"/>
          <w:sz w:val="32"/>
          <w:szCs w:val="32"/>
          <w:lang w:val="en-US" w:eastAsia="zh-CN"/>
        </w:rPr>
        <w:t>参保人在市外定点医疗机构发生的政策范围内生育医疗费用联网结算的，基金对各结算项目的最高支付标准按照我市医保经办机构与市内定点医疗机构确定的同类别结算项目中的最高支付标准执行。未达到结算标准的按实际支付，超出结算标准的费用由参保人自付。</w:t>
      </w:r>
    </w:p>
    <w:p w14:paraId="6080BA7F">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市外定点医疗机构生育医疗费用联网结算支付标准具体见附件3。</w:t>
      </w:r>
    </w:p>
    <w:p w14:paraId="4D4ED8A4">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零星报销：参保人因各种原因未在定点医疗机构联网结算的，可在分娩、终止妊娠或者施行计划生育手术次日起3年内，向参保地医保经办机构申请零星报销，发生的合规生育医疗费用最高支付标准按照医保经办机构与市内同级别定点医疗机构结算标准执行，未达到市内同级别定点医疗机构结算标准的按实际支付。</w:t>
      </w:r>
    </w:p>
    <w:p w14:paraId="0CAE7F83">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医保经办机构与市内定点医疗机构生育医疗费用结算标准具体见附件2。</w:t>
      </w:r>
    </w:p>
    <w:p w14:paraId="393B533A">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2.3 职工未就业配偶报销各项生育医疗费用待遇的，应扣减的起付标准和报销比例按照我市城乡居民基本医疗保险住院待遇标准执行。</w:t>
      </w:r>
    </w:p>
    <w:p w14:paraId="5CCC4FCC">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（四）生育津贴待遇</w:t>
      </w:r>
    </w:p>
    <w:p w14:paraId="3F2228A3">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712" w:firstLineChars="200"/>
        <w:jc w:val="both"/>
        <w:textAlignment w:val="auto"/>
        <w:outlineLvl w:val="9"/>
        <w:rPr>
          <w:rFonts w:hint="eastAsia" w:ascii="仿宋" w:hAnsi="仿宋" w:eastAsia="仿宋" w:cs="仿宋"/>
          <w:spacing w:val="18"/>
          <w:kern w:val="2"/>
          <w:sz w:val="32"/>
          <w:szCs w:val="32"/>
          <w:lang w:val="en-US" w:eastAsia="zh-CN" w:bidi="ar-SA"/>
        </w:rPr>
      </w:pPr>
      <w:r>
        <w:rPr>
          <w:rFonts w:hint="eastAsia" w:ascii="仿宋" w:hAnsi="仿宋" w:eastAsia="仿宋" w:cs="仿宋"/>
          <w:spacing w:val="18"/>
          <w:kern w:val="2"/>
          <w:sz w:val="32"/>
          <w:szCs w:val="32"/>
          <w:lang w:val="en-US" w:eastAsia="zh-CN" w:bidi="ar-SA"/>
        </w:rPr>
        <w:t>职工应当享受的生育津贴，按照职工生育或者施行计划生育手术时用人单位上年度职工月平均工资除以30，计算出日均生育津贴标准后，再乘以规定的法定生育假期天数计发。</w:t>
      </w:r>
    </w:p>
    <w:p w14:paraId="71EBAE3C">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712" w:firstLineChars="200"/>
        <w:jc w:val="both"/>
        <w:textAlignment w:val="auto"/>
        <w:outlineLvl w:val="9"/>
        <w:rPr>
          <w:rFonts w:hint="eastAsia" w:ascii="仿宋" w:hAnsi="仿宋" w:eastAsia="仿宋" w:cs="仿宋"/>
          <w:spacing w:val="18"/>
          <w:kern w:val="2"/>
          <w:sz w:val="32"/>
          <w:szCs w:val="32"/>
          <w:lang w:val="en-US" w:eastAsia="zh-CN" w:bidi="ar-SA"/>
        </w:rPr>
      </w:pPr>
      <w:r>
        <w:rPr>
          <w:rFonts w:hint="eastAsia" w:ascii="仿宋" w:hAnsi="仿宋" w:eastAsia="仿宋" w:cs="仿宋"/>
          <w:spacing w:val="18"/>
          <w:kern w:val="2"/>
          <w:sz w:val="32"/>
          <w:szCs w:val="32"/>
          <w:lang w:val="en-US" w:eastAsia="zh-CN" w:bidi="ar-SA"/>
        </w:rPr>
        <w:t>生育津贴=</w:t>
      </w:r>
      <w:r>
        <w:rPr>
          <w:rFonts w:hint="eastAsia" w:ascii="仿宋" w:hAnsi="仿宋" w:eastAsia="仿宋" w:cs="仿宋"/>
          <w:spacing w:val="19"/>
          <w:sz w:val="32"/>
          <w:szCs w:val="32"/>
          <w:lang w:val="en-US" w:eastAsia="zh-CN"/>
        </w:rPr>
        <w:t>日均生育津贴×法定生育假期天数</w:t>
      </w:r>
    </w:p>
    <w:p w14:paraId="60B6F2FB">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1.日均生育津贴计算标准</w:t>
      </w:r>
    </w:p>
    <w:p w14:paraId="1ACF7AB8">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716" w:firstLineChars="200"/>
        <w:textAlignment w:val="auto"/>
        <w:outlineLvl w:val="9"/>
        <w:rPr>
          <w:rFonts w:hint="eastAsia" w:ascii="仿宋" w:hAnsi="仿宋" w:eastAsia="仿宋" w:cs="仿宋"/>
          <w:spacing w:val="19"/>
          <w:sz w:val="32"/>
          <w:szCs w:val="32"/>
          <w:lang w:val="en-US" w:eastAsia="zh-CN"/>
        </w:rPr>
      </w:pPr>
      <w:r>
        <w:rPr>
          <w:rFonts w:hint="eastAsia" w:ascii="仿宋" w:hAnsi="仿宋" w:eastAsia="仿宋" w:cs="仿宋"/>
          <w:spacing w:val="19"/>
          <w:sz w:val="32"/>
          <w:szCs w:val="32"/>
          <w:lang w:val="en-US" w:eastAsia="zh-CN"/>
        </w:rPr>
        <w:t>日均生育津贴=</w:t>
      </w:r>
      <w:r>
        <w:rPr>
          <w:rFonts w:hint="eastAsia" w:ascii="仿宋" w:hAnsi="仿宋" w:eastAsia="仿宋" w:cs="仿宋"/>
          <w:spacing w:val="18"/>
          <w:kern w:val="2"/>
          <w:sz w:val="32"/>
          <w:szCs w:val="32"/>
          <w:lang w:val="en-US" w:eastAsia="zh-CN" w:bidi="ar-SA"/>
        </w:rPr>
        <w:t>职工生育或者施行计划生育手术时用人单位上年度所有职工的月平均工资÷30</w:t>
      </w:r>
    </w:p>
    <w:p w14:paraId="48DA5989">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716" w:firstLineChars="200"/>
        <w:textAlignment w:val="auto"/>
        <w:outlineLvl w:val="9"/>
        <w:rPr>
          <w:rFonts w:hint="eastAsia" w:ascii="仿宋" w:hAnsi="仿宋" w:eastAsia="仿宋" w:cs="仿宋"/>
          <w:sz w:val="32"/>
          <w:szCs w:val="32"/>
        </w:rPr>
      </w:pPr>
      <w:r>
        <w:rPr>
          <w:rFonts w:hint="eastAsia" w:ascii="仿宋" w:hAnsi="仿宋" w:eastAsia="仿宋" w:cs="仿宋"/>
          <w:spacing w:val="19"/>
          <w:sz w:val="32"/>
          <w:szCs w:val="32"/>
        </w:rPr>
        <w:t>用人单位上年度</w:t>
      </w:r>
      <w:r>
        <w:rPr>
          <w:rFonts w:hint="eastAsia" w:ascii="仿宋" w:hAnsi="仿宋" w:eastAsia="仿宋" w:cs="仿宋"/>
          <w:spacing w:val="18"/>
          <w:kern w:val="2"/>
          <w:sz w:val="32"/>
          <w:szCs w:val="32"/>
          <w:lang w:val="en-US" w:eastAsia="zh-CN" w:bidi="ar-SA"/>
        </w:rPr>
        <w:t>所有</w:t>
      </w:r>
      <w:r>
        <w:rPr>
          <w:rFonts w:hint="eastAsia" w:ascii="仿宋" w:hAnsi="仿宋" w:eastAsia="仿宋" w:cs="仿宋"/>
          <w:spacing w:val="19"/>
          <w:sz w:val="32"/>
          <w:szCs w:val="32"/>
        </w:rPr>
        <w:t>职工月平均工资按照</w:t>
      </w:r>
      <w:r>
        <w:rPr>
          <w:rFonts w:hint="eastAsia" w:ascii="仿宋" w:hAnsi="仿宋" w:eastAsia="仿宋" w:cs="仿宋"/>
          <w:spacing w:val="19"/>
          <w:sz w:val="32"/>
          <w:szCs w:val="32"/>
          <w:lang w:eastAsia="zh-CN"/>
        </w:rPr>
        <w:t>本</w:t>
      </w:r>
      <w:r>
        <w:rPr>
          <w:rFonts w:hint="eastAsia" w:ascii="仿宋" w:hAnsi="仿宋" w:eastAsia="仿宋" w:cs="仿宋"/>
          <w:spacing w:val="16"/>
          <w:sz w:val="32"/>
          <w:szCs w:val="32"/>
        </w:rPr>
        <w:t>单位上一自然年度参</w:t>
      </w:r>
      <w:r>
        <w:rPr>
          <w:rFonts w:hint="eastAsia" w:ascii="仿宋" w:hAnsi="仿宋" w:eastAsia="仿宋" w:cs="仿宋"/>
          <w:spacing w:val="18"/>
          <w:sz w:val="32"/>
          <w:szCs w:val="32"/>
        </w:rPr>
        <w:t>保职工各月缴费工资之和</w:t>
      </w:r>
      <w:r>
        <w:rPr>
          <w:rFonts w:hint="eastAsia" w:ascii="仿宋" w:hAnsi="仿宋" w:eastAsia="仿宋" w:cs="仿宋"/>
          <w:spacing w:val="18"/>
          <w:sz w:val="32"/>
          <w:szCs w:val="32"/>
          <w:lang w:eastAsia="zh-CN"/>
        </w:rPr>
        <w:t>，</w:t>
      </w:r>
      <w:r>
        <w:rPr>
          <w:rFonts w:hint="eastAsia" w:ascii="仿宋" w:hAnsi="仿宋" w:eastAsia="仿宋" w:cs="仿宋"/>
          <w:spacing w:val="18"/>
          <w:sz w:val="32"/>
          <w:szCs w:val="32"/>
        </w:rPr>
        <w:t>除以其各月参保职工数之和确定</w:t>
      </w:r>
      <w:r>
        <w:rPr>
          <w:rFonts w:hint="eastAsia" w:ascii="仿宋" w:hAnsi="仿宋" w:eastAsia="仿宋" w:cs="仿宋"/>
          <w:w w:val="80"/>
          <w:sz w:val="32"/>
          <w:szCs w:val="32"/>
        </w:rPr>
        <w:t>。</w:t>
      </w:r>
    </w:p>
    <w:p w14:paraId="56ECFBDF">
      <w:pPr>
        <w:pStyle w:val="3"/>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716" w:firstLineChars="200"/>
        <w:textAlignment w:val="auto"/>
        <w:outlineLvl w:val="9"/>
        <w:rPr>
          <w:rFonts w:hint="eastAsia" w:ascii="仿宋" w:hAnsi="仿宋" w:eastAsia="仿宋" w:cs="仿宋"/>
          <w:sz w:val="32"/>
          <w:szCs w:val="32"/>
        </w:rPr>
      </w:pPr>
      <w:r>
        <w:rPr>
          <w:rFonts w:hint="eastAsia" w:ascii="仿宋" w:hAnsi="仿宋" w:eastAsia="仿宋" w:cs="仿宋"/>
          <w:spacing w:val="19"/>
          <w:sz w:val="32"/>
          <w:szCs w:val="32"/>
          <w:lang w:eastAsia="zh-CN"/>
        </w:rPr>
        <w:t>本</w:t>
      </w:r>
      <w:r>
        <w:rPr>
          <w:rFonts w:hint="eastAsia" w:ascii="仿宋" w:hAnsi="仿宋" w:eastAsia="仿宋" w:cs="仿宋"/>
          <w:spacing w:val="19"/>
          <w:sz w:val="32"/>
          <w:szCs w:val="32"/>
        </w:rPr>
        <w:t>年度新参保的用人单位</w:t>
      </w:r>
      <w:r>
        <w:rPr>
          <w:rFonts w:hint="eastAsia" w:ascii="仿宋" w:hAnsi="仿宋" w:eastAsia="仿宋" w:cs="仿宋"/>
          <w:spacing w:val="19"/>
          <w:sz w:val="32"/>
          <w:szCs w:val="32"/>
          <w:lang w:eastAsia="zh-CN"/>
        </w:rPr>
        <w:t>，</w:t>
      </w:r>
      <w:r>
        <w:rPr>
          <w:rFonts w:hint="eastAsia" w:ascii="仿宋" w:hAnsi="仿宋" w:eastAsia="仿宋" w:cs="仿宋"/>
          <w:spacing w:val="19"/>
          <w:sz w:val="32"/>
          <w:szCs w:val="32"/>
        </w:rPr>
        <w:t>生育津贴以该单位</w:t>
      </w:r>
      <w:r>
        <w:rPr>
          <w:rFonts w:hint="eastAsia" w:ascii="仿宋" w:hAnsi="仿宋" w:eastAsia="仿宋" w:cs="仿宋"/>
          <w:spacing w:val="19"/>
          <w:sz w:val="32"/>
          <w:szCs w:val="32"/>
          <w:lang w:eastAsia="zh-CN"/>
        </w:rPr>
        <w:t>本</w:t>
      </w:r>
      <w:r>
        <w:rPr>
          <w:rFonts w:hint="eastAsia" w:ascii="仿宋" w:hAnsi="仿宋" w:eastAsia="仿宋" w:cs="仿宋"/>
          <w:spacing w:val="15"/>
          <w:sz w:val="32"/>
          <w:szCs w:val="32"/>
        </w:rPr>
        <w:t>年度参保职</w:t>
      </w:r>
      <w:r>
        <w:rPr>
          <w:rFonts w:hint="eastAsia" w:ascii="仿宋" w:hAnsi="仿宋" w:eastAsia="仿宋" w:cs="仿宋"/>
          <w:spacing w:val="19"/>
          <w:w w:val="95"/>
          <w:sz w:val="32"/>
          <w:szCs w:val="32"/>
        </w:rPr>
        <w:t>工月平均工资为基数计算</w:t>
      </w:r>
      <w:r>
        <w:rPr>
          <w:rFonts w:hint="eastAsia" w:ascii="仿宋" w:hAnsi="仿宋" w:eastAsia="仿宋" w:cs="仿宋"/>
          <w:w w:val="80"/>
          <w:sz w:val="32"/>
          <w:szCs w:val="32"/>
        </w:rPr>
        <w:t>。</w:t>
      </w:r>
    </w:p>
    <w:p w14:paraId="537BD7C3">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2.法定生育假期天数标准</w:t>
      </w:r>
    </w:p>
    <w:p w14:paraId="684ED6B5">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（1）女职工生育享受产假:顺产的，计98天；难产的，增加30天；生育多胞胎的，每多生育1个婴儿，增加15天。</w:t>
      </w:r>
    </w:p>
    <w:p w14:paraId="0024A628">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（2）女职工终止妊娠享受产假：怀孕未满4个月终止妊娠的，根据医疗机构的意见，计15天至30天；怀孕4个月以上7个月以下终止妊娠的，计42天；怀孕满7个月终止妊娠的，计75天。</w:t>
      </w:r>
    </w:p>
    <w:p w14:paraId="38787318">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（3）职工享受计划生育手术休假：取出宫内节育器的，计1天;放置宫内节育器的，计2天；施行输卵管结扎的，计21天;施行输精管结扎的，计7天；施行输卵管或者输精管复通手术的，计14天。</w:t>
      </w:r>
    </w:p>
    <w:p w14:paraId="2DD84D1F">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（4）同时存在两种以上计划生育手术情形，或者同时存在生育和计划生育手术情形的，合并计算享受生育津贴的假期天数。</w:t>
      </w:r>
    </w:p>
    <w:p w14:paraId="3929D3E5">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（5）职工依照计划生育法律、法规规定享受奖励增加的产假或看护假期间，由用人单位按照规定发放工资，不享受生育津贴。</w:t>
      </w:r>
    </w:p>
    <w:p w14:paraId="20D2807E">
      <w:pPr>
        <w:keepNext w:val="0"/>
        <w:keepLines w:val="0"/>
        <w:pageBreakBefore w:val="0"/>
        <w:widowControl w:val="0"/>
        <w:kinsoku/>
        <w:wordWrap/>
        <w:overflowPunct/>
        <w:topLinePunct w:val="0"/>
        <w:bidi w:val="0"/>
        <w:snapToGrid/>
        <w:spacing w:line="560" w:lineRule="exact"/>
        <w:ind w:firstLine="719" w:firstLineChars="200"/>
        <w:textAlignment w:val="auto"/>
        <w:outlineLvl w:val="9"/>
        <w:rPr>
          <w:rFonts w:hint="eastAsia" w:ascii="仿宋" w:hAnsi="仿宋" w:eastAsia="仿宋" w:cs="仿宋"/>
          <w:b/>
          <w:bCs/>
          <w:spacing w:val="19"/>
          <w:sz w:val="32"/>
          <w:szCs w:val="32"/>
          <w:lang w:val="en-US" w:eastAsia="zh-CN"/>
        </w:rPr>
      </w:pPr>
      <w:r>
        <w:rPr>
          <w:rFonts w:hint="eastAsia" w:ascii="仿宋" w:hAnsi="仿宋" w:eastAsia="仿宋" w:cs="仿宋"/>
          <w:b/>
          <w:bCs/>
          <w:spacing w:val="19"/>
          <w:sz w:val="32"/>
          <w:szCs w:val="32"/>
          <w:lang w:val="en-US" w:eastAsia="zh-CN"/>
        </w:rPr>
        <w:t>3.生育津贴申领条件</w:t>
      </w:r>
    </w:p>
    <w:p w14:paraId="39E4F357">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（1）职工按照规定享受的生育津贴，由用人单位按照职工原工资标准先行垫付，再由医保经办机构按照规定拨付给用人单位。</w:t>
      </w:r>
    </w:p>
    <w:p w14:paraId="1D967CBD">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用人单位在职工享受产假或计划生育手术假期间按时足额缴费，且已垫付国家或省规定假期天数的生育津贴后，可在职工分娩、终止妊娠或者施行计划生育手术次日起3年内按规定向医保经办机构申请拨付生育津贴。</w:t>
      </w:r>
    </w:p>
    <w:p w14:paraId="2851519F">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职工已经享受生育津贴的，视同用人单位已经支付相应数额的工资。生育津贴高于职工原工资标准的，用人单位应当将生育津贴余额支付给职工；生育津贴低于职工原工资标准的，差额部分由用人单位补足。</w:t>
      </w:r>
    </w:p>
    <w:p w14:paraId="105AC455">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职工按照规定享受产假或者计划生育手术休假期间，用人单位因被吊销营业执照、责令关闭、撤销等客观原因或者无正当理由未垫付生育津贴的，职工本人可以在产假或者计划生育手术休假结束后3年内，直接向参保地医保经办机构申请拨付生育津贴。</w:t>
      </w:r>
    </w:p>
    <w:p w14:paraId="65A505E4">
      <w:pPr>
        <w:keepNext w:val="0"/>
        <w:keepLines w:val="0"/>
        <w:pageBreakBefore w:val="0"/>
        <w:widowControl w:val="0"/>
        <w:kinsoku/>
        <w:wordWrap/>
        <w:overflowPunct/>
        <w:topLinePunct w:val="0"/>
        <w:bidi w:val="0"/>
        <w:snapToGrid/>
        <w:spacing w:line="560" w:lineRule="exact"/>
        <w:ind w:firstLine="716" w:firstLineChars="200"/>
        <w:textAlignment w:val="auto"/>
        <w:outlineLvl w:val="9"/>
        <w:rPr>
          <w:rFonts w:hint="eastAsia" w:ascii="黑体" w:hAnsi="黑体" w:eastAsia="黑体" w:cs="黑体"/>
          <w:spacing w:val="19"/>
          <w:sz w:val="32"/>
          <w:szCs w:val="32"/>
          <w:lang w:val="en-US" w:eastAsia="zh-CN"/>
        </w:rPr>
      </w:pPr>
      <w:r>
        <w:rPr>
          <w:rFonts w:hint="eastAsia" w:ascii="黑体" w:hAnsi="黑体" w:eastAsia="黑体" w:cs="黑体"/>
          <w:spacing w:val="19"/>
          <w:sz w:val="32"/>
          <w:szCs w:val="32"/>
          <w:lang w:val="en-US" w:eastAsia="zh-CN"/>
        </w:rPr>
        <w:t>四、医疗救助待遇标准</w:t>
      </w:r>
    </w:p>
    <w:p w14:paraId="7B92799C">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（一）医疗救助对象</w:t>
      </w:r>
    </w:p>
    <w:p w14:paraId="7183D76C">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sz w:val="32"/>
          <w:szCs w:val="32"/>
          <w:highlight w:val="none"/>
        </w:rPr>
      </w:pPr>
      <w:r>
        <w:rPr>
          <w:rFonts w:hint="eastAsia" w:ascii="仿宋" w:hAnsi="仿宋" w:eastAsia="仿宋" w:cs="仿宋"/>
          <w:b/>
          <w:bCs/>
          <w:sz w:val="32"/>
          <w:szCs w:val="32"/>
          <w:highlight w:val="none"/>
          <w:lang w:val="en-US" w:eastAsia="zh-CN"/>
        </w:rPr>
        <w:t>1.</w:t>
      </w:r>
      <w:r>
        <w:rPr>
          <w:rFonts w:hint="eastAsia" w:ascii="仿宋" w:hAnsi="仿宋" w:eastAsia="仿宋" w:cs="仿宋"/>
          <w:b/>
          <w:bCs/>
          <w:sz w:val="32"/>
          <w:szCs w:val="32"/>
          <w:highlight w:val="none"/>
        </w:rPr>
        <w:t>收入型医疗救助对象</w:t>
      </w:r>
      <w:r>
        <w:rPr>
          <w:rFonts w:hint="eastAsia" w:ascii="仿宋" w:hAnsi="仿宋" w:eastAsia="仿宋" w:cs="仿宋"/>
          <w:b/>
          <w:bCs/>
          <w:sz w:val="32"/>
          <w:szCs w:val="32"/>
          <w:highlight w:val="none"/>
          <w:lang w:eastAsia="zh-CN"/>
        </w:rPr>
        <w:t>。</w:t>
      </w:r>
      <w:r>
        <w:rPr>
          <w:rFonts w:hint="eastAsia" w:ascii="仿宋" w:hAnsi="仿宋" w:eastAsia="仿宋" w:cs="仿宋"/>
          <w:sz w:val="32"/>
          <w:szCs w:val="32"/>
          <w:highlight w:val="none"/>
        </w:rPr>
        <w:t>指纳入</w:t>
      </w:r>
      <w:r>
        <w:rPr>
          <w:rFonts w:hint="eastAsia" w:ascii="仿宋" w:hAnsi="仿宋" w:eastAsia="仿宋" w:cs="仿宋"/>
          <w:sz w:val="32"/>
          <w:szCs w:val="32"/>
          <w:highlight w:val="none"/>
          <w:lang w:val="en-US" w:eastAsia="zh-CN"/>
        </w:rPr>
        <w:t>本市</w:t>
      </w:r>
      <w:r>
        <w:rPr>
          <w:rFonts w:hint="eastAsia" w:ascii="仿宋" w:hAnsi="仿宋" w:eastAsia="仿宋" w:cs="仿宋"/>
          <w:sz w:val="32"/>
          <w:szCs w:val="32"/>
          <w:highlight w:val="none"/>
        </w:rPr>
        <w:t>民政、乡村振兴部门管理的下列对象：特困人员、孤儿、事实无人抚养儿童、最低生活保障对象、最低生活保障边缘家庭成员</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农村易返贫致贫人口。</w:t>
      </w:r>
    </w:p>
    <w:p w14:paraId="563A4B8F">
      <w:pPr>
        <w:keepNext w:val="0"/>
        <w:keepLines w:val="0"/>
        <w:pageBreakBefore w:val="0"/>
        <w:widowControl w:val="0"/>
        <w:kinsoku/>
        <w:wordWrap/>
        <w:overflowPunct/>
        <w:topLinePunct w:val="0"/>
        <w:bidi w:val="0"/>
        <w:snapToGrid w:val="0"/>
        <w:spacing w:line="560" w:lineRule="exact"/>
        <w:ind w:firstLine="643" w:firstLineChars="200"/>
        <w:textAlignment w:val="auto"/>
        <w:rPr>
          <w:rFonts w:hint="eastAsia" w:ascii="仿宋" w:hAnsi="仿宋" w:eastAsia="仿宋" w:cs="仿宋"/>
          <w:sz w:val="32"/>
          <w:szCs w:val="32"/>
          <w:highlight w:val="none"/>
          <w:u w:val="none"/>
          <w:lang w:eastAsia="zh-CN"/>
        </w:rPr>
      </w:pPr>
      <w:r>
        <w:rPr>
          <w:rFonts w:hint="eastAsia" w:ascii="仿宋" w:hAnsi="仿宋" w:eastAsia="仿宋" w:cs="仿宋"/>
          <w:b/>
          <w:bCs/>
          <w:sz w:val="32"/>
          <w:szCs w:val="32"/>
          <w:highlight w:val="none"/>
          <w:lang w:val="en-US" w:eastAsia="zh-CN"/>
        </w:rPr>
        <w:t>2.</w:t>
      </w:r>
      <w:r>
        <w:rPr>
          <w:rFonts w:hint="eastAsia" w:ascii="仿宋" w:hAnsi="仿宋" w:eastAsia="仿宋" w:cs="仿宋"/>
          <w:b/>
          <w:bCs/>
          <w:sz w:val="32"/>
          <w:szCs w:val="32"/>
          <w:highlight w:val="none"/>
        </w:rPr>
        <w:t>支出型医疗救助对象。</w:t>
      </w:r>
      <w:r>
        <w:rPr>
          <w:rFonts w:hint="eastAsia" w:ascii="仿宋" w:hAnsi="仿宋" w:eastAsia="仿宋" w:cs="仿宋"/>
          <w:sz w:val="32"/>
          <w:szCs w:val="32"/>
          <w:highlight w:val="none"/>
        </w:rPr>
        <w:t>指符合《阳江市人民政府办公室关于印发阳江市最低生活保障边缘家庭和支出型困难家庭救助实施细则的通知》</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阳府办〔2022〕6号</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u w:val="none"/>
        </w:rPr>
        <w:t>规定的支出型困难家庭中</w:t>
      </w:r>
      <w:r>
        <w:rPr>
          <w:rFonts w:hint="eastAsia" w:ascii="仿宋" w:hAnsi="仿宋" w:eastAsia="仿宋" w:cs="仿宋"/>
          <w:sz w:val="32"/>
          <w:szCs w:val="32"/>
          <w:highlight w:val="none"/>
          <w:u w:val="none"/>
          <w:lang w:eastAsia="zh-CN"/>
        </w:rPr>
        <w:t>符合以下条件之一的</w:t>
      </w:r>
      <w:r>
        <w:rPr>
          <w:rFonts w:hint="eastAsia" w:ascii="仿宋" w:hAnsi="仿宋" w:eastAsia="仿宋" w:cs="仿宋"/>
          <w:sz w:val="32"/>
          <w:szCs w:val="32"/>
          <w:highlight w:val="none"/>
          <w:u w:val="none"/>
        </w:rPr>
        <w:t>重病患者</w:t>
      </w:r>
      <w:r>
        <w:rPr>
          <w:rFonts w:hint="eastAsia" w:ascii="仿宋" w:hAnsi="仿宋" w:eastAsia="仿宋" w:cs="仿宋"/>
          <w:sz w:val="32"/>
          <w:szCs w:val="32"/>
          <w:highlight w:val="none"/>
          <w:u w:val="none"/>
          <w:lang w:eastAsia="zh-CN"/>
        </w:rPr>
        <w:t>：</w:t>
      </w:r>
    </w:p>
    <w:p w14:paraId="4C957139">
      <w:pPr>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 w:hAnsi="仿宋" w:eastAsia="仿宋" w:cs="仿宋"/>
          <w:b w:val="0"/>
          <w:bCs w:val="0"/>
          <w:sz w:val="32"/>
          <w:szCs w:val="32"/>
          <w:highlight w:val="none"/>
          <w:u w:val="none"/>
        </w:rPr>
      </w:pPr>
      <w:r>
        <w:rPr>
          <w:rFonts w:hint="eastAsia" w:ascii="仿宋" w:hAnsi="仿宋" w:eastAsia="仿宋" w:cs="仿宋"/>
          <w:sz w:val="32"/>
          <w:szCs w:val="32"/>
          <w:highlight w:val="none"/>
          <w:u w:val="none"/>
          <w:lang w:val="en-US" w:eastAsia="zh-CN"/>
        </w:rPr>
        <w:t>①</w:t>
      </w:r>
      <w:r>
        <w:rPr>
          <w:rFonts w:hint="eastAsia" w:ascii="仿宋" w:hAnsi="仿宋" w:eastAsia="仿宋" w:cs="仿宋"/>
          <w:sz w:val="32"/>
          <w:szCs w:val="32"/>
          <w:highlight w:val="none"/>
          <w:u w:val="none"/>
        </w:rPr>
        <w:t>支出型困难家庭</w:t>
      </w:r>
      <w:r>
        <w:rPr>
          <w:rFonts w:hint="eastAsia" w:ascii="仿宋" w:hAnsi="仿宋" w:eastAsia="仿宋" w:cs="仿宋"/>
          <w:b w:val="0"/>
          <w:bCs w:val="0"/>
          <w:sz w:val="32"/>
          <w:szCs w:val="32"/>
          <w:highlight w:val="none"/>
          <w:u w:val="none"/>
          <w:lang w:eastAsia="zh-CN"/>
        </w:rPr>
        <w:t>资格认定之日前</w:t>
      </w:r>
      <w:r>
        <w:rPr>
          <w:rFonts w:hint="eastAsia" w:ascii="仿宋" w:hAnsi="仿宋" w:eastAsia="仿宋" w:cs="仿宋"/>
          <w:b w:val="0"/>
          <w:bCs w:val="0"/>
          <w:sz w:val="32"/>
          <w:szCs w:val="32"/>
          <w:highlight w:val="none"/>
          <w:u w:val="none"/>
          <w:lang w:val="en-US" w:eastAsia="zh-CN"/>
        </w:rPr>
        <w:t>12个月在</w:t>
      </w:r>
      <w:r>
        <w:rPr>
          <w:rFonts w:hint="eastAsia" w:ascii="仿宋" w:hAnsi="仿宋" w:eastAsia="仿宋" w:cs="仿宋"/>
          <w:b w:val="0"/>
          <w:bCs w:val="0"/>
          <w:kern w:val="2"/>
          <w:sz w:val="32"/>
          <w:szCs w:val="32"/>
          <w:highlight w:val="none"/>
          <w:u w:val="none"/>
          <w:lang w:val="en-US" w:eastAsia="zh-CN" w:bidi="ar-SA"/>
        </w:rPr>
        <w:t>定点医药机构发生的普通门诊、门诊特定病种、住院医疗费用，</w:t>
      </w:r>
      <w:r>
        <w:rPr>
          <w:rFonts w:hint="eastAsia" w:ascii="仿宋" w:hAnsi="仿宋" w:eastAsia="仿宋" w:cs="仿宋"/>
          <w:b w:val="0"/>
          <w:bCs w:val="0"/>
          <w:sz w:val="32"/>
          <w:szCs w:val="32"/>
          <w:highlight w:val="none"/>
          <w:u w:val="none"/>
        </w:rPr>
        <w:t>经</w:t>
      </w:r>
      <w:r>
        <w:rPr>
          <w:rFonts w:hint="eastAsia" w:ascii="仿宋" w:hAnsi="仿宋" w:eastAsia="仿宋" w:cs="仿宋"/>
          <w:b w:val="0"/>
          <w:bCs w:val="0"/>
          <w:sz w:val="32"/>
          <w:szCs w:val="32"/>
          <w:highlight w:val="none"/>
          <w:u w:val="none"/>
          <w:lang w:eastAsia="zh-CN"/>
        </w:rPr>
        <w:t>基本医疗保险、补充医疗保险</w:t>
      </w:r>
      <w:r>
        <w:rPr>
          <w:rFonts w:hint="eastAsia" w:ascii="仿宋" w:hAnsi="仿宋" w:eastAsia="仿宋" w:cs="仿宋"/>
          <w:b w:val="0"/>
          <w:bCs w:val="0"/>
          <w:sz w:val="32"/>
          <w:szCs w:val="32"/>
          <w:highlight w:val="none"/>
          <w:u w:val="none"/>
        </w:rPr>
        <w:t>等支付后，个人负担的合规医疗费用达到</w:t>
      </w:r>
      <w:r>
        <w:rPr>
          <w:rFonts w:hint="eastAsia" w:ascii="仿宋" w:hAnsi="仿宋" w:eastAsia="仿宋" w:cs="仿宋"/>
          <w:b w:val="0"/>
          <w:bCs w:val="0"/>
          <w:sz w:val="32"/>
          <w:szCs w:val="32"/>
          <w:highlight w:val="none"/>
          <w:u w:val="none"/>
          <w:lang w:eastAsia="zh-CN"/>
        </w:rPr>
        <w:t>资格认定当年</w:t>
      </w:r>
      <w:r>
        <w:rPr>
          <w:rFonts w:hint="eastAsia" w:ascii="仿宋" w:hAnsi="仿宋" w:eastAsia="仿宋" w:cs="仿宋"/>
          <w:b w:val="0"/>
          <w:bCs w:val="0"/>
          <w:sz w:val="32"/>
          <w:szCs w:val="32"/>
          <w:highlight w:val="none"/>
          <w:u w:val="none"/>
        </w:rPr>
        <w:t>救助起付标准的家庭成员。</w:t>
      </w:r>
    </w:p>
    <w:p w14:paraId="23FC86E8">
      <w:pPr>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lang w:val="en-US" w:eastAsia="zh-CN"/>
        </w:rPr>
        <w:t>②</w:t>
      </w:r>
      <w:r>
        <w:rPr>
          <w:rFonts w:hint="eastAsia" w:ascii="仿宋" w:hAnsi="仿宋" w:eastAsia="仿宋" w:cs="仿宋"/>
          <w:sz w:val="32"/>
          <w:szCs w:val="32"/>
          <w:highlight w:val="none"/>
          <w:u w:val="none"/>
        </w:rPr>
        <w:t>支出型困难家庭</w:t>
      </w:r>
      <w:r>
        <w:rPr>
          <w:rFonts w:hint="eastAsia" w:ascii="仿宋" w:hAnsi="仿宋" w:eastAsia="仿宋" w:cs="仿宋"/>
          <w:b w:val="0"/>
          <w:bCs w:val="0"/>
          <w:sz w:val="32"/>
          <w:szCs w:val="32"/>
          <w:highlight w:val="none"/>
          <w:u w:val="none"/>
          <w:lang w:eastAsia="zh-CN"/>
        </w:rPr>
        <w:t>资格</w:t>
      </w:r>
      <w:r>
        <w:rPr>
          <w:rFonts w:hint="eastAsia" w:ascii="仿宋" w:hAnsi="仿宋" w:eastAsia="仿宋" w:cs="仿宋"/>
          <w:b w:val="0"/>
          <w:bCs w:val="0"/>
          <w:sz w:val="32"/>
          <w:szCs w:val="32"/>
          <w:highlight w:val="none"/>
          <w:u w:val="none"/>
          <w:lang w:val="en-US" w:eastAsia="zh-CN"/>
        </w:rPr>
        <w:t>存续期间在</w:t>
      </w:r>
      <w:r>
        <w:rPr>
          <w:rFonts w:hint="eastAsia" w:ascii="仿宋" w:hAnsi="仿宋" w:eastAsia="仿宋" w:cs="仿宋"/>
          <w:b w:val="0"/>
          <w:bCs w:val="0"/>
          <w:kern w:val="2"/>
          <w:sz w:val="32"/>
          <w:szCs w:val="32"/>
          <w:highlight w:val="none"/>
          <w:u w:val="none"/>
          <w:lang w:val="en-US" w:eastAsia="zh-CN" w:bidi="ar-SA"/>
        </w:rPr>
        <w:t>定点医药机构发生的普通门诊、门诊特定病种、住院医疗费用，</w:t>
      </w:r>
      <w:r>
        <w:rPr>
          <w:rFonts w:hint="eastAsia" w:ascii="仿宋" w:hAnsi="仿宋" w:eastAsia="仿宋" w:cs="仿宋"/>
          <w:b w:val="0"/>
          <w:bCs w:val="0"/>
          <w:sz w:val="32"/>
          <w:szCs w:val="32"/>
          <w:highlight w:val="none"/>
          <w:u w:val="none"/>
        </w:rPr>
        <w:t>经</w:t>
      </w:r>
      <w:r>
        <w:rPr>
          <w:rFonts w:hint="eastAsia" w:ascii="仿宋" w:hAnsi="仿宋" w:eastAsia="仿宋" w:cs="仿宋"/>
          <w:b w:val="0"/>
          <w:bCs w:val="0"/>
          <w:sz w:val="32"/>
          <w:szCs w:val="32"/>
          <w:highlight w:val="none"/>
          <w:u w:val="none"/>
          <w:lang w:eastAsia="zh-CN"/>
        </w:rPr>
        <w:t>基本医疗保险、补充医疗保险</w:t>
      </w:r>
      <w:r>
        <w:rPr>
          <w:rFonts w:hint="eastAsia" w:ascii="仿宋" w:hAnsi="仿宋" w:eastAsia="仿宋" w:cs="仿宋"/>
          <w:b w:val="0"/>
          <w:bCs w:val="0"/>
          <w:sz w:val="32"/>
          <w:szCs w:val="32"/>
          <w:highlight w:val="none"/>
          <w:u w:val="none"/>
        </w:rPr>
        <w:t>等支付后，个人负担的合规医疗费用达到年度救助起付标准的家庭成员。</w:t>
      </w:r>
    </w:p>
    <w:p w14:paraId="5D20C211">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highlight w:val="none"/>
        </w:rPr>
        <w:t>未纳入农村低收入人口监测范围的稳定脱贫人口，按标准退出，不再享受医疗救助</w:t>
      </w:r>
      <w:r>
        <w:rPr>
          <w:rFonts w:hint="eastAsia" w:ascii="仿宋" w:hAnsi="仿宋" w:eastAsia="仿宋" w:cs="仿宋"/>
          <w:sz w:val="32"/>
          <w:szCs w:val="32"/>
          <w:highlight w:val="none"/>
          <w:lang w:val="en-US" w:eastAsia="zh-CN"/>
        </w:rPr>
        <w:t>待遇</w:t>
      </w:r>
      <w:r>
        <w:rPr>
          <w:rFonts w:hint="eastAsia" w:ascii="仿宋" w:hAnsi="仿宋" w:eastAsia="仿宋" w:cs="仿宋"/>
          <w:sz w:val="32"/>
          <w:szCs w:val="32"/>
          <w:highlight w:val="none"/>
        </w:rPr>
        <w:t>。</w:t>
      </w:r>
    </w:p>
    <w:p w14:paraId="05BF10B2">
      <w:pPr>
        <w:keepNext w:val="0"/>
        <w:keepLines w:val="0"/>
        <w:pageBreakBefore w:val="0"/>
        <w:widowControl w:val="0"/>
        <w:numPr>
          <w:ilvl w:val="0"/>
          <w:numId w:val="0"/>
        </w:numPr>
        <w:kinsoku/>
        <w:wordWrap/>
        <w:overflowPunct/>
        <w:topLinePunct w:val="0"/>
        <w:bidi w:val="0"/>
        <w:snapToGrid/>
        <w:spacing w:line="560" w:lineRule="exact"/>
        <w:ind w:firstLine="640" w:firstLineChars="200"/>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（二）救助方式与标准</w:t>
      </w:r>
    </w:p>
    <w:p w14:paraId="272A861E">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b/>
          <w:bCs/>
          <w:sz w:val="32"/>
          <w:szCs w:val="32"/>
          <w:highlight w:val="none"/>
          <w:lang w:val="en-US" w:eastAsia="zh-CN"/>
        </w:rPr>
        <w:t>1.资助参保：</w:t>
      </w:r>
      <w:r>
        <w:rPr>
          <w:rFonts w:hint="eastAsia" w:ascii="仿宋" w:hAnsi="仿宋" w:eastAsia="仿宋" w:cs="仿宋"/>
          <w:sz w:val="32"/>
          <w:szCs w:val="32"/>
          <w:highlight w:val="none"/>
          <w:u w:val="none"/>
          <w:lang w:val="en-US" w:eastAsia="zh-CN"/>
        </w:rPr>
        <w:t>经我市民政部门认定的</w:t>
      </w:r>
      <w:r>
        <w:rPr>
          <w:rFonts w:hint="eastAsia" w:ascii="仿宋" w:hAnsi="仿宋" w:eastAsia="仿宋" w:cs="仿宋"/>
          <w:sz w:val="32"/>
          <w:szCs w:val="32"/>
          <w:highlight w:val="none"/>
          <w:u w:val="none"/>
        </w:rPr>
        <w:t>特困人员、孤儿</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事实无人抚养儿童</w:t>
      </w:r>
      <w:r>
        <w:rPr>
          <w:rFonts w:hint="eastAsia" w:ascii="仿宋" w:hAnsi="仿宋" w:eastAsia="仿宋" w:cs="仿宋"/>
          <w:b w:val="0"/>
          <w:bCs w:val="0"/>
          <w:sz w:val="32"/>
          <w:szCs w:val="32"/>
          <w:highlight w:val="none"/>
          <w:u w:val="none"/>
        </w:rPr>
        <w:t>、</w:t>
      </w:r>
      <w:r>
        <w:rPr>
          <w:rFonts w:hint="eastAsia" w:ascii="仿宋" w:hAnsi="仿宋" w:eastAsia="仿宋" w:cs="仿宋"/>
          <w:b w:val="0"/>
          <w:bCs w:val="0"/>
          <w:sz w:val="32"/>
          <w:szCs w:val="32"/>
          <w:highlight w:val="none"/>
          <w:u w:val="none"/>
          <w:lang w:eastAsia="zh-CN"/>
        </w:rPr>
        <w:t>最低生活保障对象、</w:t>
      </w:r>
      <w:r>
        <w:rPr>
          <w:rFonts w:hint="eastAsia" w:ascii="仿宋" w:hAnsi="仿宋" w:eastAsia="仿宋" w:cs="仿宋"/>
          <w:b w:val="0"/>
          <w:bCs w:val="0"/>
          <w:sz w:val="32"/>
          <w:szCs w:val="32"/>
          <w:highlight w:val="none"/>
          <w:u w:val="none"/>
          <w:lang w:val="en-US" w:eastAsia="zh-CN"/>
        </w:rPr>
        <w:t>最低生活保障边缘家庭成员及</w:t>
      </w:r>
      <w:r>
        <w:rPr>
          <w:rFonts w:hint="eastAsia" w:ascii="仿宋" w:hAnsi="仿宋" w:eastAsia="仿宋" w:cs="仿宋"/>
          <w:b w:val="0"/>
          <w:bCs w:val="0"/>
          <w:kern w:val="2"/>
          <w:sz w:val="32"/>
          <w:szCs w:val="32"/>
          <w:highlight w:val="none"/>
          <w:u w:val="none"/>
          <w:lang w:val="en-US" w:eastAsia="zh-CN" w:bidi="ar-SA"/>
        </w:rPr>
        <w:t>经我市残联部门认定的重度残疾人</w:t>
      </w:r>
      <w:r>
        <w:rPr>
          <w:rFonts w:hint="eastAsia" w:ascii="仿宋" w:hAnsi="仿宋" w:eastAsia="仿宋" w:cs="仿宋"/>
          <w:b w:val="0"/>
          <w:bCs w:val="0"/>
          <w:sz w:val="32"/>
          <w:szCs w:val="32"/>
          <w:highlight w:val="none"/>
          <w:u w:val="none"/>
        </w:rPr>
        <w:t>参加</w:t>
      </w:r>
      <w:r>
        <w:rPr>
          <w:rFonts w:hint="eastAsia" w:ascii="仿宋" w:hAnsi="仿宋" w:eastAsia="仿宋" w:cs="仿宋"/>
          <w:b w:val="0"/>
          <w:bCs w:val="0"/>
          <w:sz w:val="32"/>
          <w:szCs w:val="32"/>
          <w:highlight w:val="none"/>
          <w:u w:val="none"/>
          <w:lang w:val="en-US" w:eastAsia="zh-CN"/>
        </w:rPr>
        <w:t>我市</w:t>
      </w:r>
      <w:r>
        <w:rPr>
          <w:rFonts w:hint="eastAsia" w:ascii="仿宋" w:hAnsi="仿宋" w:eastAsia="仿宋" w:cs="仿宋"/>
          <w:b w:val="0"/>
          <w:bCs w:val="0"/>
          <w:sz w:val="32"/>
          <w:szCs w:val="32"/>
          <w:highlight w:val="none"/>
          <w:u w:val="none"/>
        </w:rPr>
        <w:t>城乡居民基本医疗保险的，其个人缴费部分给予全额资助</w:t>
      </w:r>
      <w:r>
        <w:rPr>
          <w:rFonts w:hint="eastAsia" w:ascii="仿宋" w:hAnsi="仿宋" w:eastAsia="仿宋" w:cs="仿宋"/>
          <w:b w:val="0"/>
          <w:bCs w:val="0"/>
          <w:sz w:val="32"/>
          <w:szCs w:val="32"/>
          <w:highlight w:val="none"/>
          <w:u w:val="none"/>
          <w:lang w:eastAsia="zh-CN"/>
        </w:rPr>
        <w:t>。</w:t>
      </w:r>
      <w:r>
        <w:rPr>
          <w:rFonts w:hint="eastAsia" w:ascii="仿宋" w:hAnsi="仿宋" w:eastAsia="仿宋" w:cs="仿宋"/>
          <w:b w:val="0"/>
          <w:bCs w:val="0"/>
          <w:kern w:val="2"/>
          <w:sz w:val="32"/>
          <w:szCs w:val="32"/>
          <w:highlight w:val="none"/>
          <w:u w:val="none"/>
          <w:lang w:val="en-US" w:eastAsia="zh-CN" w:bidi="ar-SA"/>
        </w:rPr>
        <w:t>参加市外城乡居民医保的，个人缴费原则上不给予资助。</w:t>
      </w:r>
      <w:r>
        <w:rPr>
          <w:rFonts w:hint="eastAsia" w:ascii="仿宋" w:hAnsi="仿宋" w:eastAsia="仿宋" w:cs="仿宋"/>
          <w:sz w:val="32"/>
          <w:szCs w:val="32"/>
          <w:highlight w:val="none"/>
          <w:lang w:val="en-US" w:eastAsia="zh-CN"/>
        </w:rPr>
        <w:t>支出型医疗救助对象不享受资助参保待遇。</w:t>
      </w:r>
    </w:p>
    <w:p w14:paraId="137DA65A">
      <w:pPr>
        <w:keepNext w:val="0"/>
        <w:keepLines w:val="0"/>
        <w:pageBreakBefore w:val="0"/>
        <w:widowControl w:val="0"/>
        <w:kinsoku/>
        <w:wordWrap/>
        <w:overflowPunct/>
        <w:topLinePunct w:val="0"/>
        <w:bidi w:val="0"/>
        <w:snapToGrid w:val="0"/>
        <w:spacing w:line="560" w:lineRule="exact"/>
        <w:ind w:firstLine="640" w:firstLineChars="200"/>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b w:val="0"/>
          <w:bCs w:val="0"/>
          <w:color w:val="auto"/>
          <w:sz w:val="32"/>
          <w:szCs w:val="32"/>
          <w:highlight w:val="none"/>
          <w:u w:val="none" w:color="auto"/>
        </w:rPr>
        <w:t>收入型医疗救助对象和支出型医疗救助对象在</w:t>
      </w:r>
      <w:r>
        <w:rPr>
          <w:rFonts w:hint="eastAsia" w:ascii="仿宋" w:hAnsi="仿宋" w:eastAsia="仿宋" w:cs="仿宋"/>
          <w:b w:val="0"/>
          <w:bCs w:val="0"/>
          <w:color w:val="auto"/>
          <w:sz w:val="32"/>
          <w:szCs w:val="32"/>
          <w:highlight w:val="none"/>
          <w:u w:val="none" w:color="auto"/>
          <w:lang w:eastAsia="zh-CN"/>
        </w:rPr>
        <w:t>资格</w:t>
      </w:r>
      <w:r>
        <w:rPr>
          <w:rFonts w:hint="eastAsia" w:ascii="仿宋" w:hAnsi="仿宋" w:eastAsia="仿宋" w:cs="仿宋"/>
          <w:b w:val="0"/>
          <w:bCs w:val="0"/>
          <w:color w:val="auto"/>
          <w:sz w:val="32"/>
          <w:szCs w:val="32"/>
          <w:highlight w:val="none"/>
          <w:u w:val="none" w:color="auto"/>
        </w:rPr>
        <w:t>认定</w:t>
      </w:r>
      <w:r>
        <w:rPr>
          <w:rFonts w:hint="eastAsia" w:ascii="仿宋" w:hAnsi="仿宋" w:eastAsia="仿宋" w:cs="仿宋"/>
          <w:color w:val="auto"/>
          <w:sz w:val="32"/>
          <w:szCs w:val="32"/>
          <w:highlight w:val="none"/>
          <w:u w:val="none" w:color="auto"/>
        </w:rPr>
        <w:t>后均可中途参</w:t>
      </w:r>
      <w:r>
        <w:rPr>
          <w:rFonts w:hint="eastAsia" w:ascii="仿宋" w:hAnsi="仿宋" w:eastAsia="仿宋" w:cs="仿宋"/>
          <w:color w:val="auto"/>
          <w:sz w:val="32"/>
          <w:szCs w:val="32"/>
          <w:highlight w:val="none"/>
          <w:u w:val="none" w:color="auto"/>
          <w:lang w:eastAsia="zh-CN"/>
        </w:rPr>
        <w:t>加</w:t>
      </w:r>
      <w:r>
        <w:rPr>
          <w:rFonts w:hint="eastAsia" w:ascii="仿宋" w:hAnsi="仿宋" w:eastAsia="仿宋" w:cs="仿宋"/>
          <w:color w:val="auto"/>
          <w:sz w:val="32"/>
          <w:szCs w:val="32"/>
          <w:highlight w:val="none"/>
          <w:u w:val="none" w:color="auto"/>
          <w:lang w:val="en-US" w:eastAsia="zh-CN"/>
        </w:rPr>
        <w:t>城乡</w:t>
      </w:r>
      <w:r>
        <w:rPr>
          <w:rFonts w:hint="eastAsia" w:ascii="仿宋" w:hAnsi="仿宋" w:eastAsia="仿宋" w:cs="仿宋"/>
          <w:b w:val="0"/>
          <w:bCs w:val="0"/>
          <w:color w:val="auto"/>
          <w:kern w:val="2"/>
          <w:sz w:val="32"/>
          <w:szCs w:val="32"/>
          <w:highlight w:val="none"/>
          <w:u w:val="none" w:color="auto"/>
          <w:lang w:val="en-US" w:eastAsia="zh-CN" w:bidi="ar-SA"/>
        </w:rPr>
        <w:t>居民医保</w:t>
      </w:r>
      <w:r>
        <w:rPr>
          <w:rFonts w:hint="eastAsia" w:ascii="仿宋" w:hAnsi="仿宋" w:eastAsia="仿宋" w:cs="仿宋"/>
          <w:color w:val="auto"/>
          <w:sz w:val="32"/>
          <w:szCs w:val="32"/>
          <w:highlight w:val="none"/>
          <w:u w:val="none" w:color="auto"/>
        </w:rPr>
        <w:t>。新增的收入型医疗救助对象</w:t>
      </w:r>
      <w:r>
        <w:rPr>
          <w:rFonts w:hint="eastAsia" w:ascii="仿宋" w:hAnsi="仿宋" w:eastAsia="仿宋" w:cs="仿宋"/>
          <w:color w:val="auto"/>
          <w:sz w:val="32"/>
          <w:szCs w:val="32"/>
          <w:highlight w:val="none"/>
          <w:u w:val="none" w:color="auto"/>
          <w:lang w:val="en-US" w:eastAsia="zh-CN"/>
        </w:rPr>
        <w:t>和</w:t>
      </w:r>
      <w:r>
        <w:rPr>
          <w:rFonts w:hint="eastAsia" w:ascii="仿宋" w:hAnsi="仿宋" w:eastAsia="仿宋" w:cs="仿宋"/>
          <w:b w:val="0"/>
          <w:bCs w:val="0"/>
          <w:color w:val="auto"/>
          <w:kern w:val="2"/>
          <w:sz w:val="32"/>
          <w:szCs w:val="32"/>
          <w:highlight w:val="none"/>
          <w:u w:val="none" w:color="auto"/>
          <w:lang w:val="en-US" w:eastAsia="zh-CN" w:bidi="ar-SA"/>
        </w:rPr>
        <w:t>重度残疾人</w:t>
      </w:r>
      <w:r>
        <w:rPr>
          <w:rFonts w:hint="eastAsia" w:ascii="仿宋" w:hAnsi="仿宋" w:eastAsia="仿宋" w:cs="仿宋"/>
          <w:color w:val="auto"/>
          <w:sz w:val="32"/>
          <w:szCs w:val="32"/>
          <w:highlight w:val="none"/>
          <w:u w:val="none" w:color="auto"/>
        </w:rPr>
        <w:t>在</w:t>
      </w:r>
      <w:r>
        <w:rPr>
          <w:rFonts w:hint="eastAsia" w:ascii="仿宋" w:hAnsi="仿宋" w:eastAsia="仿宋" w:cs="仿宋"/>
          <w:color w:val="auto"/>
          <w:sz w:val="32"/>
          <w:szCs w:val="32"/>
          <w:highlight w:val="none"/>
          <w:u w:val="none" w:color="auto"/>
          <w:lang w:eastAsia="zh-CN"/>
        </w:rPr>
        <w:t>有</w:t>
      </w:r>
      <w:r>
        <w:rPr>
          <w:rFonts w:hint="eastAsia" w:ascii="仿宋" w:hAnsi="仿宋" w:eastAsia="仿宋" w:cs="仿宋"/>
          <w:color w:val="auto"/>
          <w:sz w:val="32"/>
          <w:szCs w:val="32"/>
          <w:highlight w:val="none"/>
          <w:u w:val="none" w:color="auto"/>
        </w:rPr>
        <w:t>关部门认定其</w:t>
      </w:r>
      <w:r>
        <w:rPr>
          <w:rFonts w:hint="eastAsia" w:ascii="仿宋" w:hAnsi="仿宋" w:eastAsia="仿宋" w:cs="仿宋"/>
          <w:color w:val="auto"/>
          <w:sz w:val="32"/>
          <w:szCs w:val="32"/>
          <w:highlight w:val="none"/>
          <w:u w:val="none" w:color="auto"/>
          <w:lang w:eastAsia="zh-CN"/>
        </w:rPr>
        <w:t>医疗</w:t>
      </w:r>
      <w:r>
        <w:rPr>
          <w:rFonts w:hint="eastAsia" w:ascii="仿宋" w:hAnsi="仿宋" w:eastAsia="仿宋" w:cs="仿宋"/>
          <w:color w:val="auto"/>
          <w:sz w:val="32"/>
          <w:szCs w:val="32"/>
          <w:highlight w:val="none"/>
          <w:u w:val="none" w:color="auto"/>
        </w:rPr>
        <w:t>救助对象</w:t>
      </w:r>
      <w:r>
        <w:rPr>
          <w:rFonts w:hint="eastAsia" w:ascii="仿宋" w:hAnsi="仿宋" w:eastAsia="仿宋" w:cs="仿宋"/>
          <w:b w:val="0"/>
          <w:bCs w:val="0"/>
          <w:color w:val="auto"/>
          <w:sz w:val="32"/>
          <w:szCs w:val="32"/>
          <w:highlight w:val="none"/>
          <w:u w:val="none" w:color="auto"/>
          <w:lang w:eastAsia="zh-CN"/>
        </w:rPr>
        <w:t>资格</w:t>
      </w:r>
      <w:r>
        <w:rPr>
          <w:rFonts w:hint="eastAsia" w:ascii="仿宋" w:hAnsi="仿宋" w:eastAsia="仿宋" w:cs="仿宋"/>
          <w:color w:val="auto"/>
          <w:sz w:val="32"/>
          <w:szCs w:val="32"/>
          <w:highlight w:val="none"/>
          <w:u w:val="none" w:color="auto"/>
        </w:rPr>
        <w:t>前已经参加当年度</w:t>
      </w:r>
      <w:r>
        <w:rPr>
          <w:rFonts w:hint="eastAsia" w:ascii="仿宋" w:hAnsi="仿宋" w:eastAsia="仿宋" w:cs="仿宋"/>
          <w:color w:val="auto"/>
          <w:sz w:val="32"/>
          <w:szCs w:val="32"/>
          <w:highlight w:val="none"/>
          <w:u w:val="none" w:color="auto"/>
          <w:lang w:val="en-US" w:eastAsia="zh-CN"/>
        </w:rPr>
        <w:t>城乡</w:t>
      </w:r>
      <w:r>
        <w:rPr>
          <w:rFonts w:hint="eastAsia" w:ascii="仿宋" w:hAnsi="仿宋" w:eastAsia="仿宋" w:cs="仿宋"/>
          <w:color w:val="auto"/>
          <w:sz w:val="32"/>
          <w:szCs w:val="32"/>
          <w:highlight w:val="none"/>
          <w:u w:val="none" w:color="auto"/>
        </w:rPr>
        <w:t>居民医保的</w:t>
      </w:r>
      <w:r>
        <w:rPr>
          <w:rFonts w:hint="eastAsia" w:ascii="仿宋" w:hAnsi="仿宋" w:eastAsia="仿宋" w:cs="仿宋"/>
          <w:color w:val="auto"/>
          <w:sz w:val="32"/>
          <w:szCs w:val="32"/>
          <w:highlight w:val="none"/>
          <w:u w:val="none" w:color="auto"/>
          <w:lang w:eastAsia="zh-CN"/>
        </w:rPr>
        <w:t>，</w:t>
      </w:r>
      <w:r>
        <w:rPr>
          <w:rFonts w:hint="eastAsia" w:ascii="仿宋" w:hAnsi="仿宋" w:eastAsia="仿宋" w:cs="仿宋"/>
          <w:color w:val="auto"/>
          <w:sz w:val="32"/>
          <w:szCs w:val="32"/>
          <w:highlight w:val="none"/>
          <w:u w:val="none" w:color="auto"/>
          <w:lang w:val="en-US" w:eastAsia="zh-CN"/>
        </w:rPr>
        <w:t>不予资助当年度的城乡居民医保</w:t>
      </w:r>
      <w:r>
        <w:rPr>
          <w:rFonts w:hint="eastAsia" w:ascii="仿宋" w:hAnsi="仿宋" w:eastAsia="仿宋" w:cs="仿宋"/>
          <w:color w:val="auto"/>
          <w:sz w:val="32"/>
          <w:szCs w:val="32"/>
          <w:highlight w:val="none"/>
          <w:u w:val="none" w:color="auto"/>
        </w:rPr>
        <w:t>，</w:t>
      </w:r>
      <w:r>
        <w:rPr>
          <w:rFonts w:hint="eastAsia" w:ascii="仿宋" w:hAnsi="仿宋" w:eastAsia="仿宋" w:cs="仿宋"/>
          <w:color w:val="auto"/>
          <w:sz w:val="32"/>
          <w:szCs w:val="32"/>
          <w:highlight w:val="none"/>
          <w:u w:val="none" w:color="auto"/>
          <w:lang w:eastAsia="zh-CN"/>
        </w:rPr>
        <w:t>按规定资助</w:t>
      </w:r>
      <w:r>
        <w:rPr>
          <w:rFonts w:hint="eastAsia" w:ascii="仿宋" w:hAnsi="仿宋" w:eastAsia="仿宋" w:cs="仿宋"/>
          <w:color w:val="auto"/>
          <w:sz w:val="32"/>
          <w:szCs w:val="32"/>
          <w:highlight w:val="none"/>
          <w:u w:val="none" w:color="auto"/>
          <w:lang w:val="en-US" w:eastAsia="zh-CN"/>
        </w:rPr>
        <w:t>其</w:t>
      </w:r>
      <w:r>
        <w:rPr>
          <w:rFonts w:hint="eastAsia" w:ascii="仿宋" w:hAnsi="仿宋" w:eastAsia="仿宋" w:cs="仿宋"/>
          <w:color w:val="auto"/>
          <w:sz w:val="32"/>
          <w:szCs w:val="32"/>
          <w:highlight w:val="none"/>
          <w:u w:val="none" w:color="auto"/>
          <w:lang w:eastAsia="zh-CN"/>
        </w:rPr>
        <w:t>参加下一年度的</w:t>
      </w:r>
      <w:r>
        <w:rPr>
          <w:rFonts w:hint="eastAsia" w:ascii="仿宋" w:hAnsi="仿宋" w:eastAsia="仿宋" w:cs="仿宋"/>
          <w:color w:val="auto"/>
          <w:sz w:val="32"/>
          <w:szCs w:val="32"/>
          <w:highlight w:val="none"/>
          <w:u w:val="none" w:color="auto"/>
          <w:lang w:val="en-US" w:eastAsia="zh-CN"/>
        </w:rPr>
        <w:t>城乡</w:t>
      </w:r>
      <w:r>
        <w:rPr>
          <w:rFonts w:hint="eastAsia" w:ascii="仿宋" w:hAnsi="仿宋" w:eastAsia="仿宋" w:cs="仿宋"/>
          <w:color w:val="auto"/>
          <w:sz w:val="32"/>
          <w:szCs w:val="32"/>
          <w:highlight w:val="none"/>
          <w:u w:val="none" w:color="auto"/>
          <w:lang w:eastAsia="zh-CN"/>
        </w:rPr>
        <w:t>居民医保。</w:t>
      </w:r>
    </w:p>
    <w:p w14:paraId="6601D8B5">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2.医疗救助</w:t>
      </w:r>
    </w:p>
    <w:p w14:paraId="475F69DC">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default"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2.1 待遇标准</w:t>
      </w:r>
    </w:p>
    <w:p w14:paraId="18353905">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val="0"/>
          <w:bCs w:val="0"/>
          <w:sz w:val="32"/>
          <w:szCs w:val="32"/>
          <w:highlight w:val="none"/>
          <w:lang w:val="en-US" w:eastAsia="zh-CN"/>
        </w:rPr>
      </w:pPr>
      <w:r>
        <w:rPr>
          <w:rFonts w:hint="eastAsia" w:ascii="仿宋" w:hAnsi="仿宋" w:eastAsia="仿宋" w:cs="仿宋"/>
          <w:b/>
          <w:bCs/>
          <w:sz w:val="32"/>
          <w:szCs w:val="32"/>
          <w:highlight w:val="none"/>
          <w:lang w:val="en-US" w:eastAsia="zh-CN"/>
        </w:rPr>
        <w:t>（1）</w:t>
      </w:r>
      <w:r>
        <w:rPr>
          <w:rFonts w:hint="eastAsia" w:ascii="仿宋" w:hAnsi="仿宋" w:eastAsia="仿宋" w:cs="仿宋"/>
          <w:b/>
          <w:bCs/>
          <w:sz w:val="32"/>
          <w:szCs w:val="32"/>
          <w:highlight w:val="none"/>
          <w:lang w:eastAsia="zh-CN"/>
        </w:rPr>
        <w:t>特困人员、孤儿、</w:t>
      </w:r>
      <w:r>
        <w:rPr>
          <w:rFonts w:hint="eastAsia" w:ascii="仿宋" w:hAnsi="仿宋" w:eastAsia="仿宋" w:cs="仿宋"/>
          <w:b/>
          <w:bCs/>
          <w:sz w:val="32"/>
          <w:szCs w:val="32"/>
          <w:highlight w:val="none"/>
          <w:lang w:val="en-US" w:eastAsia="zh-CN"/>
        </w:rPr>
        <w:t>事实无人抚养儿童：</w:t>
      </w:r>
      <w:r>
        <w:rPr>
          <w:rFonts w:hint="eastAsia" w:ascii="仿宋" w:hAnsi="仿宋" w:eastAsia="仿宋" w:cs="仿宋"/>
          <w:b w:val="0"/>
          <w:bCs w:val="0"/>
          <w:sz w:val="32"/>
          <w:szCs w:val="32"/>
          <w:highlight w:val="none"/>
          <w:lang w:val="en-US" w:eastAsia="zh-CN"/>
        </w:rPr>
        <w:t>该类人员</w:t>
      </w:r>
      <w:r>
        <w:rPr>
          <w:rFonts w:hint="eastAsia" w:ascii="仿宋" w:hAnsi="仿宋" w:eastAsia="仿宋" w:cs="仿宋"/>
          <w:b w:val="0"/>
          <w:bCs w:val="0"/>
          <w:sz w:val="32"/>
          <w:szCs w:val="32"/>
          <w:highlight w:val="none"/>
          <w:lang w:eastAsia="zh-CN"/>
        </w:rPr>
        <w:t>在定点医药机构发生的符合基本医疗保险规定的普通门诊、门诊特定病种、住院医疗费用，经基本医疗保险、补充医疗保险等支付后，个人负担的合规医疗费用由医疗救助基金按100%的比例支付，不设年度救助起付标准，不设年度救助限额</w:t>
      </w:r>
      <w:r>
        <w:rPr>
          <w:rFonts w:hint="eastAsia" w:ascii="仿宋" w:hAnsi="仿宋" w:eastAsia="仿宋" w:cs="仿宋"/>
          <w:b w:val="0"/>
          <w:bCs w:val="0"/>
          <w:sz w:val="32"/>
          <w:szCs w:val="32"/>
          <w:highlight w:val="none"/>
          <w:lang w:val="en-US" w:eastAsia="zh-CN"/>
        </w:rPr>
        <w:t>。</w:t>
      </w:r>
    </w:p>
    <w:p w14:paraId="02635DC1">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val="0"/>
          <w:bCs w:val="0"/>
          <w:sz w:val="32"/>
          <w:szCs w:val="32"/>
          <w:highlight w:val="none"/>
          <w:lang w:val="en-US" w:eastAsia="zh-CN"/>
        </w:rPr>
      </w:pPr>
      <w:r>
        <w:rPr>
          <w:rFonts w:hint="eastAsia" w:ascii="仿宋" w:hAnsi="仿宋" w:eastAsia="仿宋" w:cs="仿宋"/>
          <w:b/>
          <w:bCs/>
          <w:sz w:val="32"/>
          <w:szCs w:val="32"/>
          <w:highlight w:val="none"/>
          <w:lang w:val="en-US" w:eastAsia="zh-CN"/>
        </w:rPr>
        <w:t>（2）最低生活保障对象</w:t>
      </w:r>
      <w:r>
        <w:rPr>
          <w:rFonts w:hint="eastAsia" w:ascii="仿宋" w:hAnsi="仿宋" w:eastAsia="仿宋" w:cs="仿宋"/>
          <w:b/>
          <w:bCs/>
          <w:sz w:val="32"/>
          <w:szCs w:val="32"/>
          <w:highlight w:val="none"/>
          <w:lang w:eastAsia="zh-CN"/>
        </w:rPr>
        <w:t>、</w:t>
      </w:r>
      <w:r>
        <w:rPr>
          <w:rFonts w:hint="eastAsia" w:ascii="仿宋" w:hAnsi="仿宋" w:eastAsia="仿宋" w:cs="仿宋"/>
          <w:b/>
          <w:bCs/>
          <w:sz w:val="32"/>
          <w:szCs w:val="32"/>
          <w:highlight w:val="none"/>
        </w:rPr>
        <w:t>农村易返贫致贫人口</w:t>
      </w:r>
      <w:r>
        <w:rPr>
          <w:rFonts w:hint="eastAsia" w:ascii="仿宋" w:hAnsi="仿宋" w:eastAsia="仿宋" w:cs="仿宋"/>
          <w:b/>
          <w:bCs/>
          <w:sz w:val="32"/>
          <w:szCs w:val="32"/>
          <w:highlight w:val="none"/>
          <w:lang w:eastAsia="zh-CN"/>
        </w:rPr>
        <w:t>：</w:t>
      </w:r>
      <w:r>
        <w:rPr>
          <w:rFonts w:hint="eastAsia" w:ascii="仿宋" w:hAnsi="仿宋" w:eastAsia="仿宋" w:cs="仿宋"/>
          <w:b w:val="0"/>
          <w:bCs w:val="0"/>
          <w:sz w:val="32"/>
          <w:szCs w:val="32"/>
          <w:highlight w:val="none"/>
          <w:lang w:val="en-US" w:eastAsia="zh-CN"/>
        </w:rPr>
        <w:t>该类人员</w:t>
      </w:r>
      <w:r>
        <w:rPr>
          <w:rFonts w:hint="eastAsia" w:ascii="仿宋" w:hAnsi="仿宋" w:eastAsia="仿宋" w:cs="仿宋"/>
          <w:b w:val="0"/>
          <w:bCs w:val="0"/>
          <w:sz w:val="32"/>
          <w:szCs w:val="32"/>
          <w:highlight w:val="none"/>
          <w:lang w:eastAsia="zh-CN"/>
        </w:rPr>
        <w:t>在定点医药机构发生的符合基本医疗保险规定的普通门诊、门诊特定病种、住院医疗费用，经基本医疗保险、补充医疗保险等支付后，个人负担的合规医疗费用由医疗救助基金按80%的比例支付，不设年度救助起付标准，年度救助限额为16万元</w:t>
      </w:r>
      <w:r>
        <w:rPr>
          <w:rFonts w:hint="eastAsia" w:ascii="仿宋" w:hAnsi="仿宋" w:eastAsia="仿宋" w:cs="仿宋"/>
          <w:b w:val="0"/>
          <w:bCs w:val="0"/>
          <w:sz w:val="32"/>
          <w:szCs w:val="32"/>
          <w:highlight w:val="none"/>
          <w:lang w:val="en-US" w:eastAsia="zh-CN"/>
        </w:rPr>
        <w:t>。</w:t>
      </w:r>
    </w:p>
    <w:p w14:paraId="2833BACF">
      <w:pPr>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outlineLvl w:val="9"/>
        <w:rPr>
          <w:rFonts w:hint="eastAsia" w:ascii="仿宋" w:hAnsi="仿宋" w:eastAsia="仿宋" w:cs="仿宋"/>
          <w:b w:val="0"/>
          <w:bCs w:val="0"/>
          <w:sz w:val="32"/>
          <w:szCs w:val="32"/>
          <w:highlight w:val="none"/>
          <w:lang w:val="en-US" w:eastAsia="zh-CN"/>
        </w:rPr>
      </w:pPr>
      <w:r>
        <w:rPr>
          <w:rFonts w:hint="eastAsia" w:ascii="仿宋" w:hAnsi="仿宋" w:eastAsia="仿宋" w:cs="仿宋"/>
          <w:b/>
          <w:bCs/>
          <w:kern w:val="2"/>
          <w:sz w:val="32"/>
          <w:szCs w:val="32"/>
          <w:lang w:val="en-US" w:eastAsia="zh-CN" w:bidi="ar-SA"/>
        </w:rPr>
        <w:t>（3）</w:t>
      </w:r>
      <w:r>
        <w:rPr>
          <w:rFonts w:hint="eastAsia" w:ascii="仿宋" w:hAnsi="仿宋" w:eastAsia="仿宋" w:cs="仿宋"/>
          <w:b/>
          <w:bCs/>
          <w:sz w:val="32"/>
          <w:szCs w:val="32"/>
          <w:highlight w:val="none"/>
        </w:rPr>
        <w:t>最低生活保障边缘家庭成员</w:t>
      </w:r>
      <w:r>
        <w:rPr>
          <w:rFonts w:hint="eastAsia" w:ascii="仿宋" w:hAnsi="仿宋" w:eastAsia="仿宋" w:cs="仿宋"/>
          <w:b/>
          <w:bCs/>
          <w:sz w:val="32"/>
          <w:szCs w:val="32"/>
          <w:highlight w:val="none"/>
          <w:lang w:eastAsia="zh-CN"/>
        </w:rPr>
        <w:t>：</w:t>
      </w:r>
      <w:r>
        <w:rPr>
          <w:rFonts w:hint="eastAsia" w:ascii="仿宋" w:hAnsi="仿宋" w:eastAsia="仿宋" w:cs="仿宋"/>
          <w:b w:val="0"/>
          <w:bCs w:val="0"/>
          <w:sz w:val="32"/>
          <w:szCs w:val="32"/>
          <w:highlight w:val="none"/>
          <w:lang w:val="en-US" w:eastAsia="zh-CN"/>
        </w:rPr>
        <w:t>该类人员在定点医药机构发生的符合基本医疗保险规定的普通门诊、门诊特定病种、住院医疗费用，经基本医疗保险、补充医疗保险等支付后，个人负担的合规医疗费用由医疗救助基金按70%的比例支付，年度救助起付标准为3051元，年度救助限额为12万元。</w:t>
      </w:r>
    </w:p>
    <w:p w14:paraId="70DA5C2D">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val="0"/>
          <w:bCs w:val="0"/>
          <w:sz w:val="32"/>
          <w:szCs w:val="32"/>
          <w:highlight w:val="none"/>
          <w:lang w:val="en-US" w:eastAsia="zh-CN"/>
        </w:rPr>
      </w:pPr>
      <w:r>
        <w:rPr>
          <w:rFonts w:hint="eastAsia" w:ascii="仿宋" w:hAnsi="仿宋" w:eastAsia="仿宋" w:cs="仿宋"/>
          <w:b/>
          <w:bCs/>
          <w:sz w:val="32"/>
          <w:szCs w:val="32"/>
          <w:highlight w:val="none"/>
          <w:lang w:val="en-US" w:eastAsia="zh-CN"/>
        </w:rPr>
        <w:t>（4）支出型医疗救助对象</w:t>
      </w:r>
      <w:r>
        <w:rPr>
          <w:rFonts w:hint="eastAsia" w:ascii="仿宋" w:hAnsi="仿宋" w:eastAsia="仿宋" w:cs="仿宋"/>
          <w:b/>
          <w:bCs/>
          <w:sz w:val="32"/>
          <w:szCs w:val="32"/>
          <w:highlight w:val="none"/>
          <w:lang w:eastAsia="zh-CN"/>
        </w:rPr>
        <w:t>：</w:t>
      </w:r>
      <w:r>
        <w:rPr>
          <w:rFonts w:hint="eastAsia" w:ascii="仿宋" w:hAnsi="仿宋" w:eastAsia="仿宋" w:cs="仿宋"/>
          <w:b w:val="0"/>
          <w:bCs w:val="0"/>
          <w:sz w:val="32"/>
          <w:szCs w:val="32"/>
          <w:highlight w:val="none"/>
          <w:lang w:val="en-US" w:eastAsia="zh-CN"/>
        </w:rPr>
        <w:t>该类人员在资格认定之日前12个月及在资格存续期间在定点医药机构发生的符合基本医疗保险规定的普通门诊、门诊特定病种、住院医疗费用，经基本医疗保险、补充医疗保险等支付后，个人负担的合规医疗费用由医疗救助基金按70%的比例支付，年度救助起付标准为7628元，年度救助限额为12万元。</w:t>
      </w:r>
    </w:p>
    <w:p w14:paraId="46D01A23">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2.2 倾斜救助</w:t>
      </w:r>
    </w:p>
    <w:p w14:paraId="1A34943D">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eastAsia="zh-CN"/>
        </w:rPr>
        <w:t>对规范转诊且在省域内就医的医疗救助对象，经基本医疗保险、补充医疗保险、医疗救助综合保障后个人负担的合规医疗费用以及年度救助限额以上的政策范围内医疗费用达到762</w:t>
      </w:r>
      <w:r>
        <w:rPr>
          <w:rFonts w:hint="eastAsia" w:ascii="仿宋" w:hAnsi="仿宋" w:eastAsia="仿宋" w:cs="仿宋"/>
          <w:b w:val="0"/>
          <w:bCs w:val="0"/>
          <w:sz w:val="32"/>
          <w:szCs w:val="32"/>
          <w:highlight w:val="none"/>
          <w:lang w:val="en-US" w:eastAsia="zh-CN"/>
        </w:rPr>
        <w:t>8</w:t>
      </w:r>
      <w:r>
        <w:rPr>
          <w:rFonts w:hint="eastAsia" w:ascii="仿宋" w:hAnsi="仿宋" w:eastAsia="仿宋" w:cs="仿宋"/>
          <w:b w:val="0"/>
          <w:bCs w:val="0"/>
          <w:sz w:val="32"/>
          <w:szCs w:val="32"/>
          <w:highlight w:val="none"/>
          <w:lang w:eastAsia="zh-CN"/>
        </w:rPr>
        <w:t>元，超过762</w:t>
      </w:r>
      <w:r>
        <w:rPr>
          <w:rFonts w:hint="eastAsia" w:ascii="仿宋" w:hAnsi="仿宋" w:eastAsia="仿宋" w:cs="仿宋"/>
          <w:b w:val="0"/>
          <w:bCs w:val="0"/>
          <w:sz w:val="32"/>
          <w:szCs w:val="32"/>
          <w:highlight w:val="none"/>
          <w:lang w:val="en-US" w:eastAsia="zh-CN"/>
        </w:rPr>
        <w:t>8</w:t>
      </w:r>
      <w:r>
        <w:rPr>
          <w:rFonts w:hint="eastAsia" w:ascii="仿宋" w:hAnsi="仿宋" w:eastAsia="仿宋" w:cs="仿宋"/>
          <w:b w:val="0"/>
          <w:bCs w:val="0"/>
          <w:sz w:val="32"/>
          <w:szCs w:val="32"/>
          <w:highlight w:val="none"/>
          <w:lang w:eastAsia="zh-CN"/>
        </w:rPr>
        <w:t>元以上部分由医疗救助基金进行倾斜救助，支付比例为80%，倾斜救助年度救助限额为5万元。</w:t>
      </w:r>
    </w:p>
    <w:p w14:paraId="0897FAD9">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default"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2.3 不予支付情况</w:t>
      </w:r>
    </w:p>
    <w:p w14:paraId="01EE9789">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（1）医疗救助对象未按规定办理转诊的异地就医医疗费用不纳入医疗救助支付范围。</w:t>
      </w:r>
    </w:p>
    <w:p w14:paraId="0BB51179">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default"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（2）医疗救助对象跨省就医或未按规定办理转诊的省内异地就医医疗费用不纳入倾斜救助支付范围。</w:t>
      </w:r>
    </w:p>
    <w:p w14:paraId="5D81095D">
      <w:pPr>
        <w:keepNext w:val="0"/>
        <w:keepLines w:val="0"/>
        <w:pageBreakBefore w:val="0"/>
        <w:widowControl w:val="0"/>
        <w:kinsoku/>
        <w:wordWrap/>
        <w:overflowPunct/>
        <w:topLinePunct w:val="0"/>
        <w:bidi w:val="0"/>
        <w:snapToGrid/>
        <w:spacing w:line="560" w:lineRule="exact"/>
        <w:ind w:firstLine="640" w:firstLineChars="200"/>
        <w:textAlignment w:val="auto"/>
        <w:outlineLvl w:val="9"/>
        <w:rPr>
          <w:rFonts w:hint="eastAsia" w:ascii="仿宋" w:hAnsi="仿宋" w:eastAsia="仿宋" w:cs="仿宋"/>
          <w:b w:val="0"/>
          <w:bCs w:val="0"/>
          <w:sz w:val="32"/>
          <w:szCs w:val="32"/>
          <w:highlight w:val="none"/>
          <w:u w:val="none"/>
          <w:lang w:val="en-US" w:eastAsia="zh-CN"/>
        </w:rPr>
      </w:pPr>
      <w:r>
        <w:rPr>
          <w:rFonts w:hint="eastAsia" w:ascii="仿宋" w:hAnsi="仿宋" w:eastAsia="仿宋" w:cs="仿宋"/>
          <w:b w:val="0"/>
          <w:bCs w:val="0"/>
          <w:sz w:val="32"/>
          <w:szCs w:val="32"/>
          <w:highlight w:val="none"/>
          <w:u w:val="none"/>
          <w:lang w:val="en-US" w:eastAsia="zh-CN"/>
        </w:rPr>
        <w:t>（3）医疗救助对象未经转诊到非选定定点医疗机构门诊就医发生的普通门诊费用，医疗救助基金不予支付。</w:t>
      </w:r>
    </w:p>
    <w:p w14:paraId="7C72EDFC">
      <w:pPr>
        <w:keepNext w:val="0"/>
        <w:keepLines w:val="0"/>
        <w:pageBreakBefore w:val="0"/>
        <w:widowControl w:val="0"/>
        <w:kinsoku/>
        <w:wordWrap/>
        <w:overflowPunct/>
        <w:topLinePunct w:val="0"/>
        <w:bidi w:val="0"/>
        <w:snapToGrid/>
        <w:spacing w:line="560" w:lineRule="exact"/>
        <w:ind w:firstLine="643" w:firstLineChars="200"/>
        <w:textAlignment w:val="auto"/>
        <w:outlineLvl w:val="9"/>
        <w:rPr>
          <w:rFonts w:hint="eastAsia" w:ascii="仿宋" w:hAnsi="仿宋" w:eastAsia="仿宋" w:cs="仿宋"/>
          <w:b/>
          <w:bCs/>
          <w:spacing w:val="0"/>
          <w:sz w:val="32"/>
          <w:szCs w:val="32"/>
          <w:highlight w:val="none"/>
          <w:lang w:val="en-US" w:eastAsia="zh-CN"/>
        </w:rPr>
      </w:pPr>
      <w:r>
        <w:rPr>
          <w:rFonts w:hint="eastAsia" w:ascii="仿宋" w:hAnsi="仿宋" w:eastAsia="仿宋" w:cs="仿宋"/>
          <w:b/>
          <w:bCs/>
          <w:spacing w:val="0"/>
          <w:sz w:val="32"/>
          <w:szCs w:val="32"/>
          <w:highlight w:val="none"/>
          <w:lang w:val="en-US" w:eastAsia="zh-CN"/>
        </w:rPr>
        <w:t>2.4 医疗救助合规费用定义</w:t>
      </w:r>
    </w:p>
    <w:p w14:paraId="42D4E15D">
      <w:pPr>
        <w:keepNext w:val="0"/>
        <w:keepLines w:val="0"/>
        <w:pageBreakBefore w:val="0"/>
        <w:widowControl w:val="0"/>
        <w:kinsoku/>
        <w:wordWrap/>
        <w:overflowPunct/>
        <w:topLinePunct w:val="0"/>
        <w:bidi w:val="0"/>
        <w:snapToGrid w:val="0"/>
        <w:spacing w:line="560" w:lineRule="exact"/>
        <w:ind w:firstLine="640" w:firstLineChars="200"/>
        <w:textAlignment w:val="auto"/>
        <w:outlineLvl w:val="9"/>
        <w:rPr>
          <w:rFonts w:hint="eastAsia" w:ascii="仿宋" w:hAnsi="仿宋" w:eastAsia="仿宋" w:cs="仿宋"/>
          <w:sz w:val="32"/>
          <w:szCs w:val="32"/>
          <w:highlight w:val="none"/>
          <w:u w:val="none" w:color="auto"/>
        </w:rPr>
      </w:pPr>
      <w:r>
        <w:rPr>
          <w:rFonts w:hint="eastAsia" w:ascii="仿宋" w:hAnsi="仿宋" w:eastAsia="仿宋" w:cs="仿宋"/>
          <w:color w:val="auto"/>
          <w:kern w:val="2"/>
          <w:sz w:val="32"/>
          <w:szCs w:val="32"/>
          <w:highlight w:val="none"/>
          <w:u w:val="none" w:color="auto"/>
          <w:lang w:val="en-US" w:eastAsia="zh-CN" w:bidi="ar-SA"/>
        </w:rPr>
        <w:t>个人负担的合规医疗费用指医疗救助对象当次就医所发生的医疗费用中由个人负担的属于基本医疗保险目录范围内自付部分的金额，包括起付线以下、乙类先行自付、按比例自付、封顶线以上、目录范围内超限价部分、待遇过渡期内二次报销统筹基金补偿部分，以及开展按病种、病组、床日等打包付费方式且由患者定额付费的费用。由</w:t>
      </w:r>
      <w:r>
        <w:rPr>
          <w:rFonts w:hint="eastAsia" w:ascii="仿宋" w:hAnsi="仿宋" w:eastAsia="仿宋" w:cs="仿宋"/>
          <w:b w:val="0"/>
          <w:bCs w:val="0"/>
          <w:sz w:val="32"/>
          <w:szCs w:val="32"/>
          <w:highlight w:val="none"/>
          <w:u w:val="none" w:color="auto"/>
        </w:rPr>
        <w:t>医疗救助基金支付的药品、医</w:t>
      </w:r>
      <w:r>
        <w:rPr>
          <w:rFonts w:hint="eastAsia" w:ascii="仿宋" w:hAnsi="仿宋" w:eastAsia="仿宋" w:cs="仿宋"/>
          <w:sz w:val="32"/>
          <w:szCs w:val="32"/>
          <w:highlight w:val="none"/>
          <w:u w:val="none" w:color="auto"/>
        </w:rPr>
        <w:t>用耗材、诊疗项目</w:t>
      </w:r>
      <w:r>
        <w:rPr>
          <w:rFonts w:hint="eastAsia" w:ascii="仿宋" w:hAnsi="仿宋" w:eastAsia="仿宋" w:cs="仿宋"/>
          <w:sz w:val="32"/>
          <w:szCs w:val="32"/>
          <w:highlight w:val="none"/>
          <w:u w:val="none" w:color="auto"/>
          <w:lang w:eastAsia="zh-CN"/>
        </w:rPr>
        <w:t>参照</w:t>
      </w:r>
      <w:r>
        <w:rPr>
          <w:rFonts w:hint="eastAsia" w:ascii="仿宋" w:hAnsi="仿宋" w:eastAsia="仿宋" w:cs="仿宋"/>
          <w:sz w:val="32"/>
          <w:szCs w:val="32"/>
          <w:highlight w:val="none"/>
          <w:u w:val="none" w:color="auto"/>
        </w:rPr>
        <w:t>国家</w:t>
      </w:r>
      <w:r>
        <w:rPr>
          <w:rFonts w:hint="eastAsia" w:ascii="仿宋" w:hAnsi="仿宋" w:eastAsia="仿宋" w:cs="仿宋"/>
          <w:sz w:val="32"/>
          <w:szCs w:val="32"/>
          <w:highlight w:val="none"/>
          <w:u w:val="none" w:color="auto"/>
          <w:lang w:eastAsia="zh-CN"/>
        </w:rPr>
        <w:t>和省</w:t>
      </w:r>
      <w:r>
        <w:rPr>
          <w:rFonts w:hint="eastAsia" w:ascii="仿宋" w:hAnsi="仿宋" w:eastAsia="仿宋" w:cs="仿宋"/>
          <w:sz w:val="32"/>
          <w:szCs w:val="32"/>
          <w:highlight w:val="none"/>
          <w:u w:val="none" w:color="auto"/>
          <w:lang w:val="en-US" w:eastAsia="zh-CN"/>
        </w:rPr>
        <w:t>关于</w:t>
      </w:r>
      <w:r>
        <w:rPr>
          <w:rFonts w:hint="eastAsia" w:ascii="仿宋" w:hAnsi="仿宋" w:eastAsia="仿宋" w:cs="仿宋"/>
          <w:sz w:val="32"/>
          <w:szCs w:val="32"/>
          <w:highlight w:val="none"/>
          <w:u w:val="none" w:color="auto"/>
        </w:rPr>
        <w:t>基本</w:t>
      </w:r>
      <w:r>
        <w:rPr>
          <w:rFonts w:hint="eastAsia" w:ascii="仿宋" w:hAnsi="仿宋" w:eastAsia="仿宋" w:cs="仿宋"/>
          <w:sz w:val="32"/>
          <w:szCs w:val="32"/>
          <w:highlight w:val="none"/>
          <w:u w:val="none" w:color="auto"/>
          <w:lang w:val="en-US" w:eastAsia="zh-CN"/>
        </w:rPr>
        <w:t>医疗保险</w:t>
      </w:r>
      <w:r>
        <w:rPr>
          <w:rFonts w:hint="eastAsia" w:ascii="仿宋" w:hAnsi="仿宋" w:eastAsia="仿宋" w:cs="仿宋"/>
          <w:sz w:val="32"/>
          <w:szCs w:val="32"/>
          <w:highlight w:val="none"/>
          <w:u w:val="none" w:color="auto"/>
        </w:rPr>
        <w:t>支付范围</w:t>
      </w:r>
      <w:r>
        <w:rPr>
          <w:rFonts w:hint="eastAsia" w:ascii="仿宋" w:hAnsi="仿宋" w:eastAsia="仿宋" w:cs="仿宋"/>
          <w:sz w:val="32"/>
          <w:szCs w:val="32"/>
          <w:highlight w:val="none"/>
          <w:u w:val="none" w:color="auto"/>
          <w:lang w:eastAsia="zh-CN"/>
        </w:rPr>
        <w:t>相关</w:t>
      </w:r>
      <w:r>
        <w:rPr>
          <w:rFonts w:hint="eastAsia" w:ascii="仿宋" w:hAnsi="仿宋" w:eastAsia="仿宋" w:cs="仿宋"/>
          <w:sz w:val="32"/>
          <w:szCs w:val="32"/>
          <w:highlight w:val="none"/>
          <w:u w:val="none" w:color="auto"/>
        </w:rPr>
        <w:t>规定</w:t>
      </w:r>
      <w:r>
        <w:rPr>
          <w:rFonts w:hint="eastAsia" w:ascii="仿宋" w:hAnsi="仿宋" w:eastAsia="仿宋" w:cs="仿宋"/>
          <w:sz w:val="32"/>
          <w:szCs w:val="32"/>
          <w:highlight w:val="none"/>
          <w:u w:val="none" w:color="auto"/>
          <w:lang w:eastAsia="zh-CN"/>
        </w:rPr>
        <w:t>执行</w:t>
      </w:r>
      <w:r>
        <w:rPr>
          <w:rFonts w:hint="eastAsia" w:ascii="仿宋" w:hAnsi="仿宋" w:eastAsia="仿宋" w:cs="仿宋"/>
          <w:sz w:val="32"/>
          <w:szCs w:val="32"/>
          <w:highlight w:val="none"/>
          <w:u w:val="none" w:color="auto"/>
        </w:rPr>
        <w:t>。</w:t>
      </w:r>
    </w:p>
    <w:p w14:paraId="3470852B">
      <w:pPr>
        <w:numPr>
          <w:ilvl w:val="0"/>
          <w:numId w:val="0"/>
        </w:numPr>
        <w:autoSpaceDE/>
        <w:autoSpaceDN/>
        <w:adjustRightInd/>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1050AE4B">
      <w:pPr>
        <w:numPr>
          <w:ilvl w:val="0"/>
          <w:numId w:val="0"/>
        </w:numPr>
        <w:autoSpaceDE/>
        <w:autoSpaceDN/>
        <w:adjustRightInd/>
        <w:rPr>
          <w:rFonts w:hint="eastAsia" w:ascii="黑体" w:hAnsi="黑体" w:eastAsia="黑体" w:cs="黑体"/>
          <w:sz w:val="32"/>
          <w:szCs w:val="32"/>
          <w:lang w:val="en-US" w:eastAsia="zh-CN"/>
        </w:rPr>
      </w:pPr>
    </w:p>
    <w:tbl>
      <w:tblPr>
        <w:tblStyle w:val="8"/>
        <w:tblW w:w="8326" w:type="dxa"/>
        <w:jc w:val="center"/>
        <w:shd w:val="clear" w:color="auto" w:fill="auto"/>
        <w:tblLayout w:type="fixed"/>
        <w:tblCellMar>
          <w:top w:w="0" w:type="dxa"/>
          <w:left w:w="0" w:type="dxa"/>
          <w:bottom w:w="0" w:type="dxa"/>
          <w:right w:w="0" w:type="dxa"/>
        </w:tblCellMar>
      </w:tblPr>
      <w:tblGrid>
        <w:gridCol w:w="513"/>
        <w:gridCol w:w="1862"/>
        <w:gridCol w:w="1188"/>
        <w:gridCol w:w="1412"/>
        <w:gridCol w:w="1213"/>
        <w:gridCol w:w="2138"/>
      </w:tblGrid>
      <w:tr w14:paraId="49D9167E">
        <w:tblPrEx>
          <w:shd w:val="clear" w:color="auto" w:fill="auto"/>
          <w:tblCellMar>
            <w:top w:w="0" w:type="dxa"/>
            <w:left w:w="0" w:type="dxa"/>
            <w:bottom w:w="0" w:type="dxa"/>
            <w:right w:w="0" w:type="dxa"/>
          </w:tblCellMar>
        </w:tblPrEx>
        <w:trPr>
          <w:trHeight w:val="624" w:hRule="atLeast"/>
          <w:jc w:val="center"/>
        </w:trPr>
        <w:tc>
          <w:tcPr>
            <w:tcW w:w="8326" w:type="dxa"/>
            <w:gridSpan w:val="6"/>
            <w:tcBorders>
              <w:top w:val="nil"/>
              <w:left w:val="nil"/>
              <w:bottom w:val="nil"/>
              <w:right w:val="nil"/>
            </w:tcBorders>
            <w:shd w:val="clear" w:color="auto" w:fill="auto"/>
            <w:tcMar>
              <w:top w:w="10" w:type="dxa"/>
              <w:left w:w="10" w:type="dxa"/>
              <w:right w:w="10" w:type="dxa"/>
            </w:tcMar>
            <w:vAlign w:val="center"/>
          </w:tcPr>
          <w:p w14:paraId="4506194E">
            <w:pPr>
              <w:keepNext w:val="0"/>
              <w:keepLines w:val="0"/>
              <w:widowControl/>
              <w:suppressLineNumbers w:val="0"/>
              <w:jc w:val="center"/>
              <w:textAlignment w:val="center"/>
              <w:rPr>
                <w:rFonts w:hint="eastAsia" w:asciiTheme="minorEastAsia" w:hAnsiTheme="minorEastAsia" w:eastAsiaTheme="minorEastAsia" w:cstheme="minorEastAsia"/>
                <w:b/>
                <w:i w:val="0"/>
                <w:color w:val="000000"/>
                <w:kern w:val="0"/>
                <w:sz w:val="32"/>
                <w:szCs w:val="32"/>
                <w:u w:val="none"/>
                <w:lang w:val="en-US" w:eastAsia="zh-CN" w:bidi="ar"/>
              </w:rPr>
            </w:pPr>
            <w:r>
              <w:rPr>
                <w:rFonts w:hint="eastAsia" w:asciiTheme="minorEastAsia" w:hAnsiTheme="minorEastAsia" w:eastAsiaTheme="minorEastAsia" w:cstheme="minorEastAsia"/>
                <w:b/>
                <w:i w:val="0"/>
                <w:color w:val="000000"/>
                <w:kern w:val="0"/>
                <w:sz w:val="32"/>
                <w:szCs w:val="32"/>
                <w:u w:val="none"/>
                <w:lang w:val="en-US" w:eastAsia="zh-CN" w:bidi="ar"/>
              </w:rPr>
              <w:t>阳江市门诊特定病种范围、定额标准及有效期</w:t>
            </w:r>
          </w:p>
        </w:tc>
      </w:tr>
      <w:tr w14:paraId="52D5F4B5">
        <w:tblPrEx>
          <w:shd w:val="clear" w:color="auto" w:fill="auto"/>
          <w:tblCellMar>
            <w:top w:w="0" w:type="dxa"/>
            <w:left w:w="0" w:type="dxa"/>
            <w:bottom w:w="0" w:type="dxa"/>
            <w:right w:w="0" w:type="dxa"/>
          </w:tblCellMar>
        </w:tblPrEx>
        <w:trPr>
          <w:trHeight w:val="745"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266B79">
            <w:pPr>
              <w:keepNext w:val="0"/>
              <w:keepLines w:val="0"/>
              <w:widowControl/>
              <w:suppressLineNumbers w:val="0"/>
              <w:jc w:val="center"/>
              <w:textAlignment w:val="center"/>
              <w:rPr>
                <w:rFonts w:hint="eastAsia" w:asciiTheme="minorEastAsia" w:hAnsiTheme="minorEastAsia" w:eastAsiaTheme="minorEastAsia" w:cstheme="minorEastAsia"/>
                <w:b/>
                <w:i w:val="0"/>
                <w:color w:val="000000"/>
                <w:sz w:val="20"/>
                <w:szCs w:val="20"/>
                <w:u w:val="none"/>
              </w:rPr>
            </w:pPr>
            <w:r>
              <w:rPr>
                <w:rFonts w:hint="eastAsia" w:asciiTheme="minorEastAsia" w:hAnsiTheme="minorEastAsia" w:eastAsiaTheme="minorEastAsia" w:cstheme="minorEastAsia"/>
                <w:b/>
                <w:i w:val="0"/>
                <w:color w:val="000000"/>
                <w:kern w:val="0"/>
                <w:sz w:val="20"/>
                <w:szCs w:val="20"/>
                <w:u w:val="none"/>
                <w:lang w:val="en-US" w:eastAsia="zh-CN" w:bidi="ar"/>
              </w:rPr>
              <w:t>序号</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AB2602">
            <w:pPr>
              <w:keepNext w:val="0"/>
              <w:keepLines w:val="0"/>
              <w:widowControl/>
              <w:suppressLineNumbers w:val="0"/>
              <w:jc w:val="center"/>
              <w:textAlignment w:val="center"/>
              <w:rPr>
                <w:rFonts w:hint="eastAsia" w:asciiTheme="minorEastAsia" w:hAnsiTheme="minorEastAsia" w:eastAsiaTheme="minorEastAsia" w:cstheme="minorEastAsia"/>
                <w:b/>
                <w:i w:val="0"/>
                <w:color w:val="000000"/>
                <w:sz w:val="20"/>
                <w:szCs w:val="20"/>
                <w:u w:val="none"/>
              </w:rPr>
            </w:pPr>
            <w:r>
              <w:rPr>
                <w:rFonts w:hint="eastAsia" w:asciiTheme="minorEastAsia" w:hAnsiTheme="minorEastAsia" w:eastAsiaTheme="minorEastAsia" w:cstheme="minorEastAsia"/>
                <w:b/>
                <w:i w:val="0"/>
                <w:color w:val="000000"/>
                <w:kern w:val="0"/>
                <w:sz w:val="20"/>
                <w:szCs w:val="20"/>
                <w:u w:val="none"/>
                <w:lang w:val="en-US" w:eastAsia="zh-CN" w:bidi="ar"/>
              </w:rPr>
              <w:t>病种名称</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B3B6B7">
            <w:pPr>
              <w:keepNext w:val="0"/>
              <w:keepLines w:val="0"/>
              <w:widowControl/>
              <w:suppressLineNumbers w:val="0"/>
              <w:jc w:val="center"/>
              <w:textAlignment w:val="center"/>
              <w:rPr>
                <w:rFonts w:hint="eastAsia" w:asciiTheme="minorEastAsia" w:hAnsiTheme="minorEastAsia" w:eastAsiaTheme="minorEastAsia" w:cstheme="minorEastAsia"/>
                <w:b/>
                <w:i w:val="0"/>
                <w:color w:val="000000"/>
                <w:kern w:val="0"/>
                <w:sz w:val="20"/>
                <w:szCs w:val="20"/>
                <w:u w:val="none"/>
                <w:lang w:val="en-US" w:eastAsia="zh-CN" w:bidi="ar"/>
              </w:rPr>
            </w:pPr>
            <w:r>
              <w:rPr>
                <w:rFonts w:hint="eastAsia" w:asciiTheme="minorEastAsia" w:hAnsiTheme="minorEastAsia" w:eastAsiaTheme="minorEastAsia" w:cstheme="minorEastAsia"/>
                <w:b/>
                <w:i w:val="0"/>
                <w:color w:val="000000"/>
                <w:kern w:val="0"/>
                <w:sz w:val="20"/>
                <w:szCs w:val="20"/>
                <w:u w:val="none"/>
                <w:lang w:val="en-US" w:eastAsia="zh-CN" w:bidi="ar"/>
              </w:rPr>
              <w:t>职工医保</w:t>
            </w:r>
          </w:p>
          <w:p w14:paraId="2D1669CD">
            <w:pPr>
              <w:keepNext w:val="0"/>
              <w:keepLines w:val="0"/>
              <w:widowControl/>
              <w:suppressLineNumbers w:val="0"/>
              <w:jc w:val="center"/>
              <w:textAlignment w:val="center"/>
              <w:rPr>
                <w:rFonts w:hint="eastAsia" w:asciiTheme="minorEastAsia" w:hAnsiTheme="minorEastAsia" w:eastAsiaTheme="minorEastAsia" w:cstheme="minorEastAsia"/>
                <w:b/>
                <w:i w:val="0"/>
                <w:color w:val="000000"/>
                <w:sz w:val="20"/>
                <w:szCs w:val="20"/>
                <w:u w:val="none"/>
              </w:rPr>
            </w:pPr>
            <w:r>
              <w:rPr>
                <w:rFonts w:hint="eastAsia" w:asciiTheme="minorEastAsia" w:hAnsiTheme="minorEastAsia" w:eastAsiaTheme="minorEastAsia" w:cstheme="minorEastAsia"/>
                <w:b/>
                <w:i w:val="0"/>
                <w:color w:val="000000"/>
                <w:kern w:val="0"/>
                <w:sz w:val="20"/>
                <w:szCs w:val="20"/>
                <w:u w:val="none"/>
                <w:lang w:val="en-US" w:eastAsia="zh-CN" w:bidi="ar"/>
              </w:rPr>
              <w:t>（元/月）</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A5C1E0">
            <w:pPr>
              <w:keepNext w:val="0"/>
              <w:keepLines w:val="0"/>
              <w:widowControl/>
              <w:suppressLineNumbers w:val="0"/>
              <w:jc w:val="center"/>
              <w:textAlignment w:val="center"/>
              <w:rPr>
                <w:rFonts w:hint="eastAsia" w:asciiTheme="minorEastAsia" w:hAnsiTheme="minorEastAsia" w:eastAsiaTheme="minorEastAsia" w:cstheme="minorEastAsia"/>
                <w:b/>
                <w:i w:val="0"/>
                <w:color w:val="000000"/>
                <w:sz w:val="20"/>
                <w:szCs w:val="20"/>
                <w:u w:val="none"/>
              </w:rPr>
            </w:pPr>
            <w:r>
              <w:rPr>
                <w:rFonts w:hint="eastAsia" w:asciiTheme="minorEastAsia" w:hAnsiTheme="minorEastAsia" w:eastAsiaTheme="minorEastAsia" w:cstheme="minorEastAsia"/>
                <w:b/>
                <w:i w:val="0"/>
                <w:color w:val="000000"/>
                <w:kern w:val="0"/>
                <w:sz w:val="20"/>
                <w:szCs w:val="20"/>
                <w:u w:val="none"/>
                <w:lang w:val="en-US" w:eastAsia="zh-CN" w:bidi="ar"/>
              </w:rPr>
              <w:t>城乡居民医保（元/月）</w:t>
            </w:r>
          </w:p>
        </w:tc>
        <w:tc>
          <w:tcPr>
            <w:tcW w:w="1213"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5C616231">
            <w:pPr>
              <w:keepNext w:val="0"/>
              <w:keepLines w:val="0"/>
              <w:widowControl/>
              <w:suppressLineNumbers w:val="0"/>
              <w:jc w:val="center"/>
              <w:textAlignment w:val="center"/>
              <w:rPr>
                <w:rFonts w:hint="eastAsia" w:asciiTheme="minorEastAsia" w:hAnsiTheme="minorEastAsia" w:eastAsiaTheme="minorEastAsia" w:cstheme="minorEastAsia"/>
                <w:b/>
                <w:i w:val="0"/>
                <w:color w:val="000000"/>
                <w:kern w:val="0"/>
                <w:sz w:val="20"/>
                <w:szCs w:val="20"/>
                <w:u w:val="none"/>
                <w:lang w:val="en-US" w:eastAsia="zh-CN" w:bidi="ar"/>
              </w:rPr>
            </w:pPr>
            <w:r>
              <w:rPr>
                <w:rFonts w:hint="eastAsia" w:asciiTheme="minorEastAsia" w:hAnsiTheme="minorEastAsia" w:eastAsiaTheme="minorEastAsia" w:cstheme="minorEastAsia"/>
                <w:b/>
                <w:i w:val="0"/>
                <w:color w:val="000000"/>
                <w:kern w:val="0"/>
                <w:sz w:val="20"/>
                <w:szCs w:val="20"/>
                <w:u w:val="none"/>
                <w:lang w:val="en-US" w:eastAsia="zh-CN" w:bidi="ar"/>
              </w:rPr>
              <w:t>有效期</w:t>
            </w:r>
          </w:p>
        </w:tc>
        <w:tc>
          <w:tcPr>
            <w:tcW w:w="2138"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3755C20A">
            <w:pPr>
              <w:keepNext w:val="0"/>
              <w:keepLines w:val="0"/>
              <w:widowControl/>
              <w:suppressLineNumbers w:val="0"/>
              <w:jc w:val="center"/>
              <w:textAlignment w:val="center"/>
              <w:rPr>
                <w:rFonts w:hint="eastAsia" w:asciiTheme="minorEastAsia" w:hAnsiTheme="minorEastAsia" w:eastAsiaTheme="minorEastAsia" w:cstheme="minorEastAsia"/>
                <w:b/>
                <w:i w:val="0"/>
                <w:color w:val="000000"/>
                <w:sz w:val="20"/>
                <w:szCs w:val="20"/>
                <w:u w:val="none"/>
              </w:rPr>
            </w:pPr>
            <w:r>
              <w:rPr>
                <w:rFonts w:hint="eastAsia" w:asciiTheme="minorEastAsia" w:hAnsiTheme="minorEastAsia" w:eastAsiaTheme="minorEastAsia" w:cstheme="minorEastAsia"/>
                <w:b/>
                <w:i w:val="0"/>
                <w:color w:val="000000"/>
                <w:kern w:val="0"/>
                <w:sz w:val="20"/>
                <w:szCs w:val="20"/>
                <w:u w:val="none"/>
                <w:lang w:val="en-US" w:eastAsia="zh-CN" w:bidi="ar"/>
              </w:rPr>
              <w:t>备注</w:t>
            </w:r>
          </w:p>
        </w:tc>
      </w:tr>
      <w:tr w14:paraId="308767B7">
        <w:tblPrEx>
          <w:shd w:val="clear" w:color="auto" w:fill="auto"/>
          <w:tblCellMar>
            <w:top w:w="0" w:type="dxa"/>
            <w:left w:w="0" w:type="dxa"/>
            <w:bottom w:w="0" w:type="dxa"/>
            <w:right w:w="0" w:type="dxa"/>
          </w:tblCellMar>
        </w:tblPrEx>
        <w:trPr>
          <w:trHeight w:val="424"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3AD59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787FF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慢性阻塞性肺疾病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4612A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19EE5C">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4437E1">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D90948">
            <w:pPr>
              <w:jc w:val="center"/>
              <w:rPr>
                <w:rFonts w:hint="eastAsia" w:asciiTheme="minorEastAsia" w:hAnsiTheme="minorEastAsia" w:eastAsiaTheme="minorEastAsia" w:cstheme="minorEastAsia"/>
                <w:i w:val="0"/>
                <w:color w:val="000000"/>
                <w:sz w:val="20"/>
                <w:szCs w:val="20"/>
                <w:u w:val="none"/>
              </w:rPr>
            </w:pPr>
          </w:p>
        </w:tc>
      </w:tr>
      <w:tr w14:paraId="09E666EE">
        <w:tblPrEx>
          <w:shd w:val="clear" w:color="auto" w:fill="auto"/>
          <w:tblCellMar>
            <w:top w:w="0" w:type="dxa"/>
            <w:left w:w="0" w:type="dxa"/>
            <w:bottom w:w="0" w:type="dxa"/>
            <w:right w:w="0" w:type="dxa"/>
          </w:tblCellMar>
        </w:tblPrEx>
        <w:trPr>
          <w:trHeight w:val="3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9E399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F02EA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高血压病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902C0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0610E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9B68A1">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6FB7B9">
            <w:pPr>
              <w:jc w:val="center"/>
              <w:rPr>
                <w:rFonts w:hint="eastAsia" w:asciiTheme="minorEastAsia" w:hAnsiTheme="minorEastAsia" w:eastAsiaTheme="minorEastAsia" w:cstheme="minorEastAsia"/>
                <w:i w:val="0"/>
                <w:color w:val="000000"/>
                <w:sz w:val="20"/>
                <w:szCs w:val="20"/>
                <w:u w:val="none"/>
              </w:rPr>
            </w:pPr>
          </w:p>
        </w:tc>
      </w:tr>
      <w:tr w14:paraId="0E822D09">
        <w:tblPrEx>
          <w:shd w:val="clear" w:color="auto" w:fill="auto"/>
          <w:tblCellMar>
            <w:top w:w="0" w:type="dxa"/>
            <w:left w:w="0" w:type="dxa"/>
            <w:bottom w:w="0" w:type="dxa"/>
            <w:right w:w="0" w:type="dxa"/>
          </w:tblCellMar>
        </w:tblPrEx>
        <w:trPr>
          <w:trHeight w:val="3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84F24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168D9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冠心病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943FF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BBC68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8ED6CA">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C02983">
            <w:pPr>
              <w:jc w:val="center"/>
              <w:rPr>
                <w:rFonts w:hint="eastAsia" w:asciiTheme="minorEastAsia" w:hAnsiTheme="minorEastAsia" w:eastAsiaTheme="minorEastAsia" w:cstheme="minorEastAsia"/>
                <w:i w:val="0"/>
                <w:color w:val="000000"/>
                <w:sz w:val="20"/>
                <w:szCs w:val="20"/>
                <w:u w:val="none"/>
              </w:rPr>
            </w:pPr>
          </w:p>
        </w:tc>
      </w:tr>
      <w:tr w14:paraId="66F66E03">
        <w:tblPrEx>
          <w:shd w:val="clear" w:color="auto" w:fill="auto"/>
          <w:tblCellMar>
            <w:top w:w="0" w:type="dxa"/>
            <w:left w:w="0" w:type="dxa"/>
            <w:bottom w:w="0" w:type="dxa"/>
            <w:right w:w="0" w:type="dxa"/>
          </w:tblCellMar>
        </w:tblPrEx>
        <w:trPr>
          <w:trHeight w:val="406"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C76DB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1A953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慢性心功能不全</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7B04A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93EAB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700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609B2B">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509ADC">
            <w:pPr>
              <w:jc w:val="center"/>
              <w:rPr>
                <w:rFonts w:hint="eastAsia" w:asciiTheme="minorEastAsia" w:hAnsiTheme="minorEastAsia" w:eastAsiaTheme="minorEastAsia" w:cstheme="minorEastAsia"/>
                <w:i w:val="0"/>
                <w:color w:val="000000"/>
                <w:sz w:val="20"/>
                <w:szCs w:val="20"/>
                <w:u w:val="none"/>
              </w:rPr>
            </w:pPr>
          </w:p>
        </w:tc>
      </w:tr>
      <w:tr w14:paraId="774831E6">
        <w:tblPrEx>
          <w:shd w:val="clear" w:color="auto" w:fill="auto"/>
          <w:tblCellMar>
            <w:top w:w="0" w:type="dxa"/>
            <w:left w:w="0" w:type="dxa"/>
            <w:bottom w:w="0" w:type="dxa"/>
            <w:right w:w="0" w:type="dxa"/>
          </w:tblCellMar>
        </w:tblPrEx>
        <w:trPr>
          <w:trHeight w:val="3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3206D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5</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6AA8B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肝硬化（失代偿期）</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982D0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700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CCA775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1B5A28">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344E3E">
            <w:pPr>
              <w:jc w:val="center"/>
              <w:rPr>
                <w:rFonts w:hint="eastAsia" w:asciiTheme="minorEastAsia" w:hAnsiTheme="minorEastAsia" w:eastAsiaTheme="minorEastAsia" w:cstheme="minorEastAsia"/>
                <w:i w:val="0"/>
                <w:color w:val="000000"/>
                <w:sz w:val="20"/>
                <w:szCs w:val="20"/>
                <w:u w:val="none"/>
              </w:rPr>
            </w:pPr>
          </w:p>
        </w:tc>
      </w:tr>
      <w:tr w14:paraId="0EF5CA68">
        <w:tblPrEx>
          <w:shd w:val="clear" w:color="auto" w:fill="auto"/>
          <w:tblCellMar>
            <w:top w:w="0" w:type="dxa"/>
            <w:left w:w="0" w:type="dxa"/>
            <w:bottom w:w="0" w:type="dxa"/>
            <w:right w:w="0" w:type="dxa"/>
          </w:tblCellMar>
        </w:tblPrEx>
        <w:trPr>
          <w:trHeight w:val="424"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61FF7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6</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4EC63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慢性乙型肝炎</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F7AF5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700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61C08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C76045">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C20F86">
            <w:pPr>
              <w:jc w:val="center"/>
              <w:rPr>
                <w:rFonts w:hint="eastAsia" w:asciiTheme="minorEastAsia" w:hAnsiTheme="minorEastAsia" w:eastAsiaTheme="minorEastAsia" w:cstheme="minorEastAsia"/>
                <w:i w:val="0"/>
                <w:color w:val="000000"/>
                <w:sz w:val="20"/>
                <w:szCs w:val="20"/>
                <w:u w:val="none"/>
              </w:rPr>
            </w:pPr>
          </w:p>
        </w:tc>
      </w:tr>
      <w:tr w14:paraId="27EDC770">
        <w:tblPrEx>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4C9A1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7</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EC33B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丙型肝炎（HCV RNA阳性）</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8B1C3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20CF50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61F83C">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6个月</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3518DE5">
            <w:pPr>
              <w:jc w:val="center"/>
              <w:rPr>
                <w:rFonts w:hint="eastAsia" w:asciiTheme="minorEastAsia" w:hAnsiTheme="minorEastAsia" w:eastAsiaTheme="minorEastAsia" w:cstheme="minorEastAsia"/>
                <w:i w:val="0"/>
                <w:color w:val="000000"/>
                <w:sz w:val="20"/>
                <w:szCs w:val="20"/>
                <w:u w:val="none"/>
              </w:rPr>
            </w:pPr>
          </w:p>
        </w:tc>
      </w:tr>
      <w:tr w14:paraId="34D531F7">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DEEB2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8</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635672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慢性肾功能不全（非透析治疗）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803FB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E4183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026D44">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774062">
            <w:pPr>
              <w:jc w:val="center"/>
              <w:rPr>
                <w:rFonts w:hint="eastAsia" w:asciiTheme="minorEastAsia" w:hAnsiTheme="minorEastAsia" w:eastAsiaTheme="minorEastAsia" w:cstheme="minorEastAsia"/>
                <w:i w:val="0"/>
                <w:color w:val="000000"/>
                <w:sz w:val="20"/>
                <w:szCs w:val="20"/>
                <w:u w:val="none"/>
              </w:rPr>
            </w:pPr>
          </w:p>
        </w:tc>
      </w:tr>
      <w:tr w14:paraId="1CF4057F">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13D9D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9</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1A063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肾脏移植术后抗排异治疗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C3077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8BE76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398059">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7DB578">
            <w:pPr>
              <w:jc w:val="center"/>
              <w:rPr>
                <w:rFonts w:hint="eastAsia" w:asciiTheme="minorEastAsia" w:hAnsiTheme="minorEastAsia" w:eastAsiaTheme="minorEastAsia" w:cstheme="minorEastAsia"/>
                <w:i w:val="0"/>
                <w:color w:val="000000"/>
                <w:sz w:val="20"/>
                <w:szCs w:val="20"/>
                <w:u w:val="none"/>
              </w:rPr>
            </w:pPr>
          </w:p>
        </w:tc>
      </w:tr>
      <w:tr w14:paraId="58AE3D37">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2014C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10</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8F4B8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造血干细胞移植后抗排异治疗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65A63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1B79A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1500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86C0A0">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5F1E87">
            <w:pPr>
              <w:jc w:val="center"/>
              <w:rPr>
                <w:rFonts w:hint="eastAsia" w:asciiTheme="minorEastAsia" w:hAnsiTheme="minorEastAsia" w:eastAsiaTheme="minorEastAsia" w:cstheme="minorEastAsia"/>
                <w:i w:val="0"/>
                <w:color w:val="000000"/>
                <w:sz w:val="20"/>
                <w:szCs w:val="20"/>
                <w:u w:val="none"/>
              </w:rPr>
            </w:pPr>
          </w:p>
        </w:tc>
      </w:tr>
      <w:tr w14:paraId="27802B62">
        <w:tblPrEx>
          <w:shd w:val="clear" w:color="auto" w:fill="auto"/>
          <w:tblCellMar>
            <w:top w:w="0" w:type="dxa"/>
            <w:left w:w="0" w:type="dxa"/>
            <w:bottom w:w="0" w:type="dxa"/>
            <w:right w:w="0" w:type="dxa"/>
          </w:tblCellMar>
        </w:tblPrEx>
        <w:trPr>
          <w:trHeight w:val="405"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5FD4C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11</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ED3C2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糖尿病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CC57B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600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9EE59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E3997F">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C672BD">
            <w:pPr>
              <w:jc w:val="center"/>
              <w:rPr>
                <w:rFonts w:hint="eastAsia" w:asciiTheme="minorEastAsia" w:hAnsiTheme="minorEastAsia" w:eastAsiaTheme="minorEastAsia" w:cstheme="minorEastAsia"/>
                <w:i w:val="0"/>
                <w:color w:val="000000"/>
                <w:sz w:val="20"/>
                <w:szCs w:val="20"/>
                <w:u w:val="none"/>
              </w:rPr>
            </w:pPr>
          </w:p>
        </w:tc>
      </w:tr>
      <w:tr w14:paraId="24210D5A">
        <w:tblPrEx>
          <w:shd w:val="clear" w:color="auto" w:fill="auto"/>
          <w:tblCellMar>
            <w:top w:w="0" w:type="dxa"/>
            <w:left w:w="0" w:type="dxa"/>
            <w:bottom w:w="0" w:type="dxa"/>
            <w:right w:w="0" w:type="dxa"/>
          </w:tblCellMar>
        </w:tblPrEx>
        <w:trPr>
          <w:trHeight w:val="425"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C750A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12</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06678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类风湿关节炎</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E7204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600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63262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500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6B261E">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E96FA4">
            <w:pPr>
              <w:jc w:val="center"/>
              <w:rPr>
                <w:rFonts w:hint="eastAsia" w:asciiTheme="minorEastAsia" w:hAnsiTheme="minorEastAsia" w:eastAsiaTheme="minorEastAsia" w:cstheme="minorEastAsia"/>
                <w:i w:val="0"/>
                <w:color w:val="000000"/>
                <w:sz w:val="20"/>
                <w:szCs w:val="20"/>
                <w:u w:val="none"/>
              </w:rPr>
            </w:pPr>
          </w:p>
        </w:tc>
      </w:tr>
      <w:tr w14:paraId="0783977F">
        <w:tblPrEx>
          <w:shd w:val="clear" w:color="auto" w:fill="auto"/>
          <w:tblCellMar>
            <w:top w:w="0" w:type="dxa"/>
            <w:left w:w="0" w:type="dxa"/>
            <w:bottom w:w="0" w:type="dxa"/>
            <w:right w:w="0" w:type="dxa"/>
          </w:tblCellMar>
        </w:tblPrEx>
        <w:trPr>
          <w:trHeight w:val="406"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63DB6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13</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F1A6E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恶性肿瘤（非放化疗）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FE96A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1200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CCE24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1000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DA0C22">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220C7C">
            <w:pPr>
              <w:jc w:val="center"/>
              <w:rPr>
                <w:rFonts w:hint="eastAsia" w:asciiTheme="minorEastAsia" w:hAnsiTheme="minorEastAsia" w:eastAsiaTheme="minorEastAsia" w:cstheme="minorEastAsia"/>
                <w:i w:val="0"/>
                <w:color w:val="000000"/>
                <w:sz w:val="20"/>
                <w:szCs w:val="20"/>
                <w:u w:val="none"/>
              </w:rPr>
            </w:pPr>
          </w:p>
        </w:tc>
      </w:tr>
      <w:tr w14:paraId="3BF62FB2">
        <w:tblPrEx>
          <w:shd w:val="clear" w:color="auto" w:fill="auto"/>
          <w:tblCellMar>
            <w:top w:w="0" w:type="dxa"/>
            <w:left w:w="0" w:type="dxa"/>
            <w:bottom w:w="0" w:type="dxa"/>
            <w:right w:w="0" w:type="dxa"/>
          </w:tblCellMar>
        </w:tblPrEx>
        <w:trPr>
          <w:trHeight w:val="60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6165D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14</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69785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地中海贫血（海洋性贫血或珠蛋白生成障碍性贫血）</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DE463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4800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2EFFC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4000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07F1BC">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C9FCBC">
            <w:pPr>
              <w:jc w:val="center"/>
              <w:rPr>
                <w:rFonts w:hint="eastAsia" w:asciiTheme="minorEastAsia" w:hAnsiTheme="minorEastAsia" w:eastAsiaTheme="minorEastAsia" w:cstheme="minorEastAsia"/>
                <w:i w:val="0"/>
                <w:color w:val="000000"/>
                <w:sz w:val="20"/>
                <w:szCs w:val="20"/>
                <w:u w:val="none"/>
              </w:rPr>
            </w:pPr>
          </w:p>
        </w:tc>
      </w:tr>
      <w:tr w14:paraId="01142B19">
        <w:tblPrEx>
          <w:shd w:val="clear" w:color="auto" w:fill="auto"/>
          <w:tblCellMar>
            <w:top w:w="0" w:type="dxa"/>
            <w:left w:w="0" w:type="dxa"/>
            <w:bottom w:w="0" w:type="dxa"/>
            <w:right w:w="0" w:type="dxa"/>
          </w:tblCellMar>
        </w:tblPrEx>
        <w:trPr>
          <w:trHeight w:val="369"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CB054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15</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617D2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再生障碍性贫血</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97B94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2500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CAA94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2000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508C9D">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3F427B">
            <w:pPr>
              <w:jc w:val="center"/>
              <w:rPr>
                <w:rFonts w:hint="eastAsia" w:asciiTheme="minorEastAsia" w:hAnsiTheme="minorEastAsia" w:eastAsiaTheme="minorEastAsia" w:cstheme="minorEastAsia"/>
                <w:i w:val="0"/>
                <w:color w:val="000000"/>
                <w:sz w:val="20"/>
                <w:szCs w:val="20"/>
                <w:u w:val="none"/>
              </w:rPr>
            </w:pPr>
          </w:p>
        </w:tc>
      </w:tr>
      <w:tr w14:paraId="50C8C42E">
        <w:tblPrEx>
          <w:shd w:val="clear" w:color="auto" w:fill="auto"/>
          <w:tblCellMar>
            <w:top w:w="0" w:type="dxa"/>
            <w:left w:w="0" w:type="dxa"/>
            <w:bottom w:w="0" w:type="dxa"/>
            <w:right w:w="0" w:type="dxa"/>
          </w:tblCellMar>
        </w:tblPrEx>
        <w:trPr>
          <w:trHeight w:val="3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1A053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16</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42787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血友病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4CA94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按年度统筹封顶</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EF98C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按年度统筹封顶</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8EFDF8">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681271">
            <w:pPr>
              <w:jc w:val="center"/>
              <w:rPr>
                <w:rFonts w:hint="eastAsia" w:asciiTheme="minorEastAsia" w:hAnsiTheme="minorEastAsia" w:eastAsiaTheme="minorEastAsia" w:cstheme="minorEastAsia"/>
                <w:i w:val="0"/>
                <w:color w:val="000000"/>
                <w:sz w:val="20"/>
                <w:szCs w:val="20"/>
                <w:u w:val="none"/>
              </w:rPr>
            </w:pPr>
          </w:p>
        </w:tc>
      </w:tr>
      <w:tr w14:paraId="0FCF94A7">
        <w:tblPrEx>
          <w:shd w:val="clear" w:color="auto" w:fill="auto"/>
          <w:tblCellMar>
            <w:top w:w="0" w:type="dxa"/>
            <w:left w:w="0" w:type="dxa"/>
            <w:bottom w:w="0" w:type="dxa"/>
            <w:right w:w="0" w:type="dxa"/>
          </w:tblCellMar>
        </w:tblPrEx>
        <w:trPr>
          <w:trHeight w:val="368"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B31F3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17</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5A6A1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帕金森病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BD319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0C7A1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507B1F">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5629D3">
            <w:pPr>
              <w:jc w:val="center"/>
              <w:rPr>
                <w:rFonts w:hint="eastAsia" w:asciiTheme="minorEastAsia" w:hAnsiTheme="minorEastAsia" w:eastAsiaTheme="minorEastAsia" w:cstheme="minorEastAsia"/>
                <w:i w:val="0"/>
                <w:color w:val="000000"/>
                <w:sz w:val="20"/>
                <w:szCs w:val="20"/>
                <w:u w:val="none"/>
              </w:rPr>
            </w:pPr>
          </w:p>
        </w:tc>
      </w:tr>
      <w:tr w14:paraId="0299BC7B">
        <w:tblPrEx>
          <w:shd w:val="clear" w:color="auto" w:fill="auto"/>
          <w:tblCellMar>
            <w:top w:w="0" w:type="dxa"/>
            <w:left w:w="0" w:type="dxa"/>
            <w:bottom w:w="0" w:type="dxa"/>
            <w:right w:w="0" w:type="dxa"/>
          </w:tblCellMar>
        </w:tblPrEx>
        <w:trPr>
          <w:trHeight w:val="406"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936A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18</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8396D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癫痫</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02328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941B4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1D217A">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9660D7">
            <w:pPr>
              <w:jc w:val="center"/>
              <w:rPr>
                <w:rFonts w:hint="eastAsia" w:asciiTheme="minorEastAsia" w:hAnsiTheme="minorEastAsia" w:eastAsiaTheme="minorEastAsia" w:cstheme="minorEastAsia"/>
                <w:i w:val="0"/>
                <w:color w:val="000000"/>
                <w:sz w:val="20"/>
                <w:szCs w:val="20"/>
                <w:u w:val="none"/>
              </w:rPr>
            </w:pPr>
          </w:p>
        </w:tc>
      </w:tr>
      <w:tr w14:paraId="165DCC64">
        <w:tblPrEx>
          <w:tblCellMar>
            <w:top w:w="0" w:type="dxa"/>
            <w:left w:w="0" w:type="dxa"/>
            <w:bottom w:w="0" w:type="dxa"/>
            <w:right w:w="0" w:type="dxa"/>
          </w:tblCellMar>
        </w:tblPrEx>
        <w:trPr>
          <w:trHeight w:val="406"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B8C85C">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19</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01A0C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脑血管疾病后遗症</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0E870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530BC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E8CD14">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C98E8F">
            <w:pPr>
              <w:jc w:val="center"/>
              <w:rPr>
                <w:rFonts w:hint="eastAsia" w:asciiTheme="minorEastAsia" w:hAnsiTheme="minorEastAsia" w:eastAsiaTheme="minorEastAsia" w:cstheme="minorEastAsia"/>
                <w:i w:val="0"/>
                <w:color w:val="000000"/>
                <w:sz w:val="20"/>
                <w:szCs w:val="20"/>
                <w:u w:val="none"/>
              </w:rPr>
            </w:pPr>
          </w:p>
        </w:tc>
      </w:tr>
      <w:tr w14:paraId="34159EB7">
        <w:tblPrEx>
          <w:shd w:val="clear" w:color="auto" w:fill="auto"/>
          <w:tblCellMar>
            <w:top w:w="0" w:type="dxa"/>
            <w:left w:w="0" w:type="dxa"/>
            <w:bottom w:w="0" w:type="dxa"/>
            <w:right w:w="0" w:type="dxa"/>
          </w:tblCellMar>
        </w:tblPrEx>
        <w:trPr>
          <w:trHeight w:val="3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F1B43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20</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01F92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艾滋病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BE76A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600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0F980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C55AD0">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4B706">
            <w:pPr>
              <w:jc w:val="center"/>
              <w:rPr>
                <w:rFonts w:hint="eastAsia" w:asciiTheme="minorEastAsia" w:hAnsiTheme="minorEastAsia" w:eastAsiaTheme="minorEastAsia" w:cstheme="minorEastAsia"/>
                <w:i w:val="0"/>
                <w:color w:val="000000"/>
                <w:sz w:val="20"/>
                <w:szCs w:val="20"/>
                <w:u w:val="none"/>
              </w:rPr>
            </w:pPr>
          </w:p>
        </w:tc>
      </w:tr>
      <w:tr w14:paraId="49BD507D">
        <w:tblPrEx>
          <w:shd w:val="clear" w:color="auto" w:fill="auto"/>
          <w:tblCellMar>
            <w:top w:w="0" w:type="dxa"/>
            <w:left w:w="0" w:type="dxa"/>
            <w:bottom w:w="0" w:type="dxa"/>
            <w:right w:w="0" w:type="dxa"/>
          </w:tblCellMar>
        </w:tblPrEx>
        <w:trPr>
          <w:trHeight w:val="3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5F18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21</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3326F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活动性肺结核</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1F5DB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6919D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1F0F86E">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1年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D56914">
            <w:pPr>
              <w:jc w:val="center"/>
              <w:rPr>
                <w:rFonts w:hint="eastAsia" w:asciiTheme="minorEastAsia" w:hAnsiTheme="minorEastAsia" w:eastAsiaTheme="minorEastAsia" w:cstheme="minorEastAsia"/>
                <w:i w:val="0"/>
                <w:color w:val="000000"/>
                <w:sz w:val="20"/>
                <w:szCs w:val="20"/>
                <w:u w:val="none"/>
              </w:rPr>
            </w:pPr>
          </w:p>
        </w:tc>
      </w:tr>
      <w:tr w14:paraId="1EC9EFAC">
        <w:tblPrEx>
          <w:shd w:val="clear" w:color="auto" w:fill="auto"/>
          <w:tblCellMar>
            <w:top w:w="0" w:type="dxa"/>
            <w:left w:w="0" w:type="dxa"/>
            <w:bottom w:w="0" w:type="dxa"/>
            <w:right w:w="0" w:type="dxa"/>
          </w:tblCellMar>
        </w:tblPrEx>
        <w:trPr>
          <w:trHeight w:val="406"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BC8E6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22</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46715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耐多药肺结核</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911DD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1200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F7A3B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69D7A6">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867E3E">
            <w:pPr>
              <w:jc w:val="center"/>
              <w:rPr>
                <w:rFonts w:hint="eastAsia" w:asciiTheme="minorEastAsia" w:hAnsiTheme="minorEastAsia" w:eastAsiaTheme="minorEastAsia" w:cstheme="minorEastAsia"/>
                <w:i w:val="0"/>
                <w:color w:val="000000"/>
                <w:sz w:val="20"/>
                <w:szCs w:val="20"/>
                <w:u w:val="none"/>
              </w:rPr>
            </w:pPr>
          </w:p>
        </w:tc>
      </w:tr>
      <w:tr w14:paraId="07DB8CA3">
        <w:tblPrEx>
          <w:shd w:val="clear" w:color="auto" w:fill="auto"/>
          <w:tblCellMar>
            <w:top w:w="0" w:type="dxa"/>
            <w:left w:w="0" w:type="dxa"/>
            <w:bottom w:w="0" w:type="dxa"/>
            <w:right w:w="0" w:type="dxa"/>
          </w:tblCellMar>
        </w:tblPrEx>
        <w:trPr>
          <w:trHeight w:val="3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D78FE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23</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5957D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系统性红斑狼疮</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D4553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1800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1CB1A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1500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D6642B">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30EF9F">
            <w:pPr>
              <w:jc w:val="center"/>
              <w:rPr>
                <w:rFonts w:hint="eastAsia" w:asciiTheme="minorEastAsia" w:hAnsiTheme="minorEastAsia" w:eastAsiaTheme="minorEastAsia" w:cstheme="minorEastAsia"/>
                <w:i w:val="0"/>
                <w:color w:val="000000"/>
                <w:sz w:val="20"/>
                <w:szCs w:val="20"/>
                <w:u w:val="none"/>
              </w:rPr>
            </w:pPr>
          </w:p>
        </w:tc>
      </w:tr>
      <w:tr w14:paraId="4A697FED">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F4723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24</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33750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心脏移植术后抗排异治疗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ED071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3000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1D90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2000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9AE3ED">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47F712">
            <w:pPr>
              <w:jc w:val="center"/>
              <w:rPr>
                <w:rFonts w:hint="eastAsia" w:asciiTheme="minorEastAsia" w:hAnsiTheme="minorEastAsia" w:eastAsiaTheme="minorEastAsia" w:cstheme="minorEastAsia"/>
                <w:i w:val="0"/>
                <w:color w:val="000000"/>
                <w:sz w:val="20"/>
                <w:szCs w:val="20"/>
                <w:u w:val="none"/>
              </w:rPr>
            </w:pPr>
          </w:p>
        </w:tc>
      </w:tr>
      <w:tr w14:paraId="44504D96">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4B077C">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25</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94880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肝脏移植术后抗排异治疗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F9D29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3000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7B3FE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2000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A1C579">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F72B0E">
            <w:pPr>
              <w:jc w:val="center"/>
              <w:rPr>
                <w:rFonts w:hint="eastAsia" w:asciiTheme="minorEastAsia" w:hAnsiTheme="minorEastAsia" w:eastAsiaTheme="minorEastAsia" w:cstheme="minorEastAsia"/>
                <w:i w:val="0"/>
                <w:color w:val="000000"/>
                <w:sz w:val="20"/>
                <w:szCs w:val="20"/>
                <w:u w:val="none"/>
              </w:rPr>
            </w:pPr>
          </w:p>
        </w:tc>
      </w:tr>
      <w:tr w14:paraId="4B3B2A64">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3A747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26</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D0A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肺脏移植术后抗排异治疗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5F085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3000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1484F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2000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15C591">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BD94F8">
            <w:pPr>
              <w:jc w:val="center"/>
              <w:rPr>
                <w:rFonts w:hint="eastAsia" w:asciiTheme="minorEastAsia" w:hAnsiTheme="minorEastAsia" w:eastAsiaTheme="minorEastAsia" w:cstheme="minorEastAsia"/>
                <w:i w:val="0"/>
                <w:color w:val="000000"/>
                <w:sz w:val="20"/>
                <w:szCs w:val="20"/>
                <w:u w:val="none"/>
              </w:rPr>
            </w:pPr>
          </w:p>
        </w:tc>
      </w:tr>
      <w:tr w14:paraId="797105D3">
        <w:tblPrEx>
          <w:shd w:val="clear" w:color="auto" w:fill="auto"/>
          <w:tblCellMar>
            <w:top w:w="0" w:type="dxa"/>
            <w:left w:w="0" w:type="dxa"/>
            <w:bottom w:w="0" w:type="dxa"/>
            <w:right w:w="0" w:type="dxa"/>
          </w:tblCellMar>
        </w:tblPrEx>
        <w:trPr>
          <w:trHeight w:val="443"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B5B5A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27</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99528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肺动脉高压</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993B5D">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3500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D4CC5E">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0"/>
                <w:szCs w:val="20"/>
                <w:u w:val="none"/>
                <w:lang w:val="en-US"/>
              </w:rPr>
            </w:pPr>
            <w:r>
              <w:rPr>
                <w:rFonts w:hint="eastAsia" w:ascii="宋体" w:hAnsi="宋体" w:eastAsia="宋体" w:cs="宋体"/>
                <w:b w:val="0"/>
                <w:bCs w:val="0"/>
                <w:i w:val="0"/>
                <w:color w:val="auto"/>
                <w:kern w:val="0"/>
                <w:sz w:val="20"/>
                <w:szCs w:val="20"/>
                <w:u w:val="none"/>
                <w:lang w:val="en-US" w:eastAsia="zh-CN" w:bidi="ar"/>
              </w:rPr>
              <w:t>3000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EF530D">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B04447">
            <w:pPr>
              <w:jc w:val="center"/>
              <w:rPr>
                <w:rFonts w:hint="eastAsia" w:asciiTheme="minorEastAsia" w:hAnsiTheme="minorEastAsia" w:eastAsiaTheme="minorEastAsia" w:cstheme="minorEastAsia"/>
                <w:i w:val="0"/>
                <w:color w:val="000000"/>
                <w:sz w:val="20"/>
                <w:szCs w:val="20"/>
                <w:u w:val="none"/>
              </w:rPr>
            </w:pPr>
          </w:p>
        </w:tc>
      </w:tr>
      <w:tr w14:paraId="2ABFDF60">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42434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28</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9B102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支气管哮喘</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170B65">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0"/>
                <w:szCs w:val="20"/>
                <w:u w:val="none"/>
                <w:lang w:val="en-US"/>
              </w:rPr>
            </w:pPr>
            <w:r>
              <w:rPr>
                <w:rFonts w:hint="eastAsia" w:ascii="宋体" w:hAnsi="宋体" w:eastAsia="宋体" w:cs="宋体"/>
                <w:b w:val="0"/>
                <w:bCs w:val="0"/>
                <w:i w:val="0"/>
                <w:color w:val="auto"/>
                <w:kern w:val="0"/>
                <w:sz w:val="20"/>
                <w:szCs w:val="20"/>
                <w:u w:val="none"/>
                <w:lang w:val="en-US" w:eastAsia="zh-CN" w:bidi="ar"/>
              </w:rPr>
              <w:t>6000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FB12FE">
            <w:pPr>
              <w:keepNext w:val="0"/>
              <w:keepLines w:val="0"/>
              <w:widowControl/>
              <w:suppressLineNumbers w:val="0"/>
              <w:jc w:val="center"/>
              <w:textAlignment w:val="center"/>
              <w:rPr>
                <w:rFonts w:hint="eastAsia" w:asciiTheme="minorEastAsia" w:hAnsiTheme="minorEastAsia" w:eastAsiaTheme="minorEastAsia" w:cstheme="minorEastAsia"/>
                <w:i w:val="0"/>
                <w:color w:val="auto"/>
                <w:sz w:val="20"/>
                <w:szCs w:val="20"/>
                <w:u w:val="none"/>
                <w:lang w:val="en-US"/>
              </w:rPr>
            </w:pPr>
            <w:r>
              <w:rPr>
                <w:rFonts w:hint="eastAsia" w:ascii="宋体" w:hAnsi="宋体" w:eastAsia="宋体" w:cs="宋体"/>
                <w:b w:val="0"/>
                <w:bCs w:val="0"/>
                <w:i w:val="0"/>
                <w:color w:val="auto"/>
                <w:kern w:val="0"/>
                <w:sz w:val="20"/>
                <w:szCs w:val="20"/>
                <w:u w:val="none"/>
                <w:lang w:val="en-US" w:eastAsia="zh-CN" w:bidi="ar"/>
              </w:rPr>
              <w:t>5000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B43E5E">
            <w:pPr>
              <w:keepNext w:val="0"/>
              <w:keepLines w:val="0"/>
              <w:widowControl/>
              <w:suppressLineNumbers w:val="0"/>
              <w:jc w:val="center"/>
              <w:textAlignment w:val="center"/>
              <w:rPr>
                <w:rFonts w:hint="eastAsia" w:asciiTheme="minorEastAsia" w:hAnsiTheme="minorEastAsia" w:eastAsiaTheme="minorEastAsia" w:cstheme="minorEastAsia"/>
                <w:i w:val="0"/>
                <w:color w:val="auto"/>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80B257">
            <w:pPr>
              <w:jc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3A6EDF95">
        <w:tblPrEx>
          <w:shd w:val="clear" w:color="auto" w:fill="auto"/>
          <w:tblCellMar>
            <w:top w:w="0" w:type="dxa"/>
            <w:left w:w="0" w:type="dxa"/>
            <w:bottom w:w="0" w:type="dxa"/>
            <w:right w:w="0" w:type="dxa"/>
          </w:tblCellMar>
        </w:tblPrEx>
        <w:trPr>
          <w:trHeight w:val="405"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7F69F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29</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EEF4D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骨髓纤维化</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66980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按年度统筹封顶</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5CA17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按年度统筹封顶</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3C3411">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937C22">
            <w:pPr>
              <w:jc w:val="center"/>
              <w:rPr>
                <w:rFonts w:hint="eastAsia" w:asciiTheme="minorEastAsia" w:hAnsiTheme="minorEastAsia" w:eastAsiaTheme="minorEastAsia" w:cstheme="minorEastAsia"/>
                <w:i w:val="0"/>
                <w:color w:val="000000"/>
                <w:sz w:val="20"/>
                <w:szCs w:val="20"/>
                <w:u w:val="none"/>
              </w:rPr>
            </w:pPr>
          </w:p>
        </w:tc>
      </w:tr>
      <w:tr w14:paraId="0DB1E5AB">
        <w:tblPrEx>
          <w:shd w:val="clear" w:color="auto" w:fill="auto"/>
          <w:tblCellMar>
            <w:top w:w="0" w:type="dxa"/>
            <w:left w:w="0" w:type="dxa"/>
            <w:bottom w:w="0" w:type="dxa"/>
            <w:right w:w="0" w:type="dxa"/>
          </w:tblCellMar>
        </w:tblPrEx>
        <w:trPr>
          <w:trHeight w:val="369"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D8B0D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30</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E24E3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骨髓增生异常综合征</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B758B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按年度统筹封顶</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FDD7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b w:val="0"/>
                <w:bCs w:val="0"/>
                <w:i w:val="0"/>
                <w:color w:val="000000"/>
                <w:kern w:val="0"/>
                <w:sz w:val="20"/>
                <w:szCs w:val="20"/>
                <w:u w:val="none"/>
                <w:lang w:val="en-US" w:eastAsia="zh-CN" w:bidi="ar"/>
              </w:rPr>
              <w:t>按年度统筹封顶</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3F4F97">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CA71CC9">
            <w:pPr>
              <w:jc w:val="center"/>
              <w:rPr>
                <w:rFonts w:hint="eastAsia" w:asciiTheme="minorEastAsia" w:hAnsiTheme="minorEastAsia" w:eastAsiaTheme="minorEastAsia" w:cstheme="minorEastAsia"/>
                <w:i w:val="0"/>
                <w:color w:val="000000"/>
                <w:sz w:val="20"/>
                <w:szCs w:val="20"/>
                <w:u w:val="none"/>
              </w:rPr>
            </w:pPr>
          </w:p>
        </w:tc>
      </w:tr>
      <w:tr w14:paraId="463141B2">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79B95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31</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08C00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C型尼曼匹克病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A4282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F69D3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5E4C6F">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D42C6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p>
        </w:tc>
      </w:tr>
      <w:tr w14:paraId="320CDB46">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7B833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32</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A0436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肢端肥大症</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CD4F6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6000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783C8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E5CDBE">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5774F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6C50196D">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24486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33</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BD9AE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多发性硬化</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9A075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6000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A3D7D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283CC4">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45711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45D1ADCD">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89249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34</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58CC7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强直性脊柱炎</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75833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56B53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33A722">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0205A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6D46239A">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60229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35</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206D1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银屑病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AB4D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C12FA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69F4E1">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319E18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794D321E">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73CCC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36</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A05B0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克罗恩病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680D0B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C7339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219D9D4">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1B938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4532BBF4">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A0670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37</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85993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溃疡性结肠炎</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8C1BB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F79F6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787C1F">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0E1E3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4D705417">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354DC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38</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010BD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湿性年龄相关性黄斑变性</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B8975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1600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128E3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1400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3F7D08">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2AF7E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611C5F54">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27347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39</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C4EC9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糖尿病黄斑水肿</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E1FAE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1600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E1753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1400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FEE46B">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7C79E6">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0238C7D8">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2D3A9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40</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E9855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脉络膜新生血管</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DAA86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1600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88E79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1400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28F7F4">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6C934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53DBA662">
        <w:tblPrEx>
          <w:shd w:val="clear" w:color="auto" w:fill="auto"/>
          <w:tblCellMar>
            <w:top w:w="0" w:type="dxa"/>
            <w:left w:w="0" w:type="dxa"/>
            <w:bottom w:w="0" w:type="dxa"/>
            <w:right w:w="0" w:type="dxa"/>
          </w:tblCellMar>
        </w:tblPrEx>
        <w:trPr>
          <w:trHeight w:val="987"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0182B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41</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81214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视网膜静脉阻塞所致黄斑水肿</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54218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1600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73962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1400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B8E29E">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260D96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月度支付限额当年度待遇有效期内累积使用</w:t>
            </w:r>
          </w:p>
        </w:tc>
      </w:tr>
      <w:tr w14:paraId="46480ED8">
        <w:tblPrEx>
          <w:shd w:val="clear" w:color="auto" w:fill="auto"/>
          <w:tblCellMar>
            <w:top w:w="0" w:type="dxa"/>
            <w:left w:w="0" w:type="dxa"/>
            <w:bottom w:w="0" w:type="dxa"/>
            <w:right w:w="0" w:type="dxa"/>
          </w:tblCellMar>
        </w:tblPrEx>
        <w:trPr>
          <w:trHeight w:val="462"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3629C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42</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A17D5D">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精神分裂症</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0E606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141BE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5E65E3">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F93829">
            <w:pPr>
              <w:jc w:val="center"/>
              <w:rPr>
                <w:rFonts w:hint="eastAsia" w:asciiTheme="minorEastAsia" w:hAnsiTheme="minorEastAsia" w:eastAsiaTheme="minorEastAsia" w:cstheme="minorEastAsia"/>
                <w:i w:val="0"/>
                <w:color w:val="000000"/>
                <w:sz w:val="20"/>
                <w:szCs w:val="20"/>
                <w:u w:val="none"/>
              </w:rPr>
            </w:pPr>
          </w:p>
        </w:tc>
      </w:tr>
      <w:tr w14:paraId="6E369C46">
        <w:tblPrEx>
          <w:shd w:val="clear" w:color="auto" w:fill="auto"/>
          <w:tblCellMar>
            <w:top w:w="0" w:type="dxa"/>
            <w:left w:w="0" w:type="dxa"/>
            <w:bottom w:w="0" w:type="dxa"/>
            <w:right w:w="0" w:type="dxa"/>
          </w:tblCellMar>
        </w:tblPrEx>
        <w:trPr>
          <w:trHeight w:val="424"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DDBE0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43</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8EF40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分裂情感性障碍</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350D3A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3BCBE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A7EDD9">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78E070">
            <w:pPr>
              <w:jc w:val="center"/>
              <w:rPr>
                <w:rFonts w:hint="eastAsia" w:asciiTheme="minorEastAsia" w:hAnsiTheme="minorEastAsia" w:eastAsiaTheme="minorEastAsia" w:cstheme="minorEastAsia"/>
                <w:i w:val="0"/>
                <w:color w:val="000000"/>
                <w:sz w:val="20"/>
                <w:szCs w:val="20"/>
                <w:u w:val="none"/>
              </w:rPr>
            </w:pPr>
          </w:p>
        </w:tc>
      </w:tr>
      <w:tr w14:paraId="4FEEF1D6">
        <w:tblPrEx>
          <w:shd w:val="clear" w:color="auto" w:fill="auto"/>
          <w:tblCellMar>
            <w:top w:w="0" w:type="dxa"/>
            <w:left w:w="0" w:type="dxa"/>
            <w:bottom w:w="0" w:type="dxa"/>
            <w:right w:w="0" w:type="dxa"/>
          </w:tblCellMar>
        </w:tblPrEx>
        <w:trPr>
          <w:trHeight w:val="503"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648A2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44</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C8564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持久的妄想性障碍（偏执性精神病）</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0F102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A9F3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83D100">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BBC122">
            <w:pPr>
              <w:jc w:val="center"/>
              <w:rPr>
                <w:rFonts w:hint="eastAsia" w:asciiTheme="minorEastAsia" w:hAnsiTheme="minorEastAsia" w:eastAsiaTheme="minorEastAsia" w:cstheme="minorEastAsia"/>
                <w:i w:val="0"/>
                <w:color w:val="000000"/>
                <w:sz w:val="20"/>
                <w:szCs w:val="20"/>
                <w:u w:val="none"/>
              </w:rPr>
            </w:pPr>
          </w:p>
        </w:tc>
      </w:tr>
      <w:tr w14:paraId="55324A18">
        <w:tblPrEx>
          <w:shd w:val="clear" w:color="auto" w:fill="auto"/>
          <w:tblCellMar>
            <w:top w:w="0" w:type="dxa"/>
            <w:left w:w="0" w:type="dxa"/>
            <w:bottom w:w="0" w:type="dxa"/>
            <w:right w:w="0" w:type="dxa"/>
          </w:tblCellMar>
        </w:tblPrEx>
        <w:trPr>
          <w:trHeight w:val="425"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4BE9A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45</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54D0C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双相（情感）障碍</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4B8E5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8D503C">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3DCCB4">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9EC361">
            <w:pPr>
              <w:jc w:val="center"/>
              <w:rPr>
                <w:rFonts w:hint="eastAsia" w:asciiTheme="minorEastAsia" w:hAnsiTheme="minorEastAsia" w:eastAsiaTheme="minorEastAsia" w:cstheme="minorEastAsia"/>
                <w:i w:val="0"/>
                <w:color w:val="000000"/>
                <w:sz w:val="20"/>
                <w:szCs w:val="20"/>
                <w:u w:val="none"/>
              </w:rPr>
            </w:pPr>
          </w:p>
        </w:tc>
      </w:tr>
      <w:tr w14:paraId="363DB393">
        <w:tblPrEx>
          <w:shd w:val="clear" w:color="auto" w:fill="auto"/>
          <w:tblCellMar>
            <w:top w:w="0" w:type="dxa"/>
            <w:left w:w="0" w:type="dxa"/>
            <w:bottom w:w="0" w:type="dxa"/>
            <w:right w:w="0" w:type="dxa"/>
          </w:tblCellMar>
        </w:tblPrEx>
        <w:trPr>
          <w:trHeight w:val="406"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EFE26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46</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BD9C6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癫痫所致精神障碍</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8B660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A9EAC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C1E4FD">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CD2692">
            <w:pPr>
              <w:jc w:val="center"/>
              <w:rPr>
                <w:rFonts w:hint="eastAsia" w:asciiTheme="minorEastAsia" w:hAnsiTheme="minorEastAsia" w:eastAsiaTheme="minorEastAsia" w:cstheme="minorEastAsia"/>
                <w:i w:val="0"/>
                <w:color w:val="000000"/>
                <w:sz w:val="20"/>
                <w:szCs w:val="20"/>
                <w:u w:val="none"/>
              </w:rPr>
            </w:pPr>
          </w:p>
        </w:tc>
      </w:tr>
      <w:tr w14:paraId="1BA2C066">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AABB2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47</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75239A">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精神发育迟滞伴发精神障碍</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75880F">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400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D32CC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8194BE">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65EF1EB">
            <w:pPr>
              <w:jc w:val="center"/>
              <w:rPr>
                <w:rFonts w:hint="eastAsia" w:asciiTheme="minorEastAsia" w:hAnsiTheme="minorEastAsia" w:eastAsiaTheme="minorEastAsia" w:cstheme="minorEastAsia"/>
                <w:i w:val="0"/>
                <w:color w:val="000000"/>
                <w:sz w:val="20"/>
                <w:szCs w:val="20"/>
                <w:u w:val="none"/>
              </w:rPr>
            </w:pPr>
          </w:p>
        </w:tc>
      </w:tr>
      <w:tr w14:paraId="4D200137">
        <w:tblPrEx>
          <w:shd w:val="clear" w:color="auto" w:fill="auto"/>
          <w:tblCellMar>
            <w:top w:w="0" w:type="dxa"/>
            <w:left w:w="0" w:type="dxa"/>
            <w:bottom w:w="0" w:type="dxa"/>
            <w:right w:w="0" w:type="dxa"/>
          </w:tblCellMar>
        </w:tblPrEx>
        <w:trPr>
          <w:trHeight w:val="60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086297">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48</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3D739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慢性肾功能不全（血透治疗）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73B43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653C5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E1228D">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478C09">
            <w:pPr>
              <w:jc w:val="center"/>
              <w:rPr>
                <w:rFonts w:hint="eastAsia" w:asciiTheme="minorEastAsia" w:hAnsiTheme="minorEastAsia" w:eastAsiaTheme="minorEastAsia" w:cstheme="minorEastAsia"/>
                <w:i w:val="0"/>
                <w:color w:val="000000"/>
                <w:sz w:val="20"/>
                <w:szCs w:val="20"/>
                <w:u w:val="none"/>
              </w:rPr>
            </w:pPr>
          </w:p>
        </w:tc>
      </w:tr>
      <w:tr w14:paraId="357B868E">
        <w:tblPrEx>
          <w:shd w:val="clear" w:color="auto" w:fill="auto"/>
          <w:tblCellMar>
            <w:top w:w="0" w:type="dxa"/>
            <w:left w:w="0" w:type="dxa"/>
            <w:bottom w:w="0" w:type="dxa"/>
            <w:right w:w="0" w:type="dxa"/>
          </w:tblCellMar>
        </w:tblPrEx>
        <w:trPr>
          <w:trHeight w:val="60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0AAAA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49</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A2DBE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慢性肾功能不全（腹透治疗）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7814D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B36AB2">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311F52">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B31D99">
            <w:pPr>
              <w:jc w:val="center"/>
              <w:rPr>
                <w:rFonts w:hint="eastAsia" w:asciiTheme="minorEastAsia" w:hAnsiTheme="minorEastAsia" w:eastAsiaTheme="minorEastAsia" w:cstheme="minorEastAsia"/>
                <w:i w:val="0"/>
                <w:color w:val="000000"/>
                <w:sz w:val="20"/>
                <w:szCs w:val="20"/>
                <w:u w:val="none"/>
              </w:rPr>
            </w:pPr>
          </w:p>
        </w:tc>
      </w:tr>
      <w:tr w14:paraId="0F45146F">
        <w:tblPrEx>
          <w:shd w:val="clear" w:color="auto" w:fill="auto"/>
          <w:tblCellMar>
            <w:top w:w="0" w:type="dxa"/>
            <w:left w:w="0" w:type="dxa"/>
            <w:bottom w:w="0" w:type="dxa"/>
            <w:right w:w="0" w:type="dxa"/>
          </w:tblCellMar>
        </w:tblPrEx>
        <w:trPr>
          <w:trHeight w:val="60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44D29C">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50</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48994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恶性肿瘤（化疗，含生物靶向药物、内分泌治疗）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B5421C">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10CA203">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A258DA">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46C083">
            <w:pPr>
              <w:jc w:val="center"/>
              <w:rPr>
                <w:rFonts w:hint="eastAsia" w:asciiTheme="minorEastAsia" w:hAnsiTheme="minorEastAsia" w:eastAsiaTheme="minorEastAsia" w:cstheme="minorEastAsia"/>
                <w:i w:val="0"/>
                <w:color w:val="000000"/>
                <w:sz w:val="20"/>
                <w:szCs w:val="20"/>
                <w:u w:val="none"/>
              </w:rPr>
            </w:pPr>
          </w:p>
        </w:tc>
      </w:tr>
      <w:tr w14:paraId="3F088FC7">
        <w:tblPrEx>
          <w:shd w:val="clear" w:color="auto" w:fill="auto"/>
          <w:tblCellMar>
            <w:top w:w="0" w:type="dxa"/>
            <w:left w:w="0" w:type="dxa"/>
            <w:bottom w:w="0" w:type="dxa"/>
            <w:right w:w="0" w:type="dxa"/>
          </w:tblCellMar>
        </w:tblPrEx>
        <w:trPr>
          <w:trHeight w:val="60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0A5D8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51</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C52AD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恶性肿瘤（放疗）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1FA619">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3E3B8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按年度统筹封顶</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DBD9E7">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2年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1B7564">
            <w:pPr>
              <w:jc w:val="center"/>
              <w:rPr>
                <w:rFonts w:hint="eastAsia" w:asciiTheme="minorEastAsia" w:hAnsiTheme="minorEastAsia" w:eastAsiaTheme="minorEastAsia" w:cstheme="minorEastAsia"/>
                <w:i w:val="0"/>
                <w:color w:val="000000"/>
                <w:sz w:val="20"/>
                <w:szCs w:val="20"/>
                <w:u w:val="none"/>
              </w:rPr>
            </w:pPr>
          </w:p>
        </w:tc>
      </w:tr>
      <w:tr w14:paraId="1C7764AE">
        <w:tblPrEx>
          <w:shd w:val="clear" w:color="auto" w:fill="auto"/>
          <w:tblCellMar>
            <w:top w:w="0" w:type="dxa"/>
            <w:left w:w="0" w:type="dxa"/>
            <w:bottom w:w="0" w:type="dxa"/>
            <w:right w:w="0" w:type="dxa"/>
          </w:tblCellMar>
        </w:tblPrEx>
        <w:trPr>
          <w:trHeight w:val="310"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6E4360">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52</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A68B4E">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新冠病毒感染</w:t>
            </w:r>
            <w:bookmarkStart w:id="0" w:name="_GoBack"/>
            <w:bookmarkEnd w:id="0"/>
            <w:r>
              <w:rPr>
                <w:rFonts w:hint="eastAsia" w:ascii="宋体" w:hAnsi="宋体" w:eastAsia="宋体" w:cs="宋体"/>
                <w:i w:val="0"/>
                <w:color w:val="000000"/>
                <w:kern w:val="0"/>
                <w:sz w:val="20"/>
                <w:szCs w:val="20"/>
                <w:u w:val="none"/>
                <w:lang w:val="en-US" w:eastAsia="zh-CN" w:bidi="ar"/>
              </w:rPr>
              <w:t>出院患者门诊康复治疗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2ABE1B">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900</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4E2AF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A8EF63">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3年</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0FAD28">
            <w:pPr>
              <w:jc w:val="center"/>
              <w:rPr>
                <w:rFonts w:hint="eastAsia" w:asciiTheme="minorEastAsia" w:hAnsiTheme="minorEastAsia" w:eastAsiaTheme="minorEastAsia" w:cstheme="minorEastAsia"/>
                <w:i w:val="0"/>
                <w:color w:val="000000"/>
                <w:sz w:val="20"/>
                <w:szCs w:val="20"/>
                <w:u w:val="none"/>
              </w:rPr>
            </w:pPr>
          </w:p>
        </w:tc>
      </w:tr>
      <w:tr w14:paraId="1C6D498E">
        <w:tblPrEx>
          <w:shd w:val="clear" w:color="auto" w:fill="auto"/>
          <w:tblCellMar>
            <w:top w:w="0" w:type="dxa"/>
            <w:left w:w="0" w:type="dxa"/>
            <w:bottom w:w="0" w:type="dxa"/>
            <w:right w:w="0" w:type="dxa"/>
          </w:tblCellMar>
        </w:tblPrEx>
        <w:trPr>
          <w:trHeight w:val="441" w:hRule="atLeast"/>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9A88B5">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53</w:t>
            </w:r>
          </w:p>
        </w:tc>
        <w:tc>
          <w:tcPr>
            <w:tcW w:w="186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55A7B8">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脑瘫</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78A084">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875721">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1213"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E909CB">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0"/>
                <w:szCs w:val="20"/>
                <w:u w:val="none"/>
                <w:lang w:val="en-US" w:eastAsia="zh-CN" w:bidi="ar"/>
              </w:rPr>
            </w:pPr>
            <w:r>
              <w:rPr>
                <w:rFonts w:hint="eastAsia" w:asciiTheme="minorEastAsia" w:hAnsiTheme="minorEastAsia" w:eastAsiaTheme="minorEastAsia" w:cstheme="minorEastAsia"/>
                <w:i w:val="0"/>
                <w:color w:val="000000"/>
                <w:kern w:val="0"/>
                <w:sz w:val="20"/>
                <w:szCs w:val="20"/>
                <w:u w:val="none"/>
                <w:lang w:val="en-US" w:eastAsia="zh-CN" w:bidi="ar"/>
              </w:rPr>
              <w:t>长期</w:t>
            </w:r>
          </w:p>
        </w:tc>
        <w:tc>
          <w:tcPr>
            <w:tcW w:w="213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DF998D">
            <w:pPr>
              <w:jc w:val="center"/>
              <w:rPr>
                <w:rFonts w:hint="eastAsia" w:asciiTheme="minorEastAsia" w:hAnsiTheme="minorEastAsia" w:eastAsiaTheme="minorEastAsia" w:cstheme="minorEastAsia"/>
                <w:i w:val="0"/>
                <w:color w:val="000000"/>
                <w:sz w:val="20"/>
                <w:szCs w:val="20"/>
                <w:u w:val="none"/>
              </w:rPr>
            </w:pPr>
          </w:p>
        </w:tc>
      </w:tr>
    </w:tbl>
    <w:p w14:paraId="7E751274">
      <w:pPr>
        <w:rPr>
          <w:rFonts w:hint="default" w:ascii="仿宋" w:hAnsi="仿宋" w:eastAsia="仿宋" w:cs="仿宋"/>
          <w:sz w:val="32"/>
          <w:szCs w:val="32"/>
          <w:lang w:val="en-US" w:eastAsia="zh-CN"/>
        </w:rPr>
      </w:pPr>
    </w:p>
    <w:p w14:paraId="42BA60B2">
      <w:pPr>
        <w:rPr>
          <w:rFonts w:hint="default" w:ascii="仿宋" w:hAnsi="仿宋" w:eastAsia="仿宋" w:cs="仿宋"/>
          <w:sz w:val="32"/>
          <w:szCs w:val="32"/>
          <w:lang w:val="en-US" w:eastAsia="zh-CN"/>
        </w:rPr>
      </w:pPr>
    </w:p>
    <w:p w14:paraId="5B6AD7CC">
      <w:pPr>
        <w:numPr>
          <w:ilvl w:val="0"/>
          <w:numId w:val="0"/>
        </w:numPr>
        <w:autoSpaceDE/>
        <w:autoSpaceDN/>
        <w:adjustRightInd/>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2100627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sz w:val="32"/>
          <w:szCs w:val="32"/>
          <w:lang w:val="en-US" w:eastAsia="zh-CN"/>
        </w:rPr>
      </w:pPr>
    </w:p>
    <w:tbl>
      <w:tblPr>
        <w:tblStyle w:val="8"/>
        <w:tblW w:w="8424" w:type="dxa"/>
        <w:tblInd w:w="91" w:type="dxa"/>
        <w:tblLayout w:type="fixed"/>
        <w:tblCellMar>
          <w:top w:w="0" w:type="dxa"/>
          <w:left w:w="108" w:type="dxa"/>
          <w:bottom w:w="0" w:type="dxa"/>
          <w:right w:w="108" w:type="dxa"/>
        </w:tblCellMar>
      </w:tblPr>
      <w:tblGrid>
        <w:gridCol w:w="3721"/>
        <w:gridCol w:w="1567"/>
        <w:gridCol w:w="1567"/>
        <w:gridCol w:w="1569"/>
      </w:tblGrid>
      <w:tr w14:paraId="706918AF">
        <w:tblPrEx>
          <w:tblCellMar>
            <w:top w:w="0" w:type="dxa"/>
            <w:left w:w="108" w:type="dxa"/>
            <w:bottom w:w="0" w:type="dxa"/>
            <w:right w:w="108" w:type="dxa"/>
          </w:tblCellMar>
        </w:tblPrEx>
        <w:trPr>
          <w:trHeight w:val="240" w:hRule="atLeast"/>
        </w:trPr>
        <w:tc>
          <w:tcPr>
            <w:tcW w:w="8424" w:type="dxa"/>
            <w:gridSpan w:val="4"/>
            <w:tcBorders>
              <w:top w:val="nil"/>
              <w:left w:val="nil"/>
              <w:bottom w:val="nil"/>
              <w:right w:val="nil"/>
            </w:tcBorders>
            <w:shd w:val="clear" w:color="auto" w:fill="auto"/>
            <w:vAlign w:val="center"/>
          </w:tcPr>
          <w:p w14:paraId="7BAE2571">
            <w:pPr>
              <w:widowControl/>
              <w:jc w:val="center"/>
              <w:rPr>
                <w:rFonts w:hint="eastAsia" w:asciiTheme="minorEastAsia" w:hAnsiTheme="minorEastAsia" w:eastAsiaTheme="minorEastAsia" w:cstheme="minorEastAsia"/>
                <w:b/>
                <w:bCs/>
                <w:color w:val="000000"/>
                <w:kern w:val="0"/>
                <w:sz w:val="28"/>
                <w:szCs w:val="28"/>
              </w:rPr>
            </w:pPr>
            <w:r>
              <w:rPr>
                <w:rFonts w:hint="eastAsia" w:asciiTheme="minorEastAsia" w:hAnsiTheme="minorEastAsia" w:eastAsiaTheme="minorEastAsia" w:cstheme="minorEastAsia"/>
                <w:b/>
                <w:bCs/>
                <w:color w:val="000000"/>
                <w:kern w:val="0"/>
                <w:sz w:val="28"/>
                <w:szCs w:val="28"/>
              </w:rPr>
              <w:t>阳江市职工生育保险</w:t>
            </w:r>
            <w:r>
              <w:rPr>
                <w:rFonts w:hint="eastAsia" w:asciiTheme="minorEastAsia" w:hAnsiTheme="minorEastAsia" w:eastAsiaTheme="minorEastAsia" w:cstheme="minorEastAsia"/>
                <w:b/>
                <w:bCs/>
                <w:color w:val="000000"/>
                <w:kern w:val="0"/>
                <w:sz w:val="28"/>
                <w:szCs w:val="28"/>
                <w:lang w:val="en-US" w:eastAsia="zh-CN"/>
              </w:rPr>
              <w:t>定点医疗机构</w:t>
            </w:r>
            <w:r>
              <w:rPr>
                <w:rFonts w:hint="eastAsia" w:asciiTheme="minorEastAsia" w:hAnsiTheme="minorEastAsia" w:eastAsiaTheme="minorEastAsia" w:cstheme="minorEastAsia"/>
                <w:b/>
                <w:bCs/>
                <w:color w:val="000000"/>
                <w:kern w:val="0"/>
                <w:sz w:val="28"/>
                <w:szCs w:val="28"/>
              </w:rPr>
              <w:t>定额结算标准</w:t>
            </w:r>
          </w:p>
        </w:tc>
      </w:tr>
      <w:tr w14:paraId="30AC3075">
        <w:tblPrEx>
          <w:tblCellMar>
            <w:top w:w="0" w:type="dxa"/>
            <w:left w:w="108" w:type="dxa"/>
            <w:bottom w:w="0" w:type="dxa"/>
            <w:right w:w="108" w:type="dxa"/>
          </w:tblCellMar>
        </w:tblPrEx>
        <w:trPr>
          <w:trHeight w:val="357" w:hRule="atLeast"/>
        </w:trPr>
        <w:tc>
          <w:tcPr>
            <w:tcW w:w="3721" w:type="dxa"/>
            <w:tcBorders>
              <w:top w:val="nil"/>
              <w:left w:val="nil"/>
              <w:bottom w:val="nil"/>
              <w:right w:val="nil"/>
            </w:tcBorders>
            <w:shd w:val="clear" w:color="auto" w:fill="auto"/>
            <w:vAlign w:val="center"/>
          </w:tcPr>
          <w:p w14:paraId="2109EE09">
            <w:pPr>
              <w:widowControl/>
              <w:jc w:val="center"/>
              <w:rPr>
                <w:rFonts w:hint="eastAsia" w:asciiTheme="minorEastAsia" w:hAnsiTheme="minorEastAsia" w:eastAsiaTheme="minorEastAsia" w:cstheme="minorEastAsia"/>
                <w:color w:val="000000"/>
                <w:kern w:val="0"/>
                <w:szCs w:val="21"/>
              </w:rPr>
            </w:pPr>
          </w:p>
        </w:tc>
        <w:tc>
          <w:tcPr>
            <w:tcW w:w="1567" w:type="dxa"/>
            <w:tcBorders>
              <w:top w:val="nil"/>
              <w:left w:val="nil"/>
              <w:bottom w:val="nil"/>
              <w:right w:val="nil"/>
            </w:tcBorders>
            <w:shd w:val="clear" w:color="auto" w:fill="auto"/>
            <w:vAlign w:val="center"/>
          </w:tcPr>
          <w:p w14:paraId="26BF42EA">
            <w:pPr>
              <w:widowControl/>
              <w:jc w:val="center"/>
              <w:rPr>
                <w:rFonts w:hint="eastAsia" w:asciiTheme="minorEastAsia" w:hAnsiTheme="minorEastAsia" w:eastAsiaTheme="minorEastAsia" w:cstheme="minorEastAsia"/>
                <w:color w:val="000000"/>
                <w:kern w:val="0"/>
                <w:szCs w:val="21"/>
              </w:rPr>
            </w:pPr>
          </w:p>
        </w:tc>
        <w:tc>
          <w:tcPr>
            <w:tcW w:w="1567" w:type="dxa"/>
            <w:tcBorders>
              <w:top w:val="nil"/>
              <w:left w:val="nil"/>
              <w:bottom w:val="nil"/>
              <w:right w:val="nil"/>
            </w:tcBorders>
            <w:shd w:val="clear" w:color="auto" w:fill="auto"/>
            <w:vAlign w:val="center"/>
          </w:tcPr>
          <w:p w14:paraId="75CE1D2F">
            <w:pPr>
              <w:widowControl/>
              <w:jc w:val="center"/>
              <w:rPr>
                <w:rFonts w:hint="eastAsia" w:asciiTheme="minorEastAsia" w:hAnsiTheme="minorEastAsia" w:eastAsiaTheme="minorEastAsia" w:cstheme="minorEastAsia"/>
                <w:color w:val="000000"/>
                <w:kern w:val="0"/>
                <w:szCs w:val="21"/>
              </w:rPr>
            </w:pPr>
          </w:p>
        </w:tc>
        <w:tc>
          <w:tcPr>
            <w:tcW w:w="1569" w:type="dxa"/>
            <w:tcBorders>
              <w:top w:val="nil"/>
              <w:left w:val="nil"/>
              <w:bottom w:val="nil"/>
              <w:right w:val="nil"/>
            </w:tcBorders>
            <w:shd w:val="clear" w:color="auto" w:fill="auto"/>
            <w:vAlign w:val="center"/>
          </w:tcPr>
          <w:p w14:paraId="7D2BFD7E">
            <w:pPr>
              <w:widowControl/>
              <w:jc w:val="righ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单位：元</w:t>
            </w:r>
          </w:p>
        </w:tc>
      </w:tr>
      <w:tr w14:paraId="5E0C6F11">
        <w:tblPrEx>
          <w:tblCellMar>
            <w:top w:w="0" w:type="dxa"/>
            <w:left w:w="108" w:type="dxa"/>
            <w:bottom w:w="0" w:type="dxa"/>
            <w:right w:w="108" w:type="dxa"/>
          </w:tblCellMar>
        </w:tblPrEx>
        <w:trPr>
          <w:trHeight w:val="679" w:hRule="atLeast"/>
        </w:trPr>
        <w:tc>
          <w:tcPr>
            <w:tcW w:w="3721" w:type="dxa"/>
            <w:tcBorders>
              <w:top w:val="single" w:color="auto" w:sz="4" w:space="0"/>
              <w:left w:val="single" w:color="auto" w:sz="4" w:space="0"/>
              <w:bottom w:val="single" w:color="auto" w:sz="4" w:space="0"/>
              <w:right w:val="single" w:color="auto" w:sz="4" w:space="0"/>
            </w:tcBorders>
            <w:shd w:val="clear" w:color="auto" w:fill="auto"/>
            <w:vAlign w:val="center"/>
          </w:tcPr>
          <w:p w14:paraId="5AB30942">
            <w:pPr>
              <w:widowControl/>
              <w:jc w:val="center"/>
              <w:rPr>
                <w:rFonts w:hint="eastAsia" w:asciiTheme="minorEastAsia" w:hAnsiTheme="minorEastAsia" w:eastAsiaTheme="minorEastAsia" w:cstheme="minorEastAsia"/>
                <w:bCs/>
                <w:color w:val="000000"/>
                <w:kern w:val="0"/>
                <w:szCs w:val="21"/>
              </w:rPr>
            </w:pPr>
            <w:r>
              <w:rPr>
                <w:rFonts w:hint="eastAsia" w:asciiTheme="minorEastAsia" w:hAnsiTheme="minorEastAsia" w:eastAsiaTheme="minorEastAsia" w:cstheme="minorEastAsia"/>
                <w:bCs/>
                <w:color w:val="000000"/>
                <w:kern w:val="0"/>
                <w:szCs w:val="21"/>
              </w:rPr>
              <w:t>结算项目</w:t>
            </w:r>
          </w:p>
        </w:tc>
        <w:tc>
          <w:tcPr>
            <w:tcW w:w="1567" w:type="dxa"/>
            <w:tcBorders>
              <w:top w:val="single" w:color="auto" w:sz="4" w:space="0"/>
              <w:left w:val="nil"/>
              <w:bottom w:val="single" w:color="auto" w:sz="4" w:space="0"/>
              <w:right w:val="single" w:color="auto" w:sz="4" w:space="0"/>
            </w:tcBorders>
            <w:shd w:val="clear" w:color="auto" w:fill="auto"/>
            <w:vAlign w:val="center"/>
          </w:tcPr>
          <w:p w14:paraId="2094D667">
            <w:pPr>
              <w:widowControl/>
              <w:jc w:val="center"/>
              <w:rPr>
                <w:rFonts w:hint="eastAsia" w:asciiTheme="minorEastAsia" w:hAnsiTheme="minorEastAsia" w:eastAsiaTheme="minorEastAsia" w:cstheme="minorEastAsia"/>
                <w:bCs/>
                <w:color w:val="000000"/>
                <w:kern w:val="0"/>
                <w:szCs w:val="21"/>
              </w:rPr>
            </w:pPr>
            <w:r>
              <w:rPr>
                <w:rFonts w:hint="eastAsia" w:asciiTheme="minorEastAsia" w:hAnsiTheme="minorEastAsia" w:eastAsiaTheme="minorEastAsia" w:cstheme="minorEastAsia"/>
                <w:bCs/>
                <w:color w:val="000000"/>
                <w:kern w:val="0"/>
                <w:szCs w:val="21"/>
              </w:rPr>
              <w:t>三级医疗机构定额</w:t>
            </w:r>
          </w:p>
        </w:tc>
        <w:tc>
          <w:tcPr>
            <w:tcW w:w="1567" w:type="dxa"/>
            <w:tcBorders>
              <w:top w:val="single" w:color="auto" w:sz="4" w:space="0"/>
              <w:left w:val="nil"/>
              <w:bottom w:val="single" w:color="auto" w:sz="4" w:space="0"/>
              <w:right w:val="single" w:color="auto" w:sz="4" w:space="0"/>
            </w:tcBorders>
            <w:shd w:val="clear" w:color="auto" w:fill="auto"/>
            <w:vAlign w:val="center"/>
          </w:tcPr>
          <w:p w14:paraId="2BBBE29F">
            <w:pPr>
              <w:widowControl/>
              <w:jc w:val="center"/>
              <w:rPr>
                <w:rFonts w:hint="eastAsia" w:asciiTheme="minorEastAsia" w:hAnsiTheme="minorEastAsia" w:eastAsiaTheme="minorEastAsia" w:cstheme="minorEastAsia"/>
                <w:bCs/>
                <w:color w:val="000000"/>
                <w:kern w:val="0"/>
                <w:szCs w:val="21"/>
              </w:rPr>
            </w:pPr>
            <w:r>
              <w:rPr>
                <w:rFonts w:hint="eastAsia" w:asciiTheme="minorEastAsia" w:hAnsiTheme="minorEastAsia" w:eastAsiaTheme="minorEastAsia" w:cstheme="minorEastAsia"/>
                <w:bCs/>
                <w:color w:val="000000"/>
                <w:kern w:val="0"/>
                <w:szCs w:val="21"/>
              </w:rPr>
              <w:t>二级医疗机构定额</w:t>
            </w:r>
          </w:p>
        </w:tc>
        <w:tc>
          <w:tcPr>
            <w:tcW w:w="1569" w:type="dxa"/>
            <w:tcBorders>
              <w:top w:val="single" w:color="auto" w:sz="4" w:space="0"/>
              <w:left w:val="nil"/>
              <w:bottom w:val="single" w:color="auto" w:sz="4" w:space="0"/>
              <w:right w:val="single" w:color="auto" w:sz="4" w:space="0"/>
            </w:tcBorders>
            <w:shd w:val="clear" w:color="auto" w:fill="auto"/>
            <w:vAlign w:val="center"/>
          </w:tcPr>
          <w:p w14:paraId="30448A95">
            <w:pPr>
              <w:widowControl/>
              <w:jc w:val="center"/>
              <w:rPr>
                <w:rFonts w:hint="eastAsia" w:asciiTheme="minorEastAsia" w:hAnsiTheme="minorEastAsia" w:eastAsiaTheme="minorEastAsia" w:cstheme="minorEastAsia"/>
                <w:bCs/>
                <w:color w:val="000000"/>
                <w:kern w:val="0"/>
                <w:szCs w:val="21"/>
              </w:rPr>
            </w:pPr>
            <w:r>
              <w:rPr>
                <w:rFonts w:hint="eastAsia" w:asciiTheme="minorEastAsia" w:hAnsiTheme="minorEastAsia" w:eastAsiaTheme="minorEastAsia" w:cstheme="minorEastAsia"/>
                <w:bCs/>
                <w:color w:val="000000"/>
                <w:kern w:val="0"/>
                <w:szCs w:val="21"/>
              </w:rPr>
              <w:t>一级医疗机构定额</w:t>
            </w:r>
          </w:p>
        </w:tc>
      </w:tr>
      <w:tr w14:paraId="544B5358">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24987690">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分娩住院（含顺产、剖腹产）</w:t>
            </w:r>
          </w:p>
        </w:tc>
        <w:tc>
          <w:tcPr>
            <w:tcW w:w="1567" w:type="dxa"/>
            <w:tcBorders>
              <w:top w:val="nil"/>
              <w:left w:val="nil"/>
              <w:bottom w:val="single" w:color="auto" w:sz="4" w:space="0"/>
              <w:right w:val="single" w:color="auto" w:sz="4" w:space="0"/>
            </w:tcBorders>
            <w:shd w:val="clear" w:color="auto" w:fill="auto"/>
            <w:vAlign w:val="center"/>
          </w:tcPr>
          <w:p w14:paraId="2AB2255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rPr>
              <w:t xml:space="preserve">5300 </w:t>
            </w:r>
          </w:p>
        </w:tc>
        <w:tc>
          <w:tcPr>
            <w:tcW w:w="1567" w:type="dxa"/>
            <w:tcBorders>
              <w:top w:val="nil"/>
              <w:left w:val="nil"/>
              <w:bottom w:val="single" w:color="auto" w:sz="4" w:space="0"/>
              <w:right w:val="single" w:color="auto" w:sz="4" w:space="0"/>
            </w:tcBorders>
            <w:shd w:val="clear" w:color="auto" w:fill="auto"/>
            <w:vAlign w:val="center"/>
          </w:tcPr>
          <w:p w14:paraId="5EEE4D7B">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4800 </w:t>
            </w:r>
          </w:p>
        </w:tc>
        <w:tc>
          <w:tcPr>
            <w:tcW w:w="1569" w:type="dxa"/>
            <w:tcBorders>
              <w:top w:val="nil"/>
              <w:left w:val="nil"/>
              <w:bottom w:val="single" w:color="auto" w:sz="4" w:space="0"/>
              <w:right w:val="single" w:color="auto" w:sz="4" w:space="0"/>
            </w:tcBorders>
            <w:shd w:val="clear" w:color="auto" w:fill="auto"/>
            <w:vAlign w:val="center"/>
          </w:tcPr>
          <w:p w14:paraId="2C96CCCA">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4300 </w:t>
            </w:r>
          </w:p>
        </w:tc>
      </w:tr>
      <w:tr w14:paraId="7EE3EEF9">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214E1E1C">
            <w:pPr>
              <w:widowControl/>
              <w:jc w:val="center"/>
              <w:rPr>
                <w:rFonts w:hint="eastAsia"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宫外孕</w:t>
            </w:r>
          </w:p>
        </w:tc>
        <w:tc>
          <w:tcPr>
            <w:tcW w:w="1567" w:type="dxa"/>
            <w:tcBorders>
              <w:top w:val="nil"/>
              <w:left w:val="nil"/>
              <w:bottom w:val="single" w:color="auto" w:sz="4" w:space="0"/>
              <w:right w:val="single" w:color="auto" w:sz="4" w:space="0"/>
            </w:tcBorders>
            <w:shd w:val="clear" w:color="auto" w:fill="auto"/>
            <w:vAlign w:val="center"/>
          </w:tcPr>
          <w:p w14:paraId="2E002F1E">
            <w:pPr>
              <w:jc w:val="center"/>
              <w:rPr>
                <w:rFonts w:hint="eastAsia"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8800</w:t>
            </w:r>
          </w:p>
        </w:tc>
        <w:tc>
          <w:tcPr>
            <w:tcW w:w="1567" w:type="dxa"/>
            <w:tcBorders>
              <w:top w:val="nil"/>
              <w:left w:val="nil"/>
              <w:bottom w:val="single" w:color="auto" w:sz="4" w:space="0"/>
              <w:right w:val="single" w:color="auto" w:sz="4" w:space="0"/>
            </w:tcBorders>
            <w:shd w:val="clear" w:color="auto" w:fill="auto"/>
            <w:vAlign w:val="center"/>
          </w:tcPr>
          <w:p w14:paraId="357C6D66">
            <w:pPr>
              <w:jc w:val="center"/>
              <w:rPr>
                <w:rFonts w:hint="eastAsia"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8300</w:t>
            </w:r>
          </w:p>
        </w:tc>
        <w:tc>
          <w:tcPr>
            <w:tcW w:w="1569" w:type="dxa"/>
            <w:tcBorders>
              <w:top w:val="nil"/>
              <w:left w:val="nil"/>
              <w:bottom w:val="single" w:color="auto" w:sz="4" w:space="0"/>
              <w:right w:val="single" w:color="auto" w:sz="4" w:space="0"/>
            </w:tcBorders>
            <w:shd w:val="clear" w:color="auto" w:fill="auto"/>
            <w:vAlign w:val="center"/>
          </w:tcPr>
          <w:p w14:paraId="0A2F6B8D">
            <w:pPr>
              <w:jc w:val="center"/>
              <w:rPr>
                <w:rFonts w:hint="eastAsia" w:asciiTheme="minorEastAsia" w:hAnsiTheme="minorEastAsia" w:eastAsiaTheme="minorEastAsia" w:cstheme="minorEastAsia"/>
                <w:color w:val="000000"/>
                <w:lang w:val="en-US" w:eastAsia="zh-CN"/>
              </w:rPr>
            </w:pPr>
            <w:r>
              <w:rPr>
                <w:rFonts w:hint="eastAsia" w:asciiTheme="minorEastAsia" w:hAnsiTheme="minorEastAsia" w:eastAsiaTheme="minorEastAsia" w:cstheme="minorEastAsia"/>
                <w:color w:val="000000"/>
                <w:lang w:val="en-US" w:eastAsia="zh-CN"/>
              </w:rPr>
              <w:t>7800</w:t>
            </w:r>
          </w:p>
        </w:tc>
      </w:tr>
      <w:tr w14:paraId="276544C7">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5B50632D">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怀孕满7个月及以上的引产术（住院）</w:t>
            </w:r>
          </w:p>
        </w:tc>
        <w:tc>
          <w:tcPr>
            <w:tcW w:w="1567" w:type="dxa"/>
            <w:tcBorders>
              <w:top w:val="nil"/>
              <w:left w:val="nil"/>
              <w:bottom w:val="single" w:color="auto" w:sz="4" w:space="0"/>
              <w:right w:val="single" w:color="auto" w:sz="4" w:space="0"/>
            </w:tcBorders>
            <w:shd w:val="clear" w:color="auto" w:fill="auto"/>
            <w:vAlign w:val="center"/>
          </w:tcPr>
          <w:p w14:paraId="2EB0FC51">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4800 </w:t>
            </w:r>
          </w:p>
        </w:tc>
        <w:tc>
          <w:tcPr>
            <w:tcW w:w="1567" w:type="dxa"/>
            <w:tcBorders>
              <w:top w:val="nil"/>
              <w:left w:val="nil"/>
              <w:bottom w:val="single" w:color="auto" w:sz="4" w:space="0"/>
              <w:right w:val="single" w:color="auto" w:sz="4" w:space="0"/>
            </w:tcBorders>
            <w:shd w:val="clear" w:color="auto" w:fill="auto"/>
            <w:vAlign w:val="center"/>
          </w:tcPr>
          <w:p w14:paraId="28682F46">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4400 </w:t>
            </w:r>
          </w:p>
        </w:tc>
        <w:tc>
          <w:tcPr>
            <w:tcW w:w="1569" w:type="dxa"/>
            <w:tcBorders>
              <w:top w:val="nil"/>
              <w:left w:val="nil"/>
              <w:bottom w:val="single" w:color="auto" w:sz="4" w:space="0"/>
              <w:right w:val="single" w:color="auto" w:sz="4" w:space="0"/>
            </w:tcBorders>
            <w:shd w:val="clear" w:color="auto" w:fill="auto"/>
            <w:vAlign w:val="center"/>
          </w:tcPr>
          <w:p w14:paraId="0A9B074E">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4000 </w:t>
            </w:r>
          </w:p>
        </w:tc>
      </w:tr>
      <w:tr w14:paraId="4F71F915">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5E43A012">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怀孕满4个月不满7个月的流产、引产术（住院）</w:t>
            </w:r>
          </w:p>
        </w:tc>
        <w:tc>
          <w:tcPr>
            <w:tcW w:w="1567" w:type="dxa"/>
            <w:tcBorders>
              <w:top w:val="nil"/>
              <w:left w:val="nil"/>
              <w:bottom w:val="single" w:color="auto" w:sz="4" w:space="0"/>
              <w:right w:val="single" w:color="auto" w:sz="4" w:space="0"/>
            </w:tcBorders>
            <w:shd w:val="clear" w:color="auto" w:fill="auto"/>
            <w:vAlign w:val="center"/>
          </w:tcPr>
          <w:p w14:paraId="0D90A350">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3600 </w:t>
            </w:r>
          </w:p>
        </w:tc>
        <w:tc>
          <w:tcPr>
            <w:tcW w:w="1567" w:type="dxa"/>
            <w:tcBorders>
              <w:top w:val="nil"/>
              <w:left w:val="nil"/>
              <w:bottom w:val="single" w:color="auto" w:sz="4" w:space="0"/>
              <w:right w:val="single" w:color="auto" w:sz="4" w:space="0"/>
            </w:tcBorders>
            <w:shd w:val="clear" w:color="auto" w:fill="auto"/>
            <w:vAlign w:val="center"/>
          </w:tcPr>
          <w:p w14:paraId="7D9D6516">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3300 </w:t>
            </w:r>
          </w:p>
        </w:tc>
        <w:tc>
          <w:tcPr>
            <w:tcW w:w="1569" w:type="dxa"/>
            <w:tcBorders>
              <w:top w:val="nil"/>
              <w:left w:val="nil"/>
              <w:bottom w:val="single" w:color="auto" w:sz="4" w:space="0"/>
              <w:right w:val="single" w:color="auto" w:sz="4" w:space="0"/>
            </w:tcBorders>
            <w:shd w:val="clear" w:color="auto" w:fill="auto"/>
            <w:vAlign w:val="center"/>
          </w:tcPr>
          <w:p w14:paraId="356B6C45">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3000 </w:t>
            </w:r>
          </w:p>
        </w:tc>
      </w:tr>
      <w:tr w14:paraId="6458C4B2">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621C0ED7">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怀孕不满4个月的流产术（住院）</w:t>
            </w:r>
          </w:p>
        </w:tc>
        <w:tc>
          <w:tcPr>
            <w:tcW w:w="1567" w:type="dxa"/>
            <w:tcBorders>
              <w:top w:val="nil"/>
              <w:left w:val="nil"/>
              <w:bottom w:val="single" w:color="auto" w:sz="4" w:space="0"/>
              <w:right w:val="single" w:color="auto" w:sz="4" w:space="0"/>
            </w:tcBorders>
            <w:shd w:val="clear" w:color="auto" w:fill="auto"/>
            <w:vAlign w:val="center"/>
          </w:tcPr>
          <w:p w14:paraId="7FAEDFEE">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3000 </w:t>
            </w:r>
          </w:p>
        </w:tc>
        <w:tc>
          <w:tcPr>
            <w:tcW w:w="1567" w:type="dxa"/>
            <w:tcBorders>
              <w:top w:val="nil"/>
              <w:left w:val="nil"/>
              <w:bottom w:val="single" w:color="auto" w:sz="4" w:space="0"/>
              <w:right w:val="single" w:color="auto" w:sz="4" w:space="0"/>
            </w:tcBorders>
            <w:shd w:val="clear" w:color="auto" w:fill="auto"/>
            <w:vAlign w:val="center"/>
          </w:tcPr>
          <w:p w14:paraId="3FA19C81">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2700 </w:t>
            </w:r>
          </w:p>
        </w:tc>
        <w:tc>
          <w:tcPr>
            <w:tcW w:w="1569" w:type="dxa"/>
            <w:tcBorders>
              <w:top w:val="nil"/>
              <w:left w:val="nil"/>
              <w:bottom w:val="single" w:color="auto" w:sz="4" w:space="0"/>
              <w:right w:val="single" w:color="auto" w:sz="4" w:space="0"/>
            </w:tcBorders>
            <w:shd w:val="clear" w:color="auto" w:fill="auto"/>
            <w:vAlign w:val="center"/>
          </w:tcPr>
          <w:p w14:paraId="4FBACF66">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2400 </w:t>
            </w:r>
          </w:p>
        </w:tc>
      </w:tr>
      <w:tr w14:paraId="5672FFF9">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473282C1">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终止妊娠（门诊）</w:t>
            </w:r>
          </w:p>
        </w:tc>
        <w:tc>
          <w:tcPr>
            <w:tcW w:w="1567" w:type="dxa"/>
            <w:tcBorders>
              <w:top w:val="nil"/>
              <w:left w:val="nil"/>
              <w:bottom w:val="single" w:color="auto" w:sz="4" w:space="0"/>
              <w:right w:val="single" w:color="auto" w:sz="4" w:space="0"/>
            </w:tcBorders>
            <w:shd w:val="clear" w:color="auto" w:fill="auto"/>
            <w:vAlign w:val="center"/>
          </w:tcPr>
          <w:p w14:paraId="18497784">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1200 </w:t>
            </w:r>
          </w:p>
        </w:tc>
        <w:tc>
          <w:tcPr>
            <w:tcW w:w="1567" w:type="dxa"/>
            <w:tcBorders>
              <w:top w:val="nil"/>
              <w:left w:val="nil"/>
              <w:bottom w:val="single" w:color="auto" w:sz="4" w:space="0"/>
              <w:right w:val="single" w:color="auto" w:sz="4" w:space="0"/>
            </w:tcBorders>
            <w:shd w:val="clear" w:color="auto" w:fill="auto"/>
            <w:vAlign w:val="center"/>
          </w:tcPr>
          <w:p w14:paraId="27157DB7">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1000 </w:t>
            </w:r>
          </w:p>
        </w:tc>
        <w:tc>
          <w:tcPr>
            <w:tcW w:w="1569" w:type="dxa"/>
            <w:tcBorders>
              <w:top w:val="nil"/>
              <w:left w:val="nil"/>
              <w:bottom w:val="single" w:color="auto" w:sz="4" w:space="0"/>
              <w:right w:val="single" w:color="auto" w:sz="4" w:space="0"/>
            </w:tcBorders>
            <w:shd w:val="clear" w:color="auto" w:fill="auto"/>
            <w:vAlign w:val="center"/>
          </w:tcPr>
          <w:p w14:paraId="18E2177D">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800 </w:t>
            </w:r>
          </w:p>
        </w:tc>
      </w:tr>
      <w:tr w14:paraId="7B929D88">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649CBE5E">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输卵管结扎术</w:t>
            </w:r>
          </w:p>
        </w:tc>
        <w:tc>
          <w:tcPr>
            <w:tcW w:w="1567" w:type="dxa"/>
            <w:tcBorders>
              <w:top w:val="nil"/>
              <w:left w:val="nil"/>
              <w:bottom w:val="single" w:color="auto" w:sz="4" w:space="0"/>
              <w:right w:val="single" w:color="auto" w:sz="4" w:space="0"/>
            </w:tcBorders>
            <w:shd w:val="clear" w:color="auto" w:fill="auto"/>
            <w:vAlign w:val="center"/>
          </w:tcPr>
          <w:p w14:paraId="1B14CC90">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3500 </w:t>
            </w:r>
          </w:p>
        </w:tc>
        <w:tc>
          <w:tcPr>
            <w:tcW w:w="1567" w:type="dxa"/>
            <w:tcBorders>
              <w:top w:val="nil"/>
              <w:left w:val="nil"/>
              <w:bottom w:val="single" w:color="auto" w:sz="4" w:space="0"/>
              <w:right w:val="single" w:color="auto" w:sz="4" w:space="0"/>
            </w:tcBorders>
            <w:shd w:val="clear" w:color="auto" w:fill="auto"/>
            <w:vAlign w:val="center"/>
          </w:tcPr>
          <w:p w14:paraId="45DCD891">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3200 </w:t>
            </w:r>
          </w:p>
        </w:tc>
        <w:tc>
          <w:tcPr>
            <w:tcW w:w="1569" w:type="dxa"/>
            <w:tcBorders>
              <w:top w:val="nil"/>
              <w:left w:val="nil"/>
              <w:bottom w:val="single" w:color="auto" w:sz="4" w:space="0"/>
              <w:right w:val="single" w:color="auto" w:sz="4" w:space="0"/>
            </w:tcBorders>
            <w:shd w:val="clear" w:color="auto" w:fill="auto"/>
            <w:vAlign w:val="center"/>
          </w:tcPr>
          <w:p w14:paraId="3C0CF35B">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2900 </w:t>
            </w:r>
          </w:p>
        </w:tc>
      </w:tr>
      <w:tr w14:paraId="064CEFF8">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5E6623BA">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输精管结扎术</w:t>
            </w:r>
          </w:p>
        </w:tc>
        <w:tc>
          <w:tcPr>
            <w:tcW w:w="1567" w:type="dxa"/>
            <w:tcBorders>
              <w:top w:val="nil"/>
              <w:left w:val="nil"/>
              <w:bottom w:val="single" w:color="auto" w:sz="4" w:space="0"/>
              <w:right w:val="single" w:color="auto" w:sz="4" w:space="0"/>
            </w:tcBorders>
            <w:shd w:val="clear" w:color="auto" w:fill="auto"/>
            <w:vAlign w:val="center"/>
          </w:tcPr>
          <w:p w14:paraId="47404DA7">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2000 </w:t>
            </w:r>
          </w:p>
        </w:tc>
        <w:tc>
          <w:tcPr>
            <w:tcW w:w="1567" w:type="dxa"/>
            <w:tcBorders>
              <w:top w:val="nil"/>
              <w:left w:val="nil"/>
              <w:bottom w:val="single" w:color="auto" w:sz="4" w:space="0"/>
              <w:right w:val="single" w:color="auto" w:sz="4" w:space="0"/>
            </w:tcBorders>
            <w:shd w:val="clear" w:color="auto" w:fill="auto"/>
            <w:vAlign w:val="center"/>
          </w:tcPr>
          <w:p w14:paraId="642EEF5B">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1800 </w:t>
            </w:r>
          </w:p>
        </w:tc>
        <w:tc>
          <w:tcPr>
            <w:tcW w:w="1569" w:type="dxa"/>
            <w:tcBorders>
              <w:top w:val="nil"/>
              <w:left w:val="nil"/>
              <w:bottom w:val="single" w:color="auto" w:sz="4" w:space="0"/>
              <w:right w:val="single" w:color="auto" w:sz="4" w:space="0"/>
            </w:tcBorders>
            <w:shd w:val="clear" w:color="auto" w:fill="auto"/>
            <w:vAlign w:val="center"/>
          </w:tcPr>
          <w:p w14:paraId="439209D1">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1600 </w:t>
            </w:r>
          </w:p>
        </w:tc>
      </w:tr>
      <w:tr w14:paraId="66196FE1">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6C68BC16">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输卵管复通术</w:t>
            </w:r>
          </w:p>
        </w:tc>
        <w:tc>
          <w:tcPr>
            <w:tcW w:w="1567" w:type="dxa"/>
            <w:tcBorders>
              <w:top w:val="nil"/>
              <w:left w:val="nil"/>
              <w:bottom w:val="single" w:color="auto" w:sz="4" w:space="0"/>
              <w:right w:val="single" w:color="auto" w:sz="4" w:space="0"/>
            </w:tcBorders>
            <w:shd w:val="clear" w:color="auto" w:fill="auto"/>
            <w:vAlign w:val="center"/>
          </w:tcPr>
          <w:p w14:paraId="725D143D">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5300 </w:t>
            </w:r>
          </w:p>
        </w:tc>
        <w:tc>
          <w:tcPr>
            <w:tcW w:w="1567" w:type="dxa"/>
            <w:tcBorders>
              <w:top w:val="nil"/>
              <w:left w:val="nil"/>
              <w:bottom w:val="single" w:color="auto" w:sz="4" w:space="0"/>
              <w:right w:val="single" w:color="auto" w:sz="4" w:space="0"/>
            </w:tcBorders>
            <w:shd w:val="clear" w:color="auto" w:fill="auto"/>
            <w:vAlign w:val="center"/>
          </w:tcPr>
          <w:p w14:paraId="72371C46">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4800 </w:t>
            </w:r>
          </w:p>
        </w:tc>
        <w:tc>
          <w:tcPr>
            <w:tcW w:w="1569" w:type="dxa"/>
            <w:tcBorders>
              <w:top w:val="nil"/>
              <w:left w:val="nil"/>
              <w:bottom w:val="single" w:color="auto" w:sz="4" w:space="0"/>
              <w:right w:val="single" w:color="auto" w:sz="4" w:space="0"/>
            </w:tcBorders>
            <w:shd w:val="clear" w:color="auto" w:fill="auto"/>
            <w:vAlign w:val="center"/>
          </w:tcPr>
          <w:p w14:paraId="3AF88781">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4400 </w:t>
            </w:r>
          </w:p>
        </w:tc>
      </w:tr>
      <w:tr w14:paraId="5D9A7D6A">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29AE5D81">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输精管复通术</w:t>
            </w:r>
          </w:p>
        </w:tc>
        <w:tc>
          <w:tcPr>
            <w:tcW w:w="1567" w:type="dxa"/>
            <w:tcBorders>
              <w:top w:val="nil"/>
              <w:left w:val="nil"/>
              <w:bottom w:val="single" w:color="auto" w:sz="4" w:space="0"/>
              <w:right w:val="single" w:color="auto" w:sz="4" w:space="0"/>
            </w:tcBorders>
            <w:shd w:val="clear" w:color="auto" w:fill="auto"/>
            <w:vAlign w:val="center"/>
          </w:tcPr>
          <w:p w14:paraId="4B5D6697">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7800 </w:t>
            </w:r>
          </w:p>
        </w:tc>
        <w:tc>
          <w:tcPr>
            <w:tcW w:w="1567" w:type="dxa"/>
            <w:tcBorders>
              <w:top w:val="nil"/>
              <w:left w:val="nil"/>
              <w:bottom w:val="single" w:color="auto" w:sz="4" w:space="0"/>
              <w:right w:val="single" w:color="auto" w:sz="4" w:space="0"/>
            </w:tcBorders>
            <w:shd w:val="clear" w:color="auto" w:fill="auto"/>
            <w:vAlign w:val="center"/>
          </w:tcPr>
          <w:p w14:paraId="7D752D63">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7100 </w:t>
            </w:r>
          </w:p>
        </w:tc>
        <w:tc>
          <w:tcPr>
            <w:tcW w:w="1569" w:type="dxa"/>
            <w:tcBorders>
              <w:top w:val="nil"/>
              <w:left w:val="nil"/>
              <w:bottom w:val="single" w:color="auto" w:sz="4" w:space="0"/>
              <w:right w:val="single" w:color="auto" w:sz="4" w:space="0"/>
            </w:tcBorders>
            <w:shd w:val="clear" w:color="auto" w:fill="auto"/>
            <w:vAlign w:val="center"/>
          </w:tcPr>
          <w:p w14:paraId="6E0096D2">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6500 </w:t>
            </w:r>
          </w:p>
        </w:tc>
      </w:tr>
      <w:tr w14:paraId="47DC9AF3">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5518B122">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取出宫内节育器（门诊）</w:t>
            </w:r>
          </w:p>
        </w:tc>
        <w:tc>
          <w:tcPr>
            <w:tcW w:w="1567" w:type="dxa"/>
            <w:tcBorders>
              <w:top w:val="nil"/>
              <w:left w:val="nil"/>
              <w:bottom w:val="single" w:color="auto" w:sz="4" w:space="0"/>
              <w:right w:val="single" w:color="auto" w:sz="4" w:space="0"/>
            </w:tcBorders>
            <w:shd w:val="clear" w:color="auto" w:fill="auto"/>
            <w:vAlign w:val="center"/>
          </w:tcPr>
          <w:p w14:paraId="3C118D41">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420 </w:t>
            </w:r>
          </w:p>
        </w:tc>
        <w:tc>
          <w:tcPr>
            <w:tcW w:w="1567" w:type="dxa"/>
            <w:tcBorders>
              <w:top w:val="nil"/>
              <w:left w:val="nil"/>
              <w:bottom w:val="single" w:color="auto" w:sz="4" w:space="0"/>
              <w:right w:val="single" w:color="auto" w:sz="4" w:space="0"/>
            </w:tcBorders>
            <w:shd w:val="clear" w:color="auto" w:fill="auto"/>
            <w:vAlign w:val="center"/>
          </w:tcPr>
          <w:p w14:paraId="6A08869B">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380 </w:t>
            </w:r>
          </w:p>
        </w:tc>
        <w:tc>
          <w:tcPr>
            <w:tcW w:w="1569" w:type="dxa"/>
            <w:tcBorders>
              <w:top w:val="nil"/>
              <w:left w:val="nil"/>
              <w:bottom w:val="single" w:color="auto" w:sz="4" w:space="0"/>
              <w:right w:val="single" w:color="auto" w:sz="4" w:space="0"/>
            </w:tcBorders>
            <w:shd w:val="clear" w:color="auto" w:fill="auto"/>
            <w:vAlign w:val="center"/>
          </w:tcPr>
          <w:p w14:paraId="119B6B95">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340 </w:t>
            </w:r>
          </w:p>
        </w:tc>
      </w:tr>
      <w:tr w14:paraId="18CA0039">
        <w:tblPrEx>
          <w:tblCellMar>
            <w:top w:w="0" w:type="dxa"/>
            <w:left w:w="108" w:type="dxa"/>
            <w:bottom w:w="0" w:type="dxa"/>
            <w:right w:w="108" w:type="dxa"/>
          </w:tblCellMar>
        </w:tblPrEx>
        <w:trPr>
          <w:trHeight w:val="567" w:hRule="atLeast"/>
        </w:trPr>
        <w:tc>
          <w:tcPr>
            <w:tcW w:w="3721" w:type="dxa"/>
            <w:tcBorders>
              <w:top w:val="nil"/>
              <w:left w:val="single" w:color="auto" w:sz="4" w:space="0"/>
              <w:bottom w:val="single" w:color="auto" w:sz="4" w:space="0"/>
              <w:right w:val="single" w:color="auto" w:sz="4" w:space="0"/>
            </w:tcBorders>
            <w:shd w:val="clear" w:color="auto" w:fill="auto"/>
            <w:vAlign w:val="center"/>
          </w:tcPr>
          <w:p w14:paraId="00C463A1">
            <w:pPr>
              <w:widowControl/>
              <w:jc w:val="center"/>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放置宫内节育器（门诊）</w:t>
            </w:r>
          </w:p>
        </w:tc>
        <w:tc>
          <w:tcPr>
            <w:tcW w:w="1567" w:type="dxa"/>
            <w:tcBorders>
              <w:top w:val="nil"/>
              <w:left w:val="nil"/>
              <w:bottom w:val="single" w:color="auto" w:sz="4" w:space="0"/>
              <w:right w:val="single" w:color="auto" w:sz="4" w:space="0"/>
            </w:tcBorders>
            <w:shd w:val="clear" w:color="auto" w:fill="auto"/>
            <w:vAlign w:val="center"/>
          </w:tcPr>
          <w:p w14:paraId="5F2AE85C">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600 </w:t>
            </w:r>
          </w:p>
        </w:tc>
        <w:tc>
          <w:tcPr>
            <w:tcW w:w="1567" w:type="dxa"/>
            <w:tcBorders>
              <w:top w:val="nil"/>
              <w:left w:val="nil"/>
              <w:bottom w:val="single" w:color="auto" w:sz="4" w:space="0"/>
              <w:right w:val="single" w:color="auto" w:sz="4" w:space="0"/>
            </w:tcBorders>
            <w:shd w:val="clear" w:color="auto" w:fill="auto"/>
            <w:vAlign w:val="center"/>
          </w:tcPr>
          <w:p w14:paraId="5FD2C3B7">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550 </w:t>
            </w:r>
          </w:p>
        </w:tc>
        <w:tc>
          <w:tcPr>
            <w:tcW w:w="1569" w:type="dxa"/>
            <w:tcBorders>
              <w:top w:val="nil"/>
              <w:left w:val="nil"/>
              <w:bottom w:val="single" w:color="auto" w:sz="4" w:space="0"/>
              <w:right w:val="single" w:color="auto" w:sz="4" w:space="0"/>
            </w:tcBorders>
            <w:shd w:val="clear" w:color="auto" w:fill="auto"/>
            <w:vAlign w:val="center"/>
          </w:tcPr>
          <w:p w14:paraId="1CE05382">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rPr>
              <w:t xml:space="preserve">500 </w:t>
            </w:r>
          </w:p>
        </w:tc>
      </w:tr>
    </w:tbl>
    <w:p w14:paraId="5A4BC649">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sz w:val="32"/>
          <w:szCs w:val="32"/>
          <w:lang w:val="en-US" w:eastAsia="zh-CN"/>
        </w:rPr>
      </w:pPr>
    </w:p>
    <w:p w14:paraId="754F7A97">
      <w:pPr>
        <w:ind w:firstLine="640"/>
        <w:rPr>
          <w:rFonts w:hint="default" w:ascii="仿宋" w:hAnsi="仿宋" w:eastAsia="仿宋" w:cs="仿宋"/>
          <w:sz w:val="32"/>
          <w:szCs w:val="32"/>
          <w:lang w:val="en-US" w:eastAsia="zh-CN"/>
        </w:rPr>
      </w:pPr>
    </w:p>
    <w:p w14:paraId="5DB19EEE">
      <w:pPr>
        <w:numPr>
          <w:ilvl w:val="0"/>
          <w:numId w:val="0"/>
        </w:numPr>
        <w:tabs>
          <w:tab w:val="left" w:pos="840"/>
          <w:tab w:val="left" w:pos="1470"/>
        </w:tabs>
        <w:ind w:left="0" w:leftChars="0" w:firstLine="640" w:firstLineChars="200"/>
        <w:rPr>
          <w:rFonts w:hint="default" w:ascii="仿宋" w:hAnsi="仿宋" w:eastAsia="仿宋" w:cs="仿宋"/>
          <w:sz w:val="32"/>
          <w:szCs w:val="32"/>
          <w:lang w:val="en-US" w:eastAsia="zh-CN"/>
        </w:rPr>
      </w:pPr>
    </w:p>
    <w:p w14:paraId="351D4794">
      <w:pPr>
        <w:pStyle w:val="12"/>
        <w:rPr>
          <w:rFonts w:hint="default" w:ascii="仿宋" w:hAnsi="仿宋" w:eastAsia="仿宋" w:cs="仿宋"/>
          <w:sz w:val="32"/>
          <w:szCs w:val="32"/>
          <w:lang w:val="en-US" w:eastAsia="zh-CN"/>
        </w:rPr>
      </w:pPr>
    </w:p>
    <w:p w14:paraId="16CE86EE">
      <w:pPr>
        <w:numPr>
          <w:ilvl w:val="0"/>
          <w:numId w:val="0"/>
        </w:numPr>
        <w:autoSpaceDE/>
        <w:autoSpaceDN/>
        <w:adjustRightInd/>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42171613">
      <w:pPr>
        <w:numPr>
          <w:ilvl w:val="0"/>
          <w:numId w:val="0"/>
        </w:numPr>
        <w:autoSpaceDE/>
        <w:autoSpaceDN/>
        <w:adjustRightInd/>
        <w:rPr>
          <w:rFonts w:hint="eastAsia" w:ascii="黑体" w:hAnsi="黑体" w:eastAsia="黑体" w:cs="黑体"/>
          <w:sz w:val="32"/>
          <w:szCs w:val="32"/>
          <w:lang w:val="en-US" w:eastAsia="zh-CN"/>
        </w:rPr>
      </w:pPr>
    </w:p>
    <w:tbl>
      <w:tblPr>
        <w:tblStyle w:val="8"/>
        <w:tblW w:w="8298" w:type="dxa"/>
        <w:tblInd w:w="78" w:type="dxa"/>
        <w:tblLayout w:type="fixed"/>
        <w:tblCellMar>
          <w:top w:w="0" w:type="dxa"/>
          <w:left w:w="108" w:type="dxa"/>
          <w:bottom w:w="0" w:type="dxa"/>
          <w:right w:w="108" w:type="dxa"/>
        </w:tblCellMar>
      </w:tblPr>
      <w:tblGrid>
        <w:gridCol w:w="13"/>
        <w:gridCol w:w="3399"/>
        <w:gridCol w:w="322"/>
        <w:gridCol w:w="1245"/>
        <w:gridCol w:w="322"/>
        <w:gridCol w:w="1322"/>
        <w:gridCol w:w="245"/>
        <w:gridCol w:w="1425"/>
        <w:gridCol w:w="5"/>
      </w:tblGrid>
      <w:tr w14:paraId="25CECD24">
        <w:tblPrEx>
          <w:tblCellMar>
            <w:top w:w="0" w:type="dxa"/>
            <w:left w:w="108" w:type="dxa"/>
            <w:bottom w:w="0" w:type="dxa"/>
            <w:right w:w="108" w:type="dxa"/>
          </w:tblCellMar>
        </w:tblPrEx>
        <w:trPr>
          <w:gridBefore w:val="1"/>
          <w:gridAfter w:val="1"/>
          <w:wBefore w:w="13" w:type="dxa"/>
          <w:wAfter w:w="5" w:type="dxa"/>
          <w:trHeight w:val="240" w:hRule="atLeast"/>
        </w:trPr>
        <w:tc>
          <w:tcPr>
            <w:tcW w:w="8280" w:type="dxa"/>
            <w:gridSpan w:val="7"/>
            <w:tcBorders>
              <w:top w:val="nil"/>
              <w:left w:val="nil"/>
              <w:bottom w:val="nil"/>
              <w:right w:val="nil"/>
            </w:tcBorders>
            <w:shd w:val="clear" w:color="auto" w:fill="auto"/>
            <w:vAlign w:val="center"/>
          </w:tcPr>
          <w:p w14:paraId="7B3D2786">
            <w:pPr>
              <w:widowControl/>
              <w:jc w:val="center"/>
              <w:rPr>
                <w:rFonts w:hint="eastAsia" w:asciiTheme="minorEastAsia" w:hAnsiTheme="minorEastAsia" w:eastAsiaTheme="minorEastAsia" w:cstheme="minorEastAsia"/>
                <w:b/>
                <w:bCs/>
                <w:color w:val="000000"/>
                <w:kern w:val="0"/>
                <w:sz w:val="28"/>
                <w:szCs w:val="28"/>
              </w:rPr>
            </w:pPr>
            <w:r>
              <w:rPr>
                <w:rFonts w:hint="eastAsia" w:asciiTheme="minorEastAsia" w:hAnsiTheme="minorEastAsia" w:eastAsiaTheme="minorEastAsia" w:cstheme="minorEastAsia"/>
                <w:b/>
                <w:bCs/>
                <w:color w:val="000000"/>
                <w:kern w:val="0"/>
                <w:sz w:val="28"/>
                <w:szCs w:val="28"/>
              </w:rPr>
              <w:t>阳江市职工生育保险</w:t>
            </w:r>
            <w:r>
              <w:rPr>
                <w:rFonts w:hint="eastAsia" w:asciiTheme="minorEastAsia" w:hAnsiTheme="minorEastAsia" w:cstheme="minorEastAsia"/>
                <w:b/>
                <w:bCs/>
                <w:color w:val="000000"/>
                <w:kern w:val="0"/>
                <w:sz w:val="28"/>
                <w:szCs w:val="28"/>
                <w:lang w:val="en-US" w:eastAsia="zh-CN"/>
              </w:rPr>
              <w:t>异地就医联网结算支付标准</w:t>
            </w:r>
          </w:p>
        </w:tc>
      </w:tr>
      <w:tr w14:paraId="58A383B9">
        <w:tblPrEx>
          <w:tblCellMar>
            <w:top w:w="0" w:type="dxa"/>
            <w:left w:w="108" w:type="dxa"/>
            <w:bottom w:w="0" w:type="dxa"/>
            <w:right w:w="108" w:type="dxa"/>
          </w:tblCellMar>
        </w:tblPrEx>
        <w:trPr>
          <w:gridBefore w:val="1"/>
          <w:gridAfter w:val="1"/>
          <w:wBefore w:w="13" w:type="dxa"/>
          <w:wAfter w:w="5" w:type="dxa"/>
          <w:trHeight w:val="357" w:hRule="atLeast"/>
        </w:trPr>
        <w:tc>
          <w:tcPr>
            <w:tcW w:w="3721" w:type="dxa"/>
            <w:gridSpan w:val="2"/>
            <w:tcBorders>
              <w:top w:val="nil"/>
              <w:left w:val="nil"/>
              <w:bottom w:val="nil"/>
              <w:right w:val="nil"/>
            </w:tcBorders>
            <w:shd w:val="clear" w:color="auto" w:fill="auto"/>
            <w:vAlign w:val="center"/>
          </w:tcPr>
          <w:p w14:paraId="3B275002">
            <w:pPr>
              <w:widowControl/>
              <w:jc w:val="center"/>
              <w:rPr>
                <w:rFonts w:hint="eastAsia" w:asciiTheme="minorEastAsia" w:hAnsiTheme="minorEastAsia" w:eastAsiaTheme="minorEastAsia" w:cstheme="minorEastAsia"/>
                <w:color w:val="000000"/>
                <w:kern w:val="0"/>
                <w:szCs w:val="21"/>
              </w:rPr>
            </w:pPr>
          </w:p>
        </w:tc>
        <w:tc>
          <w:tcPr>
            <w:tcW w:w="1567" w:type="dxa"/>
            <w:gridSpan w:val="2"/>
            <w:tcBorders>
              <w:top w:val="nil"/>
              <w:left w:val="nil"/>
              <w:bottom w:val="nil"/>
              <w:right w:val="nil"/>
            </w:tcBorders>
            <w:shd w:val="clear" w:color="auto" w:fill="auto"/>
            <w:vAlign w:val="center"/>
          </w:tcPr>
          <w:p w14:paraId="7919DB0B">
            <w:pPr>
              <w:widowControl/>
              <w:jc w:val="center"/>
              <w:rPr>
                <w:rFonts w:hint="eastAsia" w:asciiTheme="minorEastAsia" w:hAnsiTheme="minorEastAsia" w:eastAsiaTheme="minorEastAsia" w:cstheme="minorEastAsia"/>
                <w:color w:val="000000"/>
                <w:kern w:val="0"/>
                <w:szCs w:val="21"/>
              </w:rPr>
            </w:pPr>
          </w:p>
        </w:tc>
        <w:tc>
          <w:tcPr>
            <w:tcW w:w="1567" w:type="dxa"/>
            <w:gridSpan w:val="2"/>
            <w:tcBorders>
              <w:top w:val="nil"/>
              <w:left w:val="nil"/>
              <w:bottom w:val="nil"/>
              <w:right w:val="nil"/>
            </w:tcBorders>
            <w:shd w:val="clear" w:color="auto" w:fill="auto"/>
            <w:vAlign w:val="center"/>
          </w:tcPr>
          <w:p w14:paraId="33A85CBA">
            <w:pPr>
              <w:widowControl/>
              <w:jc w:val="center"/>
              <w:rPr>
                <w:rFonts w:hint="eastAsia" w:asciiTheme="minorEastAsia" w:hAnsiTheme="minorEastAsia" w:eastAsiaTheme="minorEastAsia" w:cstheme="minorEastAsia"/>
                <w:color w:val="000000"/>
                <w:kern w:val="0"/>
                <w:szCs w:val="21"/>
              </w:rPr>
            </w:pPr>
          </w:p>
        </w:tc>
        <w:tc>
          <w:tcPr>
            <w:tcW w:w="1425" w:type="dxa"/>
            <w:tcBorders>
              <w:top w:val="nil"/>
              <w:left w:val="nil"/>
              <w:bottom w:val="nil"/>
              <w:right w:val="nil"/>
            </w:tcBorders>
            <w:shd w:val="clear" w:color="auto" w:fill="auto"/>
            <w:vAlign w:val="center"/>
          </w:tcPr>
          <w:p w14:paraId="0057FA9B">
            <w:pPr>
              <w:widowControl/>
              <w:jc w:val="righ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单位：元</w:t>
            </w:r>
          </w:p>
        </w:tc>
      </w:tr>
      <w:tr w14:paraId="2939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63B4F37">
            <w:pPr>
              <w:pStyle w:val="7"/>
              <w:keepNext w:val="0"/>
              <w:keepLines w:val="0"/>
              <w:widowControl/>
              <w:suppressLineNumbers w:val="0"/>
              <w:jc w:val="center"/>
              <w:rPr>
                <w:rFonts w:hint="eastAsia" w:asciiTheme="minorEastAsia" w:hAnsiTheme="minorEastAsia" w:cstheme="minorEastAsia"/>
                <w:b/>
                <w:bCs/>
                <w:color w:val="000000"/>
                <w:sz w:val="21"/>
                <w:szCs w:val="21"/>
                <w:lang w:bidi="ar-SA"/>
              </w:rPr>
            </w:pPr>
            <w:r>
              <w:rPr>
                <w:rFonts w:hint="eastAsia" w:asciiTheme="minorEastAsia" w:hAnsiTheme="minorEastAsia" w:cstheme="minorEastAsia"/>
                <w:b/>
                <w:bCs/>
                <w:color w:val="000000"/>
                <w:sz w:val="21"/>
                <w:szCs w:val="21"/>
                <w:lang w:bidi="ar-SA"/>
              </w:rPr>
              <w:t>异地直接结算病种名称</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1CE0B21">
            <w:pPr>
              <w:pStyle w:val="7"/>
              <w:keepNext w:val="0"/>
              <w:keepLines w:val="0"/>
              <w:widowControl/>
              <w:suppressLineNumbers w:val="0"/>
              <w:jc w:val="center"/>
              <w:rPr>
                <w:rFonts w:hint="default" w:asciiTheme="minorEastAsia" w:hAnsiTheme="minorEastAsia" w:cstheme="minorEastAsia"/>
                <w:b/>
                <w:bCs/>
                <w:color w:val="000000"/>
                <w:sz w:val="21"/>
                <w:szCs w:val="21"/>
                <w:lang w:bidi="ar-SA"/>
              </w:rPr>
            </w:pPr>
            <w:r>
              <w:rPr>
                <w:rFonts w:hint="eastAsia" w:asciiTheme="minorEastAsia" w:hAnsiTheme="minorEastAsia" w:cstheme="minorEastAsia"/>
                <w:b/>
                <w:bCs/>
                <w:color w:val="000000"/>
                <w:sz w:val="21"/>
                <w:szCs w:val="21"/>
                <w:lang w:bidi="ar-SA"/>
              </w:rPr>
              <w:t>三级医院</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71A43FE3">
            <w:pPr>
              <w:pStyle w:val="7"/>
              <w:keepNext w:val="0"/>
              <w:keepLines w:val="0"/>
              <w:widowControl/>
              <w:suppressLineNumbers w:val="0"/>
              <w:jc w:val="center"/>
              <w:rPr>
                <w:rFonts w:hint="eastAsia" w:asciiTheme="minorEastAsia" w:hAnsiTheme="minorEastAsia" w:cstheme="minorEastAsia"/>
                <w:b/>
                <w:bCs/>
                <w:color w:val="000000"/>
                <w:sz w:val="21"/>
                <w:szCs w:val="21"/>
                <w:lang w:bidi="ar-SA"/>
              </w:rPr>
            </w:pPr>
            <w:r>
              <w:rPr>
                <w:rFonts w:hint="eastAsia" w:asciiTheme="minorEastAsia" w:hAnsiTheme="minorEastAsia" w:cstheme="minorEastAsia"/>
                <w:b/>
                <w:bCs/>
                <w:color w:val="000000"/>
                <w:sz w:val="21"/>
                <w:szCs w:val="21"/>
                <w:lang w:bidi="ar-SA"/>
              </w:rPr>
              <w:t>二级医院</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3FF96D83">
            <w:pPr>
              <w:pStyle w:val="7"/>
              <w:keepNext w:val="0"/>
              <w:keepLines w:val="0"/>
              <w:widowControl/>
              <w:suppressLineNumbers w:val="0"/>
              <w:jc w:val="center"/>
              <w:rPr>
                <w:rFonts w:hint="eastAsia" w:asciiTheme="minorEastAsia" w:hAnsiTheme="minorEastAsia" w:cstheme="minorEastAsia"/>
                <w:b/>
                <w:bCs/>
                <w:color w:val="000000"/>
                <w:sz w:val="21"/>
                <w:szCs w:val="21"/>
                <w:lang w:bidi="ar-SA"/>
              </w:rPr>
            </w:pPr>
            <w:r>
              <w:rPr>
                <w:rFonts w:hint="eastAsia" w:asciiTheme="minorEastAsia" w:hAnsiTheme="minorEastAsia" w:cstheme="minorEastAsia"/>
                <w:b/>
                <w:bCs/>
                <w:color w:val="000000"/>
                <w:sz w:val="21"/>
                <w:szCs w:val="21"/>
                <w:lang w:bidi="ar-SA"/>
              </w:rPr>
              <w:t>一级医院</w:t>
            </w:r>
          </w:p>
        </w:tc>
      </w:tr>
      <w:tr w14:paraId="68C0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0EF0270">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产前检查</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3D8CEBCB">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1700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1023502">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1700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0677F43">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1700</w:t>
            </w:r>
          </w:p>
        </w:tc>
      </w:tr>
      <w:tr w14:paraId="6508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011C416">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终止妊娠（含宫外孕终止妊娠)</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4673A60">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8800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4BDF0CF">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8300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0C696D1">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7800</w:t>
            </w:r>
          </w:p>
        </w:tc>
      </w:tr>
      <w:tr w14:paraId="5E9E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7658300B">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顺产</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375B1B4B">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5300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7FBAFAD0">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4800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31262234">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4300</w:t>
            </w:r>
          </w:p>
        </w:tc>
      </w:tr>
      <w:tr w14:paraId="22AF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18CA9A13">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剖宫产</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C15B5AE">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5300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08ECD6B">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4800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AF60658">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4300</w:t>
            </w:r>
          </w:p>
        </w:tc>
      </w:tr>
      <w:tr w14:paraId="4E56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713413D3">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放置（或取出）宫内节育器</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331640A7">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600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1542F1A3">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550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5848A3AC">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500</w:t>
            </w:r>
          </w:p>
        </w:tc>
      </w:tr>
      <w:tr w14:paraId="1B3B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3200564C">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输卵管结扎</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6BA17ABC">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3500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64C6F668">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3200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64CA0447">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2900</w:t>
            </w:r>
          </w:p>
        </w:tc>
      </w:tr>
      <w:tr w14:paraId="6E21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DC75231">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输卵管复通</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5EF66A4C">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5300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773BF2B">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4800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118DFF4F">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4400</w:t>
            </w:r>
          </w:p>
        </w:tc>
      </w:tr>
      <w:tr w14:paraId="656B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0836AC4E">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输精管结扎</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4040415">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2000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C61C0ED">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1800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0D25C7B6">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1600</w:t>
            </w:r>
          </w:p>
        </w:tc>
      </w:tr>
      <w:tr w14:paraId="1555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FF2F938">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输精管复通</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CC91D42">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7800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5600E138">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7100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7A6EBEB9">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6500</w:t>
            </w:r>
          </w:p>
        </w:tc>
      </w:tr>
      <w:tr w14:paraId="5C3E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59FB85E5">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人工流产</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0D81700">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3600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7A148336">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3300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1A0BECA3">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3000</w:t>
            </w:r>
          </w:p>
        </w:tc>
      </w:tr>
      <w:tr w14:paraId="3992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tblCellSpacing w:w="0" w:type="dxa"/>
          <w:jc w:val="center"/>
        </w:trPr>
        <w:tc>
          <w:tcPr>
            <w:tcW w:w="3412"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0E29F291">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cstheme="minorEastAsia"/>
                <w:b w:val="0"/>
                <w:bCs/>
                <w:color w:val="000000"/>
                <w:sz w:val="21"/>
                <w:szCs w:val="21"/>
                <w:lang w:bidi="ar-SA"/>
              </w:rPr>
              <w:t>引产</w:t>
            </w:r>
          </w:p>
        </w:tc>
        <w:tc>
          <w:tcPr>
            <w:tcW w:w="1567"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2EDBEFD9">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4800</w:t>
            </w:r>
          </w:p>
        </w:tc>
        <w:tc>
          <w:tcPr>
            <w:tcW w:w="1644" w:type="dxa"/>
            <w:gridSpan w:val="2"/>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1DF6E557">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4400</w:t>
            </w:r>
          </w:p>
        </w:tc>
        <w:tc>
          <w:tcPr>
            <w:tcW w:w="1675" w:type="dxa"/>
            <w:gridSpan w:val="3"/>
            <w:tcBorders>
              <w:top w:val="single" w:color="auto" w:sz="4" w:space="0"/>
              <w:left w:val="single" w:color="auto" w:sz="4" w:space="0"/>
              <w:bottom w:val="single" w:color="auto" w:sz="4" w:space="0"/>
              <w:right w:val="single" w:color="auto" w:sz="4" w:space="0"/>
            </w:tcBorders>
            <w:shd w:val="clear" w:color="auto" w:fill="auto"/>
            <w:tcMar>
              <w:top w:w="20" w:type="dxa"/>
              <w:left w:w="20" w:type="dxa"/>
              <w:bottom w:w="72" w:type="dxa"/>
              <w:right w:w="20" w:type="dxa"/>
            </w:tcMar>
            <w:vAlign w:val="center"/>
          </w:tcPr>
          <w:p w14:paraId="4478090F">
            <w:pPr>
              <w:pStyle w:val="7"/>
              <w:keepNext w:val="0"/>
              <w:keepLines w:val="0"/>
              <w:widowControl/>
              <w:suppressLineNumbers w:val="0"/>
              <w:jc w:val="center"/>
              <w:rPr>
                <w:rFonts w:hint="eastAsia" w:asciiTheme="minorEastAsia" w:hAnsiTheme="minorEastAsia" w:cstheme="minorEastAsia"/>
                <w:bCs/>
                <w:color w:val="000000"/>
                <w:sz w:val="21"/>
                <w:szCs w:val="21"/>
                <w:lang w:bidi="ar-SA"/>
              </w:rPr>
            </w:pPr>
            <w:r>
              <w:rPr>
                <w:rFonts w:hint="eastAsia" w:asciiTheme="minorEastAsia" w:hAnsiTheme="minorEastAsia" w:eastAsiaTheme="minorEastAsia" w:cstheme="minorEastAsia"/>
                <w:b w:val="0"/>
                <w:bCs/>
                <w:color w:val="000000"/>
                <w:sz w:val="21"/>
                <w:szCs w:val="21"/>
                <w:lang w:bidi="ar-SA"/>
              </w:rPr>
              <w:t>4000</w:t>
            </w:r>
          </w:p>
        </w:tc>
      </w:tr>
    </w:tbl>
    <w:p w14:paraId="5729A469">
      <w:pPr>
        <w:pStyle w:val="12"/>
        <w:rPr>
          <w:rFonts w:hint="default"/>
          <w:lang w:val="en-US" w:eastAsia="zh-CN"/>
        </w:rPr>
      </w:pPr>
    </w:p>
    <w:p w14:paraId="1288EE8F">
      <w:pPr>
        <w:pStyle w:val="12"/>
        <w:rPr>
          <w:rFonts w:hint="default"/>
          <w:lang w:val="en-US" w:eastAsia="zh-CN"/>
        </w:rPr>
      </w:pPr>
    </w:p>
    <w:p w14:paraId="76570EEC">
      <w:pPr>
        <w:pStyle w:val="12"/>
        <w:rPr>
          <w:rFonts w:hint="default"/>
          <w:lang w:val="en-US" w:eastAsia="zh-CN"/>
        </w:rPr>
      </w:pPr>
    </w:p>
    <w:p w14:paraId="3041E55C">
      <w:pPr>
        <w:pStyle w:val="12"/>
        <w:rPr>
          <w:rFonts w:hint="default"/>
          <w:lang w:val="en-US" w:eastAsia="zh-CN"/>
        </w:rPr>
      </w:pPr>
    </w:p>
    <w:p w14:paraId="4C981FF4">
      <w:pPr>
        <w:pStyle w:val="12"/>
        <w:rPr>
          <w:rFonts w:hint="default"/>
          <w:lang w:val="en-US" w:eastAsia="zh-CN"/>
        </w:rPr>
      </w:pPr>
    </w:p>
    <w:p w14:paraId="5BB94B1F">
      <w:pPr>
        <w:pStyle w:val="12"/>
        <w:rPr>
          <w:rFonts w:hint="default"/>
          <w:lang w:val="en-US" w:eastAsia="zh-CN"/>
        </w:rPr>
      </w:pPr>
    </w:p>
    <w:p w14:paraId="668B2BCC">
      <w:pPr>
        <w:numPr>
          <w:ilvl w:val="0"/>
          <w:numId w:val="0"/>
        </w:numPr>
        <w:autoSpaceDE/>
        <w:autoSpaceDN/>
        <w:adjustRightInd/>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41D4B171">
      <w:pPr>
        <w:pStyle w:val="12"/>
        <w:jc w:val="center"/>
        <w:rPr>
          <w:rFonts w:hint="eastAsia" w:ascii="方正小标宋简体" w:hAnsi="方正小标宋简体" w:eastAsia="方正小标宋简体" w:cs="方正小标宋简体"/>
          <w:color w:val="auto"/>
          <w:kern w:val="2"/>
          <w:sz w:val="32"/>
          <w:szCs w:val="32"/>
          <w:lang w:val="en-US" w:eastAsia="zh-CN" w:bidi="ar-SA"/>
        </w:rPr>
      </w:pPr>
    </w:p>
    <w:p w14:paraId="24EBE139">
      <w:pPr>
        <w:pStyle w:val="12"/>
        <w:jc w:val="center"/>
        <w:rPr>
          <w:rFonts w:hint="eastAsia" w:ascii="方正小标宋简体" w:hAnsi="方正小标宋简体" w:eastAsia="方正小标宋简体" w:cs="方正小标宋简体"/>
          <w:color w:val="auto"/>
          <w:kern w:val="2"/>
          <w:sz w:val="32"/>
          <w:szCs w:val="32"/>
          <w:lang w:val="en-US" w:eastAsia="zh-CN" w:bidi="ar-SA"/>
        </w:rPr>
      </w:pPr>
      <w:r>
        <w:rPr>
          <w:rFonts w:hint="eastAsia" w:ascii="方正小标宋简体" w:hAnsi="方正小标宋简体" w:eastAsia="方正小标宋简体" w:cs="方正小标宋简体"/>
          <w:color w:val="auto"/>
          <w:kern w:val="2"/>
          <w:sz w:val="32"/>
          <w:szCs w:val="32"/>
          <w:lang w:val="en-US" w:eastAsia="zh-CN" w:bidi="ar-SA"/>
        </w:rPr>
        <w:t>《阳江市医疗保障待遇清单（2024年版）》起草说明</w:t>
      </w:r>
    </w:p>
    <w:p w14:paraId="134CEC65">
      <w:pPr>
        <w:pStyle w:val="12"/>
        <w:rPr>
          <w:rFonts w:hint="eastAsia" w:ascii="仿宋" w:hAnsi="仿宋" w:eastAsia="仿宋" w:cs="仿宋"/>
          <w:color w:val="auto"/>
          <w:kern w:val="2"/>
          <w:sz w:val="32"/>
          <w:szCs w:val="32"/>
          <w:lang w:val="en-US" w:eastAsia="zh-CN" w:bidi="ar-SA"/>
        </w:rPr>
      </w:pPr>
    </w:p>
    <w:p w14:paraId="3D6498BD">
      <w:pPr>
        <w:pStyle w:val="12"/>
        <w:ind w:firstLine="640"/>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《阳江市医疗保障待遇清单（2024年版）》与《阳江市医疗保障待遇清单（2023年版）》相比较，修改的主要内容如下：</w:t>
      </w:r>
    </w:p>
    <w:p w14:paraId="26D8D091">
      <w:pPr>
        <w:pStyle w:val="12"/>
        <w:numPr>
          <w:ilvl w:val="0"/>
          <w:numId w:val="1"/>
        </w:numPr>
        <w:ind w:firstLine="640"/>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职工基本医疗保险缴费基数上下限及社平基数 ；</w:t>
      </w:r>
    </w:p>
    <w:p w14:paraId="242F81AC">
      <w:pPr>
        <w:pStyle w:val="12"/>
        <w:numPr>
          <w:ilvl w:val="0"/>
          <w:numId w:val="1"/>
        </w:numPr>
        <w:ind w:firstLine="640"/>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城乡居民医保个人缴费标准；</w:t>
      </w:r>
    </w:p>
    <w:p w14:paraId="59AB1AF7">
      <w:pPr>
        <w:pStyle w:val="12"/>
        <w:numPr>
          <w:ilvl w:val="0"/>
          <w:numId w:val="1"/>
        </w:numPr>
        <w:ind w:firstLine="640"/>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职工基本医疗保险报销比例；</w:t>
      </w:r>
    </w:p>
    <w:p w14:paraId="06A7684C">
      <w:pPr>
        <w:pStyle w:val="12"/>
        <w:numPr>
          <w:ilvl w:val="0"/>
          <w:numId w:val="1"/>
        </w:numPr>
        <w:ind w:firstLine="640"/>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门诊特定病种经办管理及月度定额标准；</w:t>
      </w:r>
    </w:p>
    <w:p w14:paraId="1FB9B46B">
      <w:pPr>
        <w:pStyle w:val="12"/>
        <w:numPr>
          <w:ilvl w:val="0"/>
          <w:numId w:val="1"/>
        </w:numPr>
        <w:ind w:firstLine="640"/>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职工基本医疗保险、城乡居民基本医疗保险普通门诊月度支付限额；</w:t>
      </w:r>
    </w:p>
    <w:p w14:paraId="7006F40A">
      <w:pPr>
        <w:pStyle w:val="12"/>
        <w:numPr>
          <w:ilvl w:val="0"/>
          <w:numId w:val="1"/>
        </w:numPr>
        <w:ind w:firstLine="640"/>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医疗救助待遇标准。</w:t>
      </w:r>
    </w:p>
    <w:p w14:paraId="17435BB1">
      <w:pPr>
        <w:pStyle w:val="12"/>
        <w:rPr>
          <w:rFonts w:hint="default" w:ascii="仿宋" w:hAnsi="仿宋" w:eastAsia="仿宋" w:cs="仿宋"/>
          <w:color w:val="auto"/>
          <w:kern w:val="2"/>
          <w:sz w:val="32"/>
          <w:szCs w:val="32"/>
          <w:lang w:val="en-US" w:eastAsia="zh-CN" w:bidi="ar-SA"/>
        </w:rPr>
      </w:pPr>
    </w:p>
    <w:p w14:paraId="294418DB">
      <w:pPr>
        <w:pStyle w:val="12"/>
        <w:rPr>
          <w:rFonts w:hint="default"/>
          <w:lang w:val="en-US" w:eastAsia="zh-CN"/>
        </w:rPr>
      </w:pPr>
    </w:p>
    <w:p w14:paraId="7B8A8C4E">
      <w:pPr>
        <w:pStyle w:val="12"/>
        <w:rPr>
          <w:rFonts w:hint="default"/>
          <w:lang w:val="en-US" w:eastAsia="zh-CN"/>
        </w:rPr>
      </w:pPr>
    </w:p>
    <w:p w14:paraId="38078269">
      <w:pPr>
        <w:pStyle w:val="12"/>
        <w:rPr>
          <w:rFonts w:hint="default"/>
          <w:lang w:val="en-US" w:eastAsia="zh-CN"/>
        </w:rPr>
      </w:pPr>
    </w:p>
    <w:p w14:paraId="768153D5">
      <w:pPr>
        <w:pStyle w:val="12"/>
        <w:rPr>
          <w:rFonts w:hint="default"/>
          <w:lang w:val="en-US" w:eastAsia="zh-CN"/>
        </w:rPr>
      </w:pPr>
    </w:p>
    <w:p w14:paraId="1E0417AF">
      <w:pPr>
        <w:pStyle w:val="12"/>
        <w:rPr>
          <w:rFonts w:hint="default"/>
          <w:lang w:val="en-US" w:eastAsia="zh-CN"/>
        </w:rPr>
      </w:pPr>
    </w:p>
    <w:p w14:paraId="575D02CA">
      <w:pPr>
        <w:pStyle w:val="12"/>
        <w:rPr>
          <w:rFonts w:hint="default"/>
          <w:lang w:val="en-US" w:eastAsia="zh-CN"/>
        </w:rPr>
      </w:pPr>
    </w:p>
    <w:p w14:paraId="425D6B3B">
      <w:pPr>
        <w:pStyle w:val="12"/>
        <w:rPr>
          <w:rFonts w:hint="default"/>
          <w:lang w:val="en-US" w:eastAsia="zh-CN"/>
        </w:rPr>
        <w:sectPr>
          <w:footerReference r:id="rId6" w:type="default"/>
          <w:pgSz w:w="11906" w:h="16838"/>
          <w:pgMar w:top="2098" w:right="1474" w:bottom="1984" w:left="1587" w:header="851" w:footer="1361" w:gutter="0"/>
          <w:pgNumType w:fmt="decimal" w:start="1"/>
          <w:cols w:space="0" w:num="1"/>
          <w:rtlGutter w:val="0"/>
          <w:docGrid w:type="lines" w:linePitch="312" w:charSpace="0"/>
        </w:sectPr>
      </w:pPr>
    </w:p>
    <w:p w14:paraId="482B2651">
      <w:pPr>
        <w:pStyle w:val="12"/>
        <w:rPr>
          <w:rFonts w:hint="default"/>
          <w:lang w:val="en-US" w:eastAsia="zh-CN"/>
        </w:rPr>
      </w:pPr>
    </w:p>
    <w:p w14:paraId="72078EEE">
      <w:pPr>
        <w:pStyle w:val="12"/>
        <w:rPr>
          <w:rFonts w:hint="default"/>
          <w:lang w:val="en-US" w:eastAsia="zh-CN"/>
        </w:rPr>
      </w:pPr>
    </w:p>
    <w:p w14:paraId="3D3503F1">
      <w:pPr>
        <w:pStyle w:val="12"/>
        <w:rPr>
          <w:rFonts w:hint="default"/>
          <w:lang w:val="en-US" w:eastAsia="zh-CN"/>
        </w:rPr>
      </w:pPr>
    </w:p>
    <w:p w14:paraId="4B87C8F4">
      <w:pPr>
        <w:pStyle w:val="12"/>
        <w:rPr>
          <w:rFonts w:hint="default"/>
          <w:lang w:val="en-US" w:eastAsia="zh-CN"/>
        </w:rPr>
      </w:pPr>
    </w:p>
    <w:p w14:paraId="75053BF3">
      <w:pPr>
        <w:pStyle w:val="12"/>
        <w:rPr>
          <w:rFonts w:hint="default"/>
          <w:lang w:val="en-US" w:eastAsia="zh-CN"/>
        </w:rPr>
      </w:pPr>
    </w:p>
    <w:p w14:paraId="550423FA">
      <w:pPr>
        <w:pStyle w:val="12"/>
        <w:rPr>
          <w:rFonts w:hint="default"/>
          <w:lang w:val="en-US" w:eastAsia="zh-CN"/>
        </w:rPr>
      </w:pPr>
    </w:p>
    <w:p w14:paraId="4491909B">
      <w:pPr>
        <w:pStyle w:val="12"/>
        <w:rPr>
          <w:rFonts w:hint="default"/>
          <w:lang w:val="en-US" w:eastAsia="zh-CN"/>
        </w:rPr>
      </w:pPr>
    </w:p>
    <w:p w14:paraId="6DC9D26E">
      <w:pPr>
        <w:pStyle w:val="12"/>
        <w:rPr>
          <w:rFonts w:hint="default"/>
          <w:lang w:val="en-US" w:eastAsia="zh-CN"/>
        </w:rPr>
      </w:pPr>
    </w:p>
    <w:p w14:paraId="07267465">
      <w:pPr>
        <w:pStyle w:val="12"/>
        <w:rPr>
          <w:rFonts w:hint="default"/>
          <w:lang w:val="en-US" w:eastAsia="zh-CN"/>
        </w:rPr>
      </w:pPr>
    </w:p>
    <w:p w14:paraId="283A37A2">
      <w:pPr>
        <w:pStyle w:val="12"/>
        <w:rPr>
          <w:rFonts w:hint="default"/>
          <w:lang w:val="en-US" w:eastAsia="zh-CN"/>
        </w:rPr>
      </w:pPr>
    </w:p>
    <w:p w14:paraId="57A2A37E">
      <w:pPr>
        <w:pStyle w:val="12"/>
        <w:rPr>
          <w:rFonts w:hint="default"/>
          <w:lang w:val="en-US" w:eastAsia="zh-CN"/>
        </w:rPr>
      </w:pPr>
    </w:p>
    <w:p w14:paraId="2F14B9AA">
      <w:pPr>
        <w:pStyle w:val="12"/>
        <w:rPr>
          <w:rFonts w:hint="default"/>
          <w:lang w:val="en-US" w:eastAsia="zh-CN"/>
        </w:rPr>
      </w:pPr>
    </w:p>
    <w:p w14:paraId="6CF77908">
      <w:pPr>
        <w:pStyle w:val="12"/>
        <w:rPr>
          <w:rFonts w:hint="default"/>
          <w:lang w:val="en-US" w:eastAsia="zh-CN"/>
        </w:rPr>
      </w:pPr>
    </w:p>
    <w:p w14:paraId="42FC4D17">
      <w:pPr>
        <w:pStyle w:val="12"/>
        <w:rPr>
          <w:rFonts w:hint="default"/>
          <w:lang w:val="en-US" w:eastAsia="zh-CN"/>
        </w:rPr>
      </w:pPr>
    </w:p>
    <w:p w14:paraId="288EDC0E">
      <w:pPr>
        <w:pStyle w:val="12"/>
        <w:rPr>
          <w:rFonts w:hint="default"/>
          <w:lang w:val="en-US" w:eastAsia="zh-CN"/>
        </w:rPr>
      </w:pPr>
    </w:p>
    <w:p w14:paraId="66D9FE0F">
      <w:pPr>
        <w:pStyle w:val="12"/>
        <w:rPr>
          <w:rFonts w:hint="default"/>
          <w:lang w:val="en-US" w:eastAsia="zh-CN"/>
        </w:rPr>
      </w:pPr>
    </w:p>
    <w:p w14:paraId="498CF9D9">
      <w:pPr>
        <w:pStyle w:val="12"/>
        <w:keepNext w:val="0"/>
        <w:keepLines w:val="0"/>
        <w:pageBreakBefore w:val="0"/>
        <w:widowControl w:val="0"/>
        <w:kinsoku/>
        <w:wordWrap/>
        <w:overflowPunct/>
        <w:topLinePunct w:val="0"/>
        <w:bidi w:val="0"/>
        <w:snapToGrid/>
        <w:spacing w:line="560" w:lineRule="exact"/>
        <w:textAlignment w:val="auto"/>
        <w:rPr>
          <w:rFonts w:hint="eastAsia" w:ascii="仿宋" w:hAnsi="仿宋" w:eastAsia="仿宋" w:cs="仿宋"/>
          <w:sz w:val="32"/>
          <w:szCs w:val="32"/>
          <w:lang w:val="en-US" w:eastAsia="zh-CN"/>
        </w:rPr>
      </w:pPr>
    </w:p>
    <w:p w14:paraId="17546B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 w:hAnsi="仿宋" w:eastAsia="仿宋" w:cs="仿宋"/>
          <w:sz w:val="32"/>
          <w:szCs w:val="32"/>
          <w:lang w:val="en-US" w:eastAsia="zh-CN"/>
        </w:rPr>
      </w:pPr>
    </w:p>
    <w:tbl>
      <w:tblPr>
        <w:tblStyle w:val="9"/>
        <w:tblW w:w="8856" w:type="dxa"/>
        <w:tblInd w:w="0" w:type="dxa"/>
        <w:tblBorders>
          <w:top w:val="single" w:color="auto" w:sz="4"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8856"/>
      </w:tblGrid>
      <w:tr w14:paraId="738F48F3">
        <w:tblPrEx>
          <w:tblBorders>
            <w:top w:val="single" w:color="auto" w:sz="4"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856" w:type="dxa"/>
            <w:tcBorders>
              <w:bottom w:val="single" w:color="auto" w:sz="4" w:space="0"/>
              <w:tl2br w:val="nil"/>
              <w:tr2bl w:val="nil"/>
            </w:tcBorders>
          </w:tcPr>
          <w:p w14:paraId="16E8786C">
            <w:pPr>
              <w:keepNext w:val="0"/>
              <w:keepLines w:val="0"/>
              <w:pageBreakBefore w:val="0"/>
              <w:widowControl w:val="0"/>
              <w:kinsoku/>
              <w:wordWrap/>
              <w:overflowPunct/>
              <w:topLinePunct w:val="0"/>
              <w:autoSpaceDE/>
              <w:autoSpaceDN/>
              <w:bidi w:val="0"/>
              <w:adjustRightInd/>
              <w:snapToGrid/>
              <w:spacing w:line="600" w:lineRule="exact"/>
              <w:ind w:firstLine="280" w:firstLineChars="100"/>
              <w:textAlignment w:val="auto"/>
              <w:outlineLvl w:val="9"/>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阳江市医疗保障局办公室                 2024年3月14日印发</w:t>
            </w:r>
          </w:p>
        </w:tc>
      </w:tr>
    </w:tbl>
    <w:p w14:paraId="05642346">
      <w:pPr>
        <w:keepNext w:val="0"/>
        <w:keepLines w:val="0"/>
        <w:pageBreakBefore w:val="0"/>
        <w:widowControl w:val="0"/>
        <w:kinsoku/>
        <w:wordWrap/>
        <w:overflowPunct/>
        <w:topLinePunct w:val="0"/>
        <w:autoSpaceDE/>
        <w:autoSpaceDN/>
        <w:bidi w:val="0"/>
        <w:adjustRightInd/>
        <w:snapToGrid/>
        <w:spacing w:line="600" w:lineRule="exact"/>
        <w:ind w:firstLine="280" w:firstLineChars="100"/>
        <w:jc w:val="left"/>
        <w:textAlignment w:val="auto"/>
        <w:outlineLvl w:val="9"/>
        <w:rPr>
          <w:rFonts w:hint="default" w:ascii="仿宋" w:hAnsi="仿宋" w:eastAsia="仿宋" w:cs="仿宋"/>
          <w:sz w:val="32"/>
          <w:szCs w:val="32"/>
          <w:lang w:val="en-US" w:eastAsia="zh-CN"/>
        </w:rPr>
      </w:pPr>
      <w:r>
        <w:rPr>
          <w:rFonts w:hint="eastAsia" w:ascii="仿宋" w:hAnsi="仿宋" w:eastAsia="仿宋" w:cs="仿宋"/>
          <w:sz w:val="28"/>
          <w:szCs w:val="28"/>
          <w:lang w:val="en-US" w:eastAsia="zh-CN"/>
        </w:rPr>
        <w:t>校对：黄小芳</w:t>
      </w:r>
    </w:p>
    <w:p w14:paraId="20663E53">
      <w:pPr>
        <w:pStyle w:val="12"/>
        <w:keepNext w:val="0"/>
        <w:keepLines w:val="0"/>
        <w:pageBreakBefore w:val="0"/>
        <w:widowControl w:val="0"/>
        <w:kinsoku/>
        <w:wordWrap/>
        <w:overflowPunct/>
        <w:topLinePunct w:val="0"/>
        <w:autoSpaceDE w:val="0"/>
        <w:autoSpaceDN w:val="0"/>
        <w:bidi w:val="0"/>
        <w:adjustRightInd w:val="0"/>
        <w:snapToGrid/>
        <w:spacing w:line="20" w:lineRule="exact"/>
        <w:textAlignment w:val="auto"/>
        <w:outlineLvl w:val="9"/>
        <w:rPr>
          <w:rFonts w:hint="default"/>
          <w:lang w:val="en-US" w:eastAsia="zh-CN"/>
        </w:rPr>
      </w:pPr>
    </w:p>
    <w:sectPr>
      <w:footerReference r:id="rId7" w:type="default"/>
      <w:pgSz w:w="11906" w:h="16838"/>
      <w:pgMar w:top="2098" w:right="1474" w:bottom="1984" w:left="1587" w:header="851" w:footer="136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0A34D7-82D8-42AA-90FB-3B27C1BDF9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2" w:fontKey="{4226DF8D-7A44-473B-88E7-4FF898EA8E5D}"/>
  </w:font>
  <w:font w:name="楷体">
    <w:panose1 w:val="02010609060101010101"/>
    <w:charset w:val="86"/>
    <w:family w:val="auto"/>
    <w:pitch w:val="default"/>
    <w:sig w:usb0="800002BF" w:usb1="38CF7CFA" w:usb2="00000016" w:usb3="00000000" w:csb0="00040001" w:csb1="00000000"/>
    <w:embedRegular r:id="rId3" w:fontKey="{B8455EB5-5F53-4C56-B3EF-90532F23F97F}"/>
  </w:font>
  <w:font w:name="仿宋">
    <w:panose1 w:val="02010609060101010101"/>
    <w:charset w:val="86"/>
    <w:family w:val="auto"/>
    <w:pitch w:val="default"/>
    <w:sig w:usb0="800002BF" w:usb1="38CF7CFA" w:usb2="00000016" w:usb3="00000000" w:csb0="00040001" w:csb1="00000000"/>
    <w:embedRegular r:id="rId4" w:fontKey="{8DC8B05C-3AAA-423E-AFAF-1B86EA47EF97}"/>
  </w:font>
  <w:font w:name="方正小标宋简体">
    <w:panose1 w:val="02000000000000000000"/>
    <w:charset w:val="86"/>
    <w:family w:val="auto"/>
    <w:pitch w:val="default"/>
    <w:sig w:usb0="A00002BF" w:usb1="184F6CFA" w:usb2="00000012" w:usb3="00000000" w:csb0="00040001" w:csb1="00000000"/>
    <w:embedRegular r:id="rId5" w:fontKey="{06FFB18A-F229-4767-A0A4-AFCD281966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6FAF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5153DB">
                          <w:pPr>
                            <w:pStyle w:val="5"/>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E5153DB">
                    <w:pPr>
                      <w:pStyle w:val="5"/>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6246F">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D892A">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634FD">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B4634FD">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9AC80">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38DAA">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6FDFE5"/>
    <w:multiLevelType w:val="singleLevel"/>
    <w:tmpl w:val="6A6FDFE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zZjNjMjAwZmZiZGU5N2JhMjMxMTNkYTVlZDBkZDAifQ=="/>
  </w:docVars>
  <w:rsids>
    <w:rsidRoot w:val="00000000"/>
    <w:rsid w:val="007C2CDB"/>
    <w:rsid w:val="00A83AD0"/>
    <w:rsid w:val="00D70859"/>
    <w:rsid w:val="01017F78"/>
    <w:rsid w:val="012A0989"/>
    <w:rsid w:val="015E21E9"/>
    <w:rsid w:val="01E76B4C"/>
    <w:rsid w:val="024261A6"/>
    <w:rsid w:val="029562D6"/>
    <w:rsid w:val="02D2092F"/>
    <w:rsid w:val="03261624"/>
    <w:rsid w:val="03685798"/>
    <w:rsid w:val="051D7C4D"/>
    <w:rsid w:val="05344B44"/>
    <w:rsid w:val="056703FD"/>
    <w:rsid w:val="056F1060"/>
    <w:rsid w:val="05D62C76"/>
    <w:rsid w:val="05DD06BF"/>
    <w:rsid w:val="068C3E93"/>
    <w:rsid w:val="06EC322B"/>
    <w:rsid w:val="073B0BC6"/>
    <w:rsid w:val="077C09E7"/>
    <w:rsid w:val="07C37441"/>
    <w:rsid w:val="0841410B"/>
    <w:rsid w:val="08ED37A6"/>
    <w:rsid w:val="09000405"/>
    <w:rsid w:val="09576850"/>
    <w:rsid w:val="098C61E0"/>
    <w:rsid w:val="09D91DD4"/>
    <w:rsid w:val="0B1C2333"/>
    <w:rsid w:val="0B84224B"/>
    <w:rsid w:val="0C5E27E7"/>
    <w:rsid w:val="0CB078F2"/>
    <w:rsid w:val="0CF05F34"/>
    <w:rsid w:val="0D076351"/>
    <w:rsid w:val="0D3D5EE8"/>
    <w:rsid w:val="0DAD6BC9"/>
    <w:rsid w:val="0E416E63"/>
    <w:rsid w:val="0E522F08"/>
    <w:rsid w:val="0F3007B8"/>
    <w:rsid w:val="0FAD1CD0"/>
    <w:rsid w:val="108F0808"/>
    <w:rsid w:val="10E23D7D"/>
    <w:rsid w:val="10ED748F"/>
    <w:rsid w:val="11954AE4"/>
    <w:rsid w:val="11F33019"/>
    <w:rsid w:val="12105979"/>
    <w:rsid w:val="12A165D1"/>
    <w:rsid w:val="12B4385C"/>
    <w:rsid w:val="13FB7F63"/>
    <w:rsid w:val="140008C3"/>
    <w:rsid w:val="140275A9"/>
    <w:rsid w:val="15073356"/>
    <w:rsid w:val="15282FD9"/>
    <w:rsid w:val="15300579"/>
    <w:rsid w:val="15393438"/>
    <w:rsid w:val="15A76BCA"/>
    <w:rsid w:val="15E50ECA"/>
    <w:rsid w:val="1602382A"/>
    <w:rsid w:val="16FC64CC"/>
    <w:rsid w:val="17163A31"/>
    <w:rsid w:val="1720665E"/>
    <w:rsid w:val="17345C65"/>
    <w:rsid w:val="176A1687"/>
    <w:rsid w:val="17CE2358"/>
    <w:rsid w:val="17D64F6F"/>
    <w:rsid w:val="183A21D1"/>
    <w:rsid w:val="191E6BCD"/>
    <w:rsid w:val="192344DD"/>
    <w:rsid w:val="19A54BF8"/>
    <w:rsid w:val="1AE4670E"/>
    <w:rsid w:val="1B886580"/>
    <w:rsid w:val="1C0B13FC"/>
    <w:rsid w:val="1C13053F"/>
    <w:rsid w:val="1CA23671"/>
    <w:rsid w:val="1CD57802"/>
    <w:rsid w:val="1D484219"/>
    <w:rsid w:val="1DF4614E"/>
    <w:rsid w:val="1E0F2F88"/>
    <w:rsid w:val="1E4C5F8A"/>
    <w:rsid w:val="1E8219AC"/>
    <w:rsid w:val="1EA42FB9"/>
    <w:rsid w:val="1EB15DEE"/>
    <w:rsid w:val="1EE95587"/>
    <w:rsid w:val="1F0217F7"/>
    <w:rsid w:val="1F647304"/>
    <w:rsid w:val="1F78727E"/>
    <w:rsid w:val="1F880E7F"/>
    <w:rsid w:val="204248F8"/>
    <w:rsid w:val="206D21E8"/>
    <w:rsid w:val="20D3799F"/>
    <w:rsid w:val="21832138"/>
    <w:rsid w:val="21A42BAC"/>
    <w:rsid w:val="221C7A1E"/>
    <w:rsid w:val="22663C78"/>
    <w:rsid w:val="230B52ED"/>
    <w:rsid w:val="23BF71FF"/>
    <w:rsid w:val="240115C5"/>
    <w:rsid w:val="24DE7A25"/>
    <w:rsid w:val="253464E9"/>
    <w:rsid w:val="25673449"/>
    <w:rsid w:val="25F161F0"/>
    <w:rsid w:val="26812549"/>
    <w:rsid w:val="273D2914"/>
    <w:rsid w:val="2890797C"/>
    <w:rsid w:val="28996270"/>
    <w:rsid w:val="2912392D"/>
    <w:rsid w:val="29B8189A"/>
    <w:rsid w:val="29F319B0"/>
    <w:rsid w:val="2A5B1B1F"/>
    <w:rsid w:val="2AAD1B5F"/>
    <w:rsid w:val="2ACF41CB"/>
    <w:rsid w:val="2B005079"/>
    <w:rsid w:val="2B393362"/>
    <w:rsid w:val="2B9320D5"/>
    <w:rsid w:val="2BAE2E5E"/>
    <w:rsid w:val="2C4656B2"/>
    <w:rsid w:val="2C644479"/>
    <w:rsid w:val="2C8F3E32"/>
    <w:rsid w:val="2CEE645F"/>
    <w:rsid w:val="2CFF6398"/>
    <w:rsid w:val="2D396853"/>
    <w:rsid w:val="2D761A88"/>
    <w:rsid w:val="2D88240F"/>
    <w:rsid w:val="2DE76039"/>
    <w:rsid w:val="2E147611"/>
    <w:rsid w:val="2E5C0CA4"/>
    <w:rsid w:val="2EC145D7"/>
    <w:rsid w:val="2EDD01AE"/>
    <w:rsid w:val="2F835584"/>
    <w:rsid w:val="2FAC4ADB"/>
    <w:rsid w:val="2FC702CC"/>
    <w:rsid w:val="2FE13510"/>
    <w:rsid w:val="309F63EE"/>
    <w:rsid w:val="30B55C11"/>
    <w:rsid w:val="3199108F"/>
    <w:rsid w:val="31FC5730"/>
    <w:rsid w:val="32096215"/>
    <w:rsid w:val="324B08F4"/>
    <w:rsid w:val="32B83797"/>
    <w:rsid w:val="33346CC9"/>
    <w:rsid w:val="337E7650"/>
    <w:rsid w:val="34090DE1"/>
    <w:rsid w:val="344F719F"/>
    <w:rsid w:val="34B14942"/>
    <w:rsid w:val="358B6F41"/>
    <w:rsid w:val="35957DBF"/>
    <w:rsid w:val="3598340C"/>
    <w:rsid w:val="35A23628"/>
    <w:rsid w:val="367419A0"/>
    <w:rsid w:val="368465D3"/>
    <w:rsid w:val="36F73007"/>
    <w:rsid w:val="371A4A20"/>
    <w:rsid w:val="377707F4"/>
    <w:rsid w:val="37922808"/>
    <w:rsid w:val="37F31F05"/>
    <w:rsid w:val="38A5656B"/>
    <w:rsid w:val="39703748"/>
    <w:rsid w:val="39857904"/>
    <w:rsid w:val="39900FC9"/>
    <w:rsid w:val="39AC09E2"/>
    <w:rsid w:val="3B1E3F1A"/>
    <w:rsid w:val="3B9A612F"/>
    <w:rsid w:val="3C067321"/>
    <w:rsid w:val="3C082C8F"/>
    <w:rsid w:val="3C161E35"/>
    <w:rsid w:val="3C1E0B0E"/>
    <w:rsid w:val="3CB43221"/>
    <w:rsid w:val="3CFF5F7E"/>
    <w:rsid w:val="3D977557"/>
    <w:rsid w:val="3DD54866"/>
    <w:rsid w:val="3E2D274E"/>
    <w:rsid w:val="3E9541C4"/>
    <w:rsid w:val="3EC665B8"/>
    <w:rsid w:val="3F310B59"/>
    <w:rsid w:val="3F6B2EB4"/>
    <w:rsid w:val="3FFB4CC3"/>
    <w:rsid w:val="40B90E06"/>
    <w:rsid w:val="40CF1595"/>
    <w:rsid w:val="411C3143"/>
    <w:rsid w:val="41C308AC"/>
    <w:rsid w:val="41FD2F74"/>
    <w:rsid w:val="422D64C0"/>
    <w:rsid w:val="42443B95"/>
    <w:rsid w:val="426052B1"/>
    <w:rsid w:val="431E7646"/>
    <w:rsid w:val="43900155"/>
    <w:rsid w:val="44C30184"/>
    <w:rsid w:val="45204369"/>
    <w:rsid w:val="454F7F8B"/>
    <w:rsid w:val="455B0481"/>
    <w:rsid w:val="46456690"/>
    <w:rsid w:val="46FA3F26"/>
    <w:rsid w:val="478C11D2"/>
    <w:rsid w:val="47961E6F"/>
    <w:rsid w:val="48233009"/>
    <w:rsid w:val="494B0A69"/>
    <w:rsid w:val="495711BC"/>
    <w:rsid w:val="49D4639E"/>
    <w:rsid w:val="49F7299F"/>
    <w:rsid w:val="4A0D5D1E"/>
    <w:rsid w:val="4A331C29"/>
    <w:rsid w:val="4A4A7E4D"/>
    <w:rsid w:val="4A756F9E"/>
    <w:rsid w:val="4B185E63"/>
    <w:rsid w:val="4CB34742"/>
    <w:rsid w:val="4E17716C"/>
    <w:rsid w:val="4F253B0A"/>
    <w:rsid w:val="4FB27798"/>
    <w:rsid w:val="4FBB6AF2"/>
    <w:rsid w:val="50097337"/>
    <w:rsid w:val="501F70B7"/>
    <w:rsid w:val="505428F9"/>
    <w:rsid w:val="51C23892"/>
    <w:rsid w:val="52521EEA"/>
    <w:rsid w:val="53171365"/>
    <w:rsid w:val="536F614B"/>
    <w:rsid w:val="53BB6E03"/>
    <w:rsid w:val="541A7201"/>
    <w:rsid w:val="549075A8"/>
    <w:rsid w:val="54993065"/>
    <w:rsid w:val="54AC4C18"/>
    <w:rsid w:val="55A70B47"/>
    <w:rsid w:val="562B5EAA"/>
    <w:rsid w:val="567809C3"/>
    <w:rsid w:val="56BC17AC"/>
    <w:rsid w:val="57A35F14"/>
    <w:rsid w:val="57A37CC2"/>
    <w:rsid w:val="581E55D5"/>
    <w:rsid w:val="593D549B"/>
    <w:rsid w:val="5A2E7D17"/>
    <w:rsid w:val="5A5654C0"/>
    <w:rsid w:val="5AAC60EB"/>
    <w:rsid w:val="5ACE5056"/>
    <w:rsid w:val="5B044F1C"/>
    <w:rsid w:val="5B892FF3"/>
    <w:rsid w:val="5C363F52"/>
    <w:rsid w:val="5C4750C0"/>
    <w:rsid w:val="5C5C2DB9"/>
    <w:rsid w:val="5C675762"/>
    <w:rsid w:val="5E9478FA"/>
    <w:rsid w:val="5EB24FDD"/>
    <w:rsid w:val="5EC56530"/>
    <w:rsid w:val="5EE27322"/>
    <w:rsid w:val="5F221C32"/>
    <w:rsid w:val="60CC64DC"/>
    <w:rsid w:val="61363955"/>
    <w:rsid w:val="614557BC"/>
    <w:rsid w:val="61C55B58"/>
    <w:rsid w:val="61D14EC4"/>
    <w:rsid w:val="620F042E"/>
    <w:rsid w:val="62126170"/>
    <w:rsid w:val="62570027"/>
    <w:rsid w:val="62866E53"/>
    <w:rsid w:val="63C27722"/>
    <w:rsid w:val="63E4330D"/>
    <w:rsid w:val="64127638"/>
    <w:rsid w:val="64157FF9"/>
    <w:rsid w:val="643E149E"/>
    <w:rsid w:val="64754793"/>
    <w:rsid w:val="65A93399"/>
    <w:rsid w:val="660F30F2"/>
    <w:rsid w:val="666845B1"/>
    <w:rsid w:val="666B58FE"/>
    <w:rsid w:val="66AD4D4C"/>
    <w:rsid w:val="67B24074"/>
    <w:rsid w:val="67C22271"/>
    <w:rsid w:val="67F81964"/>
    <w:rsid w:val="68055255"/>
    <w:rsid w:val="686D4100"/>
    <w:rsid w:val="693115D2"/>
    <w:rsid w:val="6A0E36C1"/>
    <w:rsid w:val="6A1B7C94"/>
    <w:rsid w:val="6A612844"/>
    <w:rsid w:val="6AA11B4A"/>
    <w:rsid w:val="6BA27591"/>
    <w:rsid w:val="6C45193F"/>
    <w:rsid w:val="6CAE3CD5"/>
    <w:rsid w:val="6CF36A3C"/>
    <w:rsid w:val="6D4E5965"/>
    <w:rsid w:val="6E296D1B"/>
    <w:rsid w:val="6E5C4A72"/>
    <w:rsid w:val="6F9D3C0B"/>
    <w:rsid w:val="6FAD5E72"/>
    <w:rsid w:val="70974FAB"/>
    <w:rsid w:val="70C745CA"/>
    <w:rsid w:val="71581110"/>
    <w:rsid w:val="71CA25C3"/>
    <w:rsid w:val="72930C07"/>
    <w:rsid w:val="72C53404"/>
    <w:rsid w:val="73E60A36"/>
    <w:rsid w:val="757C5983"/>
    <w:rsid w:val="75B73DA6"/>
    <w:rsid w:val="764C2334"/>
    <w:rsid w:val="76770ACD"/>
    <w:rsid w:val="769660F7"/>
    <w:rsid w:val="76CC0B8C"/>
    <w:rsid w:val="76D637B8"/>
    <w:rsid w:val="775A6197"/>
    <w:rsid w:val="77E31BB3"/>
    <w:rsid w:val="7852206C"/>
    <w:rsid w:val="78882C08"/>
    <w:rsid w:val="78D30910"/>
    <w:rsid w:val="78D635FC"/>
    <w:rsid w:val="78F341AE"/>
    <w:rsid w:val="79D70B34"/>
    <w:rsid w:val="7AA412F4"/>
    <w:rsid w:val="7AA8721A"/>
    <w:rsid w:val="7ABD4419"/>
    <w:rsid w:val="7B944111"/>
    <w:rsid w:val="7C550AD0"/>
    <w:rsid w:val="7C5A4544"/>
    <w:rsid w:val="7D012C11"/>
    <w:rsid w:val="7E3B7C27"/>
    <w:rsid w:val="7EAD3051"/>
    <w:rsid w:val="7EB00843"/>
    <w:rsid w:val="7F212E5A"/>
    <w:rsid w:val="7F453289"/>
    <w:rsid w:val="7FAF4BA7"/>
    <w:rsid w:val="7FB3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autoRedefine/>
    <w:qFormat/>
    <w:uiPriority w:val="1"/>
    <w:rPr>
      <w:rFonts w:ascii="宋体" w:hAnsi="宋体" w:eastAsia="宋体" w:cs="宋体"/>
      <w:sz w:val="29"/>
      <w:szCs w:val="29"/>
      <w:lang w:val="en-US" w:eastAsia="zh-CN" w:bidi="ar-SA"/>
    </w:rPr>
  </w:style>
  <w:style w:type="paragraph" w:styleId="4">
    <w:name w:val="Plain Text"/>
    <w:basedOn w:val="1"/>
    <w:autoRedefine/>
    <w:qFormat/>
    <w:uiPriority w:val="0"/>
    <w:rPr>
      <w:rFonts w:ascii="宋体" w:hAnsi="Courier New" w:cs="Courier New"/>
      <w:szCs w:val="21"/>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paragraph" w:customStyle="1" w:styleId="12">
    <w:name w:val="Default"/>
    <w:autoRedefine/>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13">
    <w:name w:val="正文 New New New New"/>
    <w:autoRedefine/>
    <w:qFormat/>
    <w:uiPriority w:val="0"/>
    <w:pPr>
      <w:widowControl w:val="0"/>
      <w:jc w:val="both"/>
    </w:pPr>
    <w:rPr>
      <w:rFonts w:ascii="Times New Roman" w:hAnsi="Times New Roman" w:eastAsia="仿宋_GB2312" w:cs="Times New Roman"/>
      <w:kern w:val="2"/>
      <w:sz w:val="32"/>
      <w:szCs w:val="24"/>
      <w:lang w:val="en-US" w:eastAsia="zh-CN"/>
    </w:rPr>
  </w:style>
  <w:style w:type="paragraph" w:customStyle="1" w:styleId="14">
    <w:name w:val="正文 New New New New New"/>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15">
    <w:name w:val="正文文本1"/>
    <w:basedOn w:val="1"/>
    <w:autoRedefine/>
    <w:qFormat/>
    <w:uiPriority w:val="0"/>
    <w:pPr>
      <w:spacing w:line="437" w:lineRule="auto"/>
      <w:ind w:firstLine="400"/>
    </w:pPr>
    <w:rPr>
      <w:rFonts w:ascii="宋体" w:hAnsi="宋体" w:eastAsia="宋体" w:cs="宋体"/>
      <w:color w:val="auto"/>
      <w:kern w:val="2"/>
      <w:sz w:val="28"/>
      <w:szCs w:val="28"/>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16659</Words>
  <Characters>17597</Characters>
  <Lines>0</Lines>
  <Paragraphs>0</Paragraphs>
  <TotalTime>2</TotalTime>
  <ScaleCrop>false</ScaleCrop>
  <LinksUpToDate>false</LinksUpToDate>
  <CharactersWithSpaces>17677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2022-10-26T07:01:00Z</dcterms:created>
  <dc:creator>LENOVO</dc:creator>
  <cp:lastModifiedBy>林北</cp:lastModifiedBy>
  <cp:lastPrinted>2024-02-26T01:41:00Z</cp:lastPrinted>
  <dcterms:modified xsi:type="dcterms:W3CDTF">2025-09-02T08:27:03Z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DE2826CA5B4B4E6C9D506F4FC5D0206E_13</vt:lpwstr>
  </property>
  <property fmtid="{D5CDD505-2E9C-101B-9397-08002B2CF9AE}" pid="4" name="KSOTemplateDocerSaveRecord">
    <vt:lpwstr>eyJoZGlkIjoiMDY3YzJmZDQ1ZjA0OTEyMTZjYmE3MDk3NjkwZTYwYzUiLCJ1c2VySWQiOiI3MDgxMjk1NDIifQ==</vt:lpwstr>
  </property>
</Properties>
</file>