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0" w:afterAutospacing="0"/>
        <w:ind w:left="0" w:right="0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《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阳江市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市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区声环境功能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区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区划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》</w:t>
      </w: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政策解读</w:t>
      </w:r>
    </w:p>
    <w:p>
      <w:pPr>
        <w:pStyle w:val="2"/>
        <w:rPr>
          <w:sz w:val="32"/>
          <w:szCs w:val="32"/>
        </w:rPr>
      </w:pPr>
      <w:bookmarkStart w:id="0" w:name="_Toc8017"/>
      <w:bookmarkStart w:id="1" w:name="_Toc2853651"/>
      <w:r>
        <w:rPr>
          <w:rFonts w:hint="eastAsia"/>
          <w:sz w:val="32"/>
          <w:szCs w:val="32"/>
        </w:rPr>
        <w:t>一、前言</w:t>
      </w:r>
      <w:bookmarkEnd w:id="0"/>
      <w:bookmarkEnd w:id="1"/>
    </w:p>
    <w:p>
      <w:pPr>
        <w:widowControl/>
        <w:snapToGrid w:val="0"/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2002年原阳江市环境保护局组织修订了《阳江市城市区域环境噪声标准适用区域划分》，同年12月30日经阳江市政府以阳府[2002]131号文批准发布实施。该2002版噪声功能区划自修订实施以来，对加强本市城区声环境管理和噪声污染防治、改善声环境质量起到重要的基础支撑作用。然而，随着阳江市的城市发展、城市用地功能的变化，城市总体规划进行了较大的调整，阳江市中心城区的范围由原来的江城区，增加了阳东区（原阳东县县城）范围，中心城区面积增大，该现行2002年版噪声功能区划已无法满足阳江市城市发展对声环境管理的要求，迫切需要对原区划进行调整和修订。</w:t>
      </w:r>
    </w:p>
    <w:p>
      <w:pPr>
        <w:spacing w:line="360" w:lineRule="auto"/>
        <w:ind w:firstLine="600" w:firstLineChars="200"/>
      </w:pPr>
      <w:r>
        <w:rPr>
          <w:rFonts w:hint="eastAsia"/>
          <w:sz w:val="30"/>
          <w:szCs w:val="30"/>
        </w:rPr>
        <w:t>为有效防治阳江市城市区域噪声污染，加强市区环境建设，改善声环境质量，不断提高城市管理水平，适应城市发展的需要，根据国家《声环境质量标准》（GB3096－2008），结合我市城区规划和现状，特制定本方案。</w:t>
      </w:r>
    </w:p>
    <w:p>
      <w:pPr>
        <w:pStyle w:val="2"/>
        <w:rPr>
          <w:sz w:val="32"/>
          <w:szCs w:val="32"/>
        </w:rPr>
      </w:pPr>
      <w:bookmarkStart w:id="2" w:name="_Toc32057"/>
      <w:bookmarkStart w:id="3" w:name="_Toc2853652"/>
      <w:r>
        <w:rPr>
          <w:rFonts w:hint="eastAsia"/>
          <w:sz w:val="32"/>
          <w:szCs w:val="32"/>
        </w:rPr>
        <w:t>二、目的和意义</w:t>
      </w:r>
      <w:bookmarkEnd w:id="2"/>
      <w:bookmarkEnd w:id="3"/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噪声功能区划的编制和实施可有效控制噪声污染程度和范围，提高声环境质量，保障居民正常生活、学习和工作场所的安静，实现社会、经济、人口、资源、环境的可持续发展，构建人和自然和谐相处的社会，为环境噪声执法管理、建设项目环境规划、噪声污染源治理、信访矛盾处理等提供依据。</w:t>
      </w:r>
    </w:p>
    <w:p>
      <w:pPr>
        <w:pStyle w:val="2"/>
        <w:rPr>
          <w:sz w:val="32"/>
          <w:szCs w:val="32"/>
        </w:rPr>
      </w:pPr>
      <w:bookmarkStart w:id="4" w:name="_Toc2853653"/>
      <w:bookmarkStart w:id="5" w:name="_Toc31804"/>
      <w:r>
        <w:rPr>
          <w:rFonts w:hint="eastAsia"/>
          <w:sz w:val="32"/>
          <w:szCs w:val="32"/>
        </w:rPr>
        <w:t>三、指导思想</w:t>
      </w:r>
      <w:bookmarkEnd w:id="4"/>
      <w:bookmarkEnd w:id="5"/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以习近平新时代中国特色社会主义思想为指导，突出“以人民为中心”环保理念，以促进社会和谐发展为宗旨，以满足目前管理和兼顾未来发展需要为要求，科学的制定阳江市城市区域环境噪声功能区划。</w:t>
      </w:r>
    </w:p>
    <w:p>
      <w:pPr>
        <w:pStyle w:val="2"/>
        <w:spacing w:line="360" w:lineRule="auto"/>
        <w:rPr>
          <w:rFonts w:hint="eastAsia"/>
          <w:sz w:val="32"/>
          <w:szCs w:val="32"/>
        </w:rPr>
      </w:pPr>
      <w:bookmarkStart w:id="6" w:name="_Toc9180"/>
      <w:bookmarkStart w:id="7" w:name="_Toc2853655"/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、调整划分依据</w:t>
      </w:r>
      <w:bookmarkEnd w:id="6"/>
      <w:bookmarkEnd w:id="7"/>
    </w:p>
    <w:p>
      <w:pPr>
        <w:pStyle w:val="4"/>
        <w:spacing w:line="360" w:lineRule="auto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（一）法律法规。</w:t>
      </w:r>
    </w:p>
    <w:p>
      <w:pPr>
        <w:pStyle w:val="4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1.《中华人民共和国环境保护法》；</w:t>
      </w:r>
    </w:p>
    <w:p>
      <w:pPr>
        <w:pStyle w:val="4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2.《中华人民共和国环境噪声污染防治法》；</w:t>
      </w:r>
    </w:p>
    <w:p>
      <w:pPr>
        <w:pStyle w:val="4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3.《广东省环境保护条例》；</w:t>
      </w:r>
    </w:p>
    <w:p>
      <w:pPr>
        <w:pStyle w:val="4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（二）相关标准及技术规范。</w:t>
      </w:r>
    </w:p>
    <w:p>
      <w:pPr>
        <w:pStyle w:val="4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1.《声环境质量标准》（GB 3096-2008）；</w:t>
      </w:r>
    </w:p>
    <w:p>
      <w:pPr>
        <w:pStyle w:val="4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sz w:val="30"/>
          <w:szCs w:val="30"/>
        </w:rPr>
        <w:t>《声环境功能区划分技术规范》</w:t>
      </w:r>
      <w:r>
        <w:rPr>
          <w:rFonts w:hint="eastAsia"/>
          <w:sz w:val="30"/>
          <w:szCs w:val="30"/>
        </w:rPr>
        <w:t>（GB 15190-2014）；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3.《铁路边界噪声限值及其测量方法》（GB 12525-1990）；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4.《城市用地分类与规划建设用地标准》（GB 50137-2011）；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5.《土地利用现状分类》（GB/T 221010-2017）;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6.《阳江市城市规划管理技术规定》；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7.《环境专题空间数据加工处理技术规范》（HJ 927-2017）。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（三）相关规划。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1.阳江市城市总体规划（2016-2035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</w:rPr>
        <w:t>）中心城区用地布局规划图；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2.原阳东县县城区总体规划修编图（2012-2030）。</w:t>
      </w:r>
    </w:p>
    <w:p>
      <w:pPr>
        <w:pStyle w:val="2"/>
        <w:spacing w:line="360" w:lineRule="auto"/>
        <w:rPr>
          <w:sz w:val="32"/>
          <w:szCs w:val="32"/>
        </w:rPr>
      </w:pPr>
      <w:bookmarkStart w:id="8" w:name="_Toc2853656"/>
      <w:bookmarkStart w:id="9" w:name="_Toc28670"/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</w:rPr>
        <w:t>、适用范围</w:t>
      </w:r>
      <w:bookmarkEnd w:id="8"/>
      <w:r>
        <w:rPr>
          <w:rFonts w:hint="eastAsia"/>
          <w:sz w:val="32"/>
          <w:szCs w:val="32"/>
        </w:rPr>
        <w:t> </w:t>
      </w:r>
      <w:bookmarkEnd w:id="9"/>
    </w:p>
    <w:p>
      <w:pPr>
        <w:spacing w:line="360" w:lineRule="auto"/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</w:rPr>
        <w:t>阳江市城区适用国家《声环境质量标准》</w:t>
      </w:r>
      <w:r>
        <w:rPr>
          <w:sz w:val="30"/>
          <w:szCs w:val="30"/>
        </w:rPr>
        <w:t>（GB3096-2008）</w:t>
      </w:r>
      <w:r>
        <w:rPr>
          <w:rFonts w:hint="eastAsia"/>
          <w:sz w:val="32"/>
          <w:szCs w:val="32"/>
        </w:rPr>
        <w:t>的具体区域划分范围为阳江市中心城区规划范围，包括江城区的南恩街道、城南街道、城东街道、城西街道、白沙街道</w:t>
      </w:r>
      <w:r>
        <w:rPr>
          <w:rFonts w:hint="eastAsia"/>
          <w:b/>
          <w:sz w:val="32"/>
          <w:szCs w:val="32"/>
        </w:rPr>
        <w:t>（含属于高新区的福冈工业园部分区域，该部分区域纳入市中心城区范围进行声环境功能区划分）</w:t>
      </w:r>
      <w:r>
        <w:rPr>
          <w:rFonts w:hint="eastAsia"/>
          <w:sz w:val="32"/>
          <w:szCs w:val="32"/>
        </w:rPr>
        <w:t>、岗列街道、中洲街道、城北街道、埠场镇和阳东区的东城镇，共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个街道办事处和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个建制镇，中心城区面积</w:t>
      </w:r>
      <w:r>
        <w:rPr>
          <w:sz w:val="32"/>
          <w:szCs w:val="32"/>
        </w:rPr>
        <w:t>373</w:t>
      </w:r>
      <w:r>
        <w:rPr>
          <w:rFonts w:hint="eastAsia"/>
          <w:sz w:val="32"/>
          <w:szCs w:val="32"/>
        </w:rPr>
        <w:t>km</w:t>
      </w:r>
      <w:r>
        <w:rPr>
          <w:rFonts w:hint="eastAsia"/>
          <w:sz w:val="32"/>
          <w:szCs w:val="32"/>
          <w:vertAlign w:val="superscript"/>
        </w:rPr>
        <w:t>2</w:t>
      </w:r>
      <w:r>
        <w:rPr>
          <w:rFonts w:hint="eastAsia"/>
          <w:sz w:val="32"/>
          <w:szCs w:val="32"/>
        </w:rPr>
        <w:t>。</w:t>
      </w:r>
    </w:p>
    <w:p>
      <w:pPr>
        <w:pStyle w:val="2"/>
        <w:rPr>
          <w:sz w:val="32"/>
          <w:szCs w:val="32"/>
        </w:rPr>
      </w:pPr>
      <w:bookmarkStart w:id="10" w:name="_Toc2853657"/>
      <w:bookmarkStart w:id="11" w:name="_Toc21749"/>
      <w:r>
        <w:rPr>
          <w:rFonts w:hint="eastAsia"/>
          <w:sz w:val="32"/>
          <w:szCs w:val="32"/>
          <w:lang w:eastAsia="zh-CN"/>
        </w:rPr>
        <w:t>六</w:t>
      </w:r>
      <w:r>
        <w:rPr>
          <w:rFonts w:hint="eastAsia"/>
          <w:sz w:val="32"/>
          <w:szCs w:val="32"/>
        </w:rPr>
        <w:t>、各类适用区域标准值</w:t>
      </w:r>
      <w:bookmarkEnd w:id="10"/>
      <w:bookmarkEnd w:id="11"/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（一）声环境功能区划分标准类别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根据国标</w:t>
      </w:r>
      <w:r>
        <w:rPr>
          <w:sz w:val="30"/>
          <w:szCs w:val="30"/>
        </w:rPr>
        <w:t>《声环境功能区划分技术规范》</w:t>
      </w:r>
      <w:r>
        <w:rPr>
          <w:rFonts w:hint="eastAsia"/>
          <w:sz w:val="30"/>
          <w:szCs w:val="30"/>
        </w:rPr>
        <w:t>（GB15190-2014）和国标</w:t>
      </w:r>
      <w:r>
        <w:rPr>
          <w:sz w:val="30"/>
          <w:szCs w:val="30"/>
        </w:rPr>
        <w:t>《声环境质量标准》（GB3096-2008）</w:t>
      </w:r>
      <w:r>
        <w:rPr>
          <w:rFonts w:hint="eastAsia"/>
          <w:sz w:val="30"/>
          <w:szCs w:val="30"/>
        </w:rPr>
        <w:t>，声环境功能区共分如下几类：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0类声环境功能区：指康复疗养区等特别需要安静的区域。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1类声环境功能区：指以居民住宅、医疗卫生、文化教育、科研设计、行政办公为主要功能，需要保持安静的区域。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2类声环境功能区：指以商业金融、集市贸易为主要功能，或者居住、商业、工业混杂，需要维护住宅安静的区域。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3类声环境功能区：指以工业生产、仓储物流为主要功能，需要防止工业噪声对周围环境产生严重影响的区域。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4类声环境功能区：指交通干线两侧一定距离之内，需要防止交通噪声对周围环境产生严重影响的区域，包括4a类和4b类两种类型。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4a类为高速公路、一级公路、二级公路、城市快速路、城市主干路、城市次干路、城市轨道交通（地面段）、内河航道两侧区域。4b类为铁路干线两侧区域。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（二）声环境功能区标准限值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根据《声环境质量标准》（GB3096-2008），以上各类区域执行的声环境标准限值见下表。</w:t>
      </w:r>
    </w:p>
    <w:p>
      <w:pPr>
        <w:wordWrap w:val="0"/>
        <w:ind w:right="56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环境噪声限值        </w:t>
      </w:r>
      <w:r>
        <w:rPr>
          <w:rFonts w:hint="eastAsia"/>
          <w:szCs w:val="21"/>
        </w:rPr>
        <w:t>单位：dB（A）</w:t>
      </w:r>
    </w:p>
    <w:tbl>
      <w:tblPr>
        <w:tblStyle w:val="7"/>
        <w:tblW w:w="0" w:type="auto"/>
        <w:tblInd w:w="95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747"/>
        <w:gridCol w:w="1984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声环境功能区类别</w:t>
            </w:r>
          </w:p>
        </w:tc>
        <w:tc>
          <w:tcPr>
            <w:tcW w:w="4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昼间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夜间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4类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4a类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4b类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备注：各类声环境功能区夜间突发噪声，其最大声级超过环境噪声限值的幅度不得高于15dB（A）。</w:t>
      </w:r>
    </w:p>
    <w:p>
      <w:pPr>
        <w:pStyle w:val="3"/>
        <w:widowControl/>
        <w:spacing w:before="0" w:after="0" w:line="360" w:lineRule="auto"/>
        <w:ind w:firstLine="600" w:firstLineChars="200"/>
        <w:rPr>
          <w:rFonts w:hint="eastAsia" w:ascii="Calibri" w:hAnsi="Calibri" w:eastAsia="宋体"/>
          <w:b w:val="0"/>
          <w:szCs w:val="30"/>
        </w:rPr>
      </w:pPr>
      <w:bookmarkStart w:id="12" w:name="_Toc28724"/>
      <w:bookmarkStart w:id="13" w:name="_Toc20903"/>
      <w:r>
        <w:rPr>
          <w:rFonts w:hint="eastAsia" w:ascii="Calibri" w:hAnsi="Calibri" w:eastAsia="宋体"/>
          <w:b w:val="0"/>
          <w:szCs w:val="30"/>
        </w:rPr>
        <w:t>昼间是指6:00至22:00之间的时段，该时段执行昼间环境噪声限值；夜间是指22:00至次日6:00之间的时段，该时段执行夜间环境噪声限值。</w:t>
      </w:r>
      <w:bookmarkEnd w:id="12"/>
      <w:bookmarkEnd w:id="13"/>
    </w:p>
    <w:p>
      <w:pPr>
        <w:pStyle w:val="4"/>
        <w:ind w:firstLine="600"/>
        <w:rPr>
          <w:rFonts w:hint="eastAsia"/>
        </w:rPr>
      </w:pPr>
      <w:r>
        <w:rPr>
          <w:rFonts w:hint="eastAsia"/>
          <w:sz w:val="30"/>
          <w:szCs w:val="30"/>
        </w:rPr>
        <w:t>各类声环境功能区夜间突发噪声，其最大声级超过环境噪声限值的幅度不得高于15dB（A）。</w:t>
      </w:r>
    </w:p>
    <w:p>
      <w:pPr>
        <w:pStyle w:val="2"/>
        <w:rPr>
          <w:sz w:val="32"/>
          <w:szCs w:val="32"/>
        </w:rPr>
      </w:pPr>
      <w:bookmarkStart w:id="14" w:name="_Toc2853661"/>
      <w:bookmarkStart w:id="15" w:name="_Toc26106"/>
      <w:r>
        <w:rPr>
          <w:rFonts w:hint="eastAsia"/>
          <w:sz w:val="32"/>
          <w:szCs w:val="32"/>
          <w:lang w:eastAsia="zh-CN"/>
        </w:rPr>
        <w:t>七</w:t>
      </w:r>
      <w:r>
        <w:rPr>
          <w:rFonts w:hint="eastAsia"/>
          <w:sz w:val="32"/>
          <w:szCs w:val="32"/>
        </w:rPr>
        <w:t>、其他</w:t>
      </w:r>
      <w:bookmarkEnd w:id="14"/>
      <w:bookmarkEnd w:id="15"/>
      <w:bookmarkStart w:id="16" w:name="_GoBack"/>
      <w:bookmarkEnd w:id="16"/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</w:t>
      </w:r>
      <w:r>
        <w:rPr>
          <w:rFonts w:hint="eastAsia"/>
          <w:sz w:val="30"/>
          <w:szCs w:val="30"/>
        </w:rPr>
        <w:t>噪声功能区</w:t>
      </w:r>
      <w:r>
        <w:rPr>
          <w:sz w:val="30"/>
          <w:szCs w:val="30"/>
        </w:rPr>
        <w:t>划由</w:t>
      </w:r>
      <w:r>
        <w:rPr>
          <w:rFonts w:hint="eastAsia"/>
          <w:sz w:val="30"/>
          <w:szCs w:val="30"/>
        </w:rPr>
        <w:t>阳江市生态环境局报阳江市政府批准后实施，本区划自阳江市政府颁布之日起，2002年12月30日颁布的《阳江市城市区域环境噪声标准适用区域划分》（阳府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〔</w:t>
      </w:r>
      <w:r>
        <w:rPr>
          <w:rFonts w:hint="eastAsia"/>
          <w:sz w:val="30"/>
          <w:szCs w:val="30"/>
        </w:rPr>
        <w:t>2002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〕</w:t>
      </w:r>
      <w:r>
        <w:rPr>
          <w:rFonts w:hint="eastAsia"/>
          <w:sz w:val="30"/>
          <w:szCs w:val="30"/>
        </w:rPr>
        <w:t>131号）同时废止。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以后城区新增交通干线道路执行4类声环境功能区标准；两类功能区之间的边界处，执行较严一级标准；阳江市城市区域</w:t>
      </w:r>
      <w:r>
        <w:rPr>
          <w:rFonts w:hint="eastAsia" w:ascii="宋体" w:hAnsi="宋体" w:cs="宋体"/>
          <w:kern w:val="0"/>
          <w:sz w:val="30"/>
          <w:szCs w:val="30"/>
        </w:rPr>
        <w:t>除上述划定的各类区域外，</w:t>
      </w:r>
      <w:r>
        <w:rPr>
          <w:rFonts w:hint="eastAsia"/>
          <w:sz w:val="30"/>
          <w:szCs w:val="30"/>
        </w:rPr>
        <w:t>对未列入本噪声功能区划的区域，待建设用地规划功能确定之后，按照规划用地性质参照相应功能属性确定。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当阳江市城区中、远期城市改造与发展需要，区域功能有重大变动时，阳江市人民政府可根据实际情况进行适当调整。</w:t>
      </w:r>
    </w:p>
    <w:p>
      <w:pPr>
        <w:spacing w:line="360" w:lineRule="auto"/>
        <w:ind w:firstLine="600" w:firstLineChars="200"/>
        <w:rPr>
          <w:rFonts w:hint="eastAsia" w:ascii="宋体" w:hAnsi="宋体" w:eastAsiaTheme="minorEastAsia"/>
          <w:bCs/>
          <w:spacing w:val="-1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843" w:left="1800" w:header="851" w:footer="992" w:gutter="0"/>
          <w:pgNumType w:start="1" w:chapStyle="2"/>
          <w:cols w:space="720" w:num="1"/>
          <w:docGrid w:type="lines" w:linePitch="312" w:charSpace="0"/>
        </w:sectPr>
      </w:pPr>
      <w:r>
        <w:rPr>
          <w:rFonts w:hint="eastAsia"/>
          <w:sz w:val="30"/>
          <w:szCs w:val="30"/>
        </w:rPr>
        <w:t>阳江市生态环境局</w:t>
      </w:r>
      <w:r>
        <w:rPr>
          <w:sz w:val="30"/>
          <w:szCs w:val="30"/>
        </w:rPr>
        <w:t>负责</w:t>
      </w:r>
      <w:r>
        <w:rPr>
          <w:rFonts w:hint="eastAsia"/>
          <w:sz w:val="30"/>
          <w:szCs w:val="30"/>
        </w:rPr>
        <w:t>本区划的</w:t>
      </w:r>
      <w:r>
        <w:rPr>
          <w:sz w:val="30"/>
          <w:szCs w:val="30"/>
        </w:rPr>
        <w:t>解释并监督</w:t>
      </w:r>
      <w:r>
        <w:rPr>
          <w:rFonts w:hint="eastAsia"/>
          <w:sz w:val="30"/>
          <w:szCs w:val="30"/>
          <w:lang w:eastAsia="zh-CN"/>
        </w:rPr>
        <w:t>实施。</w:t>
      </w:r>
    </w:p>
    <w:p>
      <w:pPr>
        <w:rPr>
          <w:rFonts w:hint="eastAsia" w:ascii="方正小标宋简体" w:hAnsi="黑体" w:eastAsia="方正小标宋简体"/>
          <w:bCs/>
          <w:sz w:val="36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3CF8EE-EA45-492F-AFBE-FE0F335DFF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30AC5EB-2BD6-4D7C-B7D3-295B59E413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EB04703-792F-4801-AF23-D49B1D50801A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2361920-DF5C-4183-B8E1-9AA93D78BC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16</w:t>
    </w:r>
    <w:r>
      <w:rPr>
        <w:sz w:val="24"/>
        <w:szCs w:val="24"/>
      </w:rPr>
      <w:fldChar w:fldCharType="end"/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26</w:t>
    </w:r>
    <w:r>
      <w:rPr>
        <w:sz w:val="24"/>
        <w:szCs w:val="24"/>
      </w:rPr>
      <w:fldChar w:fldCharType="end"/>
    </w:r>
  </w:p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966A2"/>
    <w:rsid w:val="1B4966A2"/>
    <w:rsid w:val="658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40" w:after="120"/>
      <w:outlineLvl w:val="1"/>
    </w:pPr>
    <w:rPr>
      <w:rFonts w:ascii="Arial" w:hAnsi="Arial" w:eastAsia="仿宋_GB2312" w:cs="Times New Roman"/>
      <w:b/>
      <w:sz w:val="30"/>
      <w:szCs w:val="20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99"/>
    <w:pPr>
      <w:ind w:firstLine="420" w:firstLineChars="200"/>
    </w:p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ascii="微软雅黑" w:hAnsi="微软雅黑" w:eastAsia="微软雅黑" w:cs="微软雅黑"/>
      <w:color w:val="333333"/>
      <w:sz w:val="18"/>
      <w:szCs w:val="18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customStyle="1" w:styleId="13">
    <w:name w:val="dw"/>
    <w:basedOn w:val="8"/>
    <w:uiPriority w:val="0"/>
  </w:style>
  <w:style w:type="character" w:customStyle="1" w:styleId="14">
    <w:name w:val="xxgk_1_l_ti_1"/>
    <w:basedOn w:val="8"/>
    <w:uiPriority w:val="0"/>
  </w:style>
  <w:style w:type="character" w:customStyle="1" w:styleId="15">
    <w:name w:val="wgkbd_jcgk"/>
    <w:basedOn w:val="8"/>
    <w:uiPriority w:val="0"/>
    <w:rPr>
      <w:color w:val="FFFFFF"/>
      <w:sz w:val="36"/>
      <w:szCs w:val="36"/>
      <w:shd w:val="clear" w:fill="026EBE"/>
    </w:rPr>
  </w:style>
  <w:style w:type="character" w:customStyle="1" w:styleId="16">
    <w:name w:val="dqwz"/>
    <w:basedOn w:val="8"/>
    <w:uiPriority w:val="0"/>
    <w:rPr>
      <w:color w:val="9D9D9D"/>
      <w:sz w:val="24"/>
      <w:szCs w:val="24"/>
    </w:rPr>
  </w:style>
  <w:style w:type="character" w:customStyle="1" w:styleId="17">
    <w:name w:val="ib"/>
    <w:basedOn w:val="8"/>
    <w:uiPriority w:val="0"/>
  </w:style>
  <w:style w:type="character" w:customStyle="1" w:styleId="18">
    <w:name w:val="sjkf_1_l_tp_ti_1"/>
    <w:basedOn w:val="8"/>
    <w:uiPriority w:val="0"/>
  </w:style>
  <w:style w:type="character" w:customStyle="1" w:styleId="19">
    <w:name w:val="hdjl_1_l_ti_1"/>
    <w:basedOn w:val="8"/>
    <w:uiPriority w:val="0"/>
  </w:style>
  <w:style w:type="character" w:customStyle="1" w:styleId="20">
    <w:name w:val="fr"/>
    <w:basedOn w:val="8"/>
    <w:uiPriority w:val="0"/>
  </w:style>
  <w:style w:type="character" w:customStyle="1" w:styleId="21">
    <w:name w:val="zxfw_1_m_ti_1"/>
    <w:basedOn w:val="8"/>
    <w:uiPriority w:val="0"/>
  </w:style>
  <w:style w:type="character" w:customStyle="1" w:styleId="22">
    <w:name w:val="data"/>
    <w:basedOn w:val="8"/>
    <w:uiPriority w:val="0"/>
    <w:rPr>
      <w:color w:val="1378C4"/>
      <w:sz w:val="21"/>
      <w:szCs w:val="21"/>
    </w:rPr>
  </w:style>
  <w:style w:type="character" w:customStyle="1" w:styleId="23">
    <w:name w:val="hdjl_1_m_ti_1"/>
    <w:basedOn w:val="8"/>
    <w:uiPriority w:val="0"/>
  </w:style>
  <w:style w:type="character" w:customStyle="1" w:styleId="24">
    <w:name w:val="zxfw_1_r_to_ti_1"/>
    <w:basedOn w:val="8"/>
    <w:uiPriority w:val="0"/>
  </w:style>
  <w:style w:type="character" w:customStyle="1" w:styleId="25">
    <w:name w:val="tb"/>
    <w:basedOn w:val="8"/>
    <w:qFormat/>
    <w:uiPriority w:val="0"/>
  </w:style>
  <w:style w:type="character" w:customStyle="1" w:styleId="26">
    <w:name w:val="serch_b"/>
    <w:basedOn w:val="8"/>
    <w:qFormat/>
    <w:uiPriority w:val="0"/>
  </w:style>
  <w:style w:type="character" w:customStyle="1" w:styleId="27">
    <w:name w:val="hover35"/>
    <w:basedOn w:val="8"/>
    <w:uiPriority w:val="0"/>
    <w:rPr>
      <w:color w:val="A50D0D"/>
    </w:rPr>
  </w:style>
  <w:style w:type="character" w:customStyle="1" w:styleId="28">
    <w:name w:val="hover36"/>
    <w:basedOn w:val="8"/>
    <w:uiPriority w:val="0"/>
    <w:rPr>
      <w:color w:val="FF0000"/>
    </w:rPr>
  </w:style>
  <w:style w:type="character" w:customStyle="1" w:styleId="29">
    <w:name w:val="wgk_more"/>
    <w:basedOn w:val="8"/>
    <w:uiPriority w:val="0"/>
  </w:style>
  <w:style w:type="character" w:customStyle="1" w:styleId="30">
    <w:name w:val="na_wz"/>
    <w:basedOn w:val="8"/>
    <w:uiPriority w:val="0"/>
    <w:rPr>
      <w:b/>
    </w:rPr>
  </w:style>
  <w:style w:type="character" w:customStyle="1" w:styleId="31">
    <w:name w:val="zjyj_1_l_ti_1"/>
    <w:basedOn w:val="8"/>
    <w:qFormat/>
    <w:uiPriority w:val="0"/>
  </w:style>
  <w:style w:type="character" w:customStyle="1" w:styleId="32">
    <w:name w:val="xxgk_1_m_ti_1"/>
    <w:basedOn w:val="8"/>
    <w:qFormat/>
    <w:uiPriority w:val="0"/>
  </w:style>
  <w:style w:type="character" w:customStyle="1" w:styleId="33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4">
    <w:name w:val="hdjl_1_r_ti_1"/>
    <w:basedOn w:val="8"/>
    <w:qFormat/>
    <w:uiPriority w:val="0"/>
  </w:style>
  <w:style w:type="character" w:customStyle="1" w:styleId="35">
    <w:name w:val="sj"/>
    <w:basedOn w:val="8"/>
    <w:qFormat/>
    <w:uiPriority w:val="0"/>
  </w:style>
  <w:style w:type="character" w:customStyle="1" w:styleId="36">
    <w:name w:val="next2"/>
    <w:basedOn w:val="8"/>
    <w:qFormat/>
    <w:uiPriority w:val="0"/>
    <w:rPr>
      <w:sz w:val="24"/>
      <w:szCs w:val="24"/>
    </w:rPr>
  </w:style>
  <w:style w:type="character" w:customStyle="1" w:styleId="37">
    <w:name w:val="zxfw_1_l_ti_1"/>
    <w:basedOn w:val="8"/>
    <w:qFormat/>
    <w:uiPriority w:val="0"/>
  </w:style>
  <w:style w:type="character" w:customStyle="1" w:styleId="38">
    <w:name w:val="mt5"/>
    <w:basedOn w:val="8"/>
    <w:qFormat/>
    <w:uiPriority w:val="0"/>
  </w:style>
  <w:style w:type="character" w:customStyle="1" w:styleId="39">
    <w:name w:val="fl"/>
    <w:basedOn w:val="8"/>
    <w:qFormat/>
    <w:uiPriority w:val="0"/>
  </w:style>
  <w:style w:type="character" w:customStyle="1" w:styleId="40">
    <w:name w:val="zt"/>
    <w:basedOn w:val="8"/>
    <w:qFormat/>
    <w:uiPriority w:val="0"/>
    <w:rPr>
      <w:color w:val="1378C4"/>
      <w:sz w:val="21"/>
      <w:szCs w:val="21"/>
    </w:rPr>
  </w:style>
  <w:style w:type="character" w:customStyle="1" w:styleId="41">
    <w:name w:val="f_l"/>
    <w:basedOn w:val="8"/>
    <w:uiPriority w:val="0"/>
  </w:style>
  <w:style w:type="character" w:customStyle="1" w:styleId="42">
    <w:name w:val="zxfw_1_r_bo_ti_1"/>
    <w:basedOn w:val="8"/>
    <w:qFormat/>
    <w:uiPriority w:val="0"/>
  </w:style>
  <w:style w:type="character" w:customStyle="1" w:styleId="43">
    <w:name w:val="zhuant"/>
    <w:basedOn w:val="8"/>
    <w:qFormat/>
    <w:uiPriority w:val="0"/>
    <w:rPr>
      <w:color w:val="1378C4"/>
      <w:sz w:val="21"/>
      <w:szCs w:val="21"/>
    </w:rPr>
  </w:style>
  <w:style w:type="character" w:customStyle="1" w:styleId="44">
    <w:name w:val="ztc"/>
    <w:basedOn w:val="8"/>
    <w:qFormat/>
    <w:uiPriority w:val="0"/>
  </w:style>
  <w:style w:type="character" w:customStyle="1" w:styleId="45">
    <w:name w:val="wz"/>
    <w:basedOn w:val="8"/>
    <w:qFormat/>
    <w:uiPriority w:val="0"/>
    <w:rPr>
      <w:color w:val="9D9D9D"/>
      <w:sz w:val="24"/>
      <w:szCs w:val="24"/>
    </w:rPr>
  </w:style>
  <w:style w:type="character" w:customStyle="1" w:styleId="46">
    <w:name w:val="first-child"/>
    <w:basedOn w:val="8"/>
    <w:qFormat/>
    <w:uiPriority w:val="0"/>
  </w:style>
  <w:style w:type="character" w:customStyle="1" w:styleId="47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2020-06-28T02:12:00Z</dcterms:created>
  <dc:creator>白肉</dc:creator>
  <cp:lastModifiedBy>白肉</cp:lastModifiedBy>
  <dcterms:modified xsi:type="dcterms:W3CDTF">2020-07-27T01:23:31Z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