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20" w:lineRule="exact"/>
        <w:textAlignment w:val="auto"/>
        <w:outlineLvl w:val="9"/>
        <w:rPr>
          <w:rFonts w:hint="default" w:ascii="Times New Roman" w:hAnsi="Times New Roman" w:eastAsia="黑体" w:cs="Times New Roman"/>
          <w:b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附件1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20" w:lineRule="exact"/>
        <w:jc w:val="center"/>
        <w:textAlignment w:val="auto"/>
        <w:outlineLvl w:val="9"/>
        <w:rPr>
          <w:rFonts w:hint="default" w:ascii="Times New Roman" w:hAnsi="Times New Roman" w:eastAsia="方正大标宋简体" w:cs="Times New Roman"/>
          <w:color w:val="auto"/>
          <w:kern w:val="1"/>
          <w:sz w:val="44"/>
        </w:rPr>
      </w:pP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20" w:lineRule="exact"/>
        <w:jc w:val="center"/>
        <w:textAlignment w:val="auto"/>
        <w:outlineLvl w:val="9"/>
        <w:rPr>
          <w:rFonts w:hint="default" w:ascii="Times New Roman" w:hAnsi="Times New Roman" w:eastAsia="方正大标宋简体" w:cs="Times New Roman"/>
          <w:color w:val="auto"/>
          <w:kern w:val="1"/>
          <w:sz w:val="52"/>
          <w:szCs w:val="52"/>
        </w:rPr>
      </w:pP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20" w:lineRule="exact"/>
        <w:jc w:val="center"/>
        <w:textAlignment w:val="auto"/>
        <w:outlineLvl w:val="9"/>
        <w:rPr>
          <w:rFonts w:hint="default" w:ascii="Times New Roman" w:hAnsi="Times New Roman" w:eastAsia="方正大标宋简体" w:cs="Times New Roman"/>
          <w:color w:val="auto"/>
          <w:kern w:val="1"/>
          <w:sz w:val="52"/>
          <w:szCs w:val="52"/>
        </w:rPr>
      </w:pP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1"/>
          <w:sz w:val="44"/>
          <w:szCs w:val="44"/>
          <w:lang w:eastAsia="zh-CN"/>
        </w:rPr>
        <w:t>中央财政</w:t>
      </w:r>
      <w:r>
        <w:rPr>
          <w:rFonts w:hint="eastAsia" w:ascii="方正小标宋简体" w:hAnsi="方正小标宋简体" w:eastAsia="方正小标宋简体" w:cs="方正小标宋简体"/>
          <w:color w:val="auto"/>
          <w:kern w:val="1"/>
          <w:sz w:val="44"/>
          <w:szCs w:val="44"/>
          <w:lang w:val="en-US" w:eastAsia="zh-CN"/>
        </w:rPr>
        <w:t>2022年度阳江外经贸发展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1"/>
          <w:sz w:val="44"/>
          <w:szCs w:val="44"/>
          <w:lang w:val="en-US" w:eastAsia="zh-CN"/>
        </w:rPr>
        <w:t>专项资金（跨境电子商务事项）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2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color w:val="auto"/>
          <w:kern w:val="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1"/>
          <w:sz w:val="44"/>
          <w:szCs w:val="44"/>
          <w:lang w:val="en-US" w:eastAsia="zh-CN"/>
        </w:rPr>
        <w:t>项目申报材料</w:t>
      </w:r>
    </w:p>
    <w:p>
      <w:pPr>
        <w:pStyle w:val="4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52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520" w:lineRule="exact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520" w:lineRule="exact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520" w:lineRule="exact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520" w:lineRule="exact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520" w:lineRule="exact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520" w:lineRule="exact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520" w:lineRule="exact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520" w:lineRule="exact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520" w:lineRule="exact"/>
        <w:ind w:firstLine="1440" w:firstLineChars="45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申报单位：</w:t>
      </w:r>
    </w:p>
    <w:p>
      <w:pPr>
        <w:pStyle w:val="4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520" w:lineRule="exact"/>
        <w:ind w:firstLine="1440" w:firstLineChars="45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申报内容：</w:t>
      </w:r>
    </w:p>
    <w:p>
      <w:pPr>
        <w:pStyle w:val="4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520" w:lineRule="exact"/>
        <w:ind w:firstLine="1440" w:firstLineChars="45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所属地区：</w:t>
      </w:r>
    </w:p>
    <w:p>
      <w:pPr>
        <w:pStyle w:val="4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520" w:lineRule="exact"/>
        <w:ind w:firstLine="1440" w:firstLineChars="45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申报时间：</w:t>
      </w:r>
    </w:p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20" w:lineRule="exac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mNjFiOGUzNTdiNGY2OWNjMjZmMTIwNzIyZDNlZDIifQ=="/>
  </w:docVars>
  <w:rsids>
    <w:rsidRoot w:val="00000000"/>
    <w:rsid w:val="4AC03870"/>
    <w:rsid w:val="7DCE7C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line="560" w:lineRule="exact"/>
      <w:ind w:firstLine="600" w:firstLineChars="200"/>
      <w:outlineLvl w:val="0"/>
    </w:pPr>
    <w:rPr>
      <w:rFonts w:ascii="仿宋_GB2312"/>
      <w:sz w:val="3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</Words>
  <Characters>60</Characters>
  <Lines>0</Lines>
  <Paragraphs>0</Paragraphs>
  <TotalTime>0</TotalTime>
  <ScaleCrop>false</ScaleCrop>
  <LinksUpToDate>false</LinksUpToDate>
  <CharactersWithSpaces>61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2022-11-10T09:08:58Z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61488DFBEFB5418A8EC1F0E92EF239B2</vt:lpwstr>
  </property>
</Properties>
</file>