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67267">
      <w:pPr>
        <w:keepNext w:val="0"/>
        <w:keepLines w:val="0"/>
        <w:pageBreakBefore w:val="0"/>
        <w:widowControl w:val="0"/>
        <w:kinsoku/>
        <w:wordWrap/>
        <w:overflowPunct/>
        <w:topLinePunct w:val="0"/>
        <w:autoSpaceDE/>
        <w:autoSpaceDN/>
        <w:bidi w:val="0"/>
        <w:adjustRightInd/>
        <w:snapToGrid/>
        <w:spacing w:line="594" w:lineRule="exact"/>
        <w:ind w:right="0" w:rightChars="0"/>
        <w:jc w:val="both"/>
        <w:textAlignment w:val="auto"/>
        <w:outlineLvl w:val="9"/>
        <w:rPr>
          <w:rFonts w:hint="eastAsia" w:ascii="黑体" w:hAnsi="黑体" w:eastAsia="黑体" w:cs="黑体"/>
          <w:sz w:val="34"/>
          <w:szCs w:val="34"/>
          <w:lang w:val="en-US" w:eastAsia="zh-CN"/>
        </w:rPr>
      </w:pPr>
      <w:r>
        <w:rPr>
          <w:rFonts w:hint="eastAsia" w:ascii="黑体" w:hAnsi="黑体" w:eastAsia="黑体" w:cs="黑体"/>
          <w:sz w:val="34"/>
          <w:szCs w:val="34"/>
          <w:lang w:val="en-US" w:eastAsia="zh-CN"/>
        </w:rPr>
        <w:t>附件12</w:t>
      </w:r>
    </w:p>
    <w:p w14:paraId="3C5AFFBC">
      <w:pPr>
        <w:keepNext w:val="0"/>
        <w:keepLines w:val="0"/>
        <w:pageBreakBefore w:val="0"/>
        <w:widowControl w:val="0"/>
        <w:kinsoku/>
        <w:wordWrap/>
        <w:overflowPunct/>
        <w:topLinePunct w:val="0"/>
        <w:autoSpaceDE/>
        <w:autoSpaceDN/>
        <w:bidi w:val="0"/>
        <w:adjustRightInd/>
        <w:snapToGrid/>
        <w:spacing w:line="594" w:lineRule="exact"/>
        <w:ind w:right="0" w:rightChars="0"/>
        <w:jc w:val="center"/>
        <w:textAlignment w:val="auto"/>
        <w:outlineLvl w:val="9"/>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lang w:eastAsia="zh-CN"/>
        </w:rPr>
        <w:t>省级财政知识产权专项资金市县项目资金测算参考</w:t>
      </w:r>
    </w:p>
    <w:p w14:paraId="6872D892">
      <w:pPr>
        <w:keepNext w:val="0"/>
        <w:keepLines w:val="0"/>
        <w:pageBreakBefore w:val="0"/>
        <w:widowControl w:val="0"/>
        <w:kinsoku/>
        <w:wordWrap/>
        <w:overflowPunct/>
        <w:topLinePunct w:val="0"/>
        <w:autoSpaceDE/>
        <w:autoSpaceDN/>
        <w:bidi w:val="0"/>
        <w:adjustRightInd/>
        <w:snapToGrid/>
        <w:spacing w:line="594" w:lineRule="exact"/>
        <w:ind w:right="0" w:rightChars="0"/>
        <w:textAlignment w:val="auto"/>
        <w:outlineLvl w:val="9"/>
        <w:rPr>
          <w:rFonts w:hint="eastAsia" w:ascii="方正仿宋简体" w:hAnsi="方正仿宋简体" w:eastAsia="方正仿宋简体" w:cs="方正仿宋简体"/>
          <w:color w:val="auto"/>
          <w:sz w:val="34"/>
          <w:szCs w:val="34"/>
          <w:lang w:eastAsia="zh-CN"/>
        </w:rPr>
      </w:pPr>
      <w:bookmarkStart w:id="0" w:name="_GoBack"/>
      <w:bookmarkEnd w:id="0"/>
    </w:p>
    <w:p w14:paraId="6F0DA18A">
      <w:pPr>
        <w:keepNext w:val="0"/>
        <w:keepLines w:val="0"/>
        <w:pageBreakBefore w:val="0"/>
        <w:widowControl w:val="0"/>
        <w:kinsoku/>
        <w:wordWrap/>
        <w:overflowPunct/>
        <w:topLinePunct w:val="0"/>
        <w:autoSpaceDE/>
        <w:autoSpaceDN/>
        <w:bidi w:val="0"/>
        <w:adjustRightInd/>
        <w:snapToGrid/>
        <w:spacing w:line="594" w:lineRule="exact"/>
        <w:ind w:right="0" w:rightChars="0"/>
        <w:textAlignment w:val="auto"/>
        <w:outlineLvl w:val="9"/>
        <w:rPr>
          <w:rFonts w:hint="eastAsia" w:ascii="黑体" w:hAnsi="黑体" w:eastAsia="黑体" w:cs="黑体"/>
          <w:color w:val="auto"/>
          <w:sz w:val="34"/>
          <w:szCs w:val="34"/>
          <w:lang w:eastAsia="zh-CN"/>
        </w:rPr>
      </w:pPr>
      <w:r>
        <w:rPr>
          <w:rFonts w:hint="eastAsia" w:ascii="黑体" w:hAnsi="黑体" w:eastAsia="黑体" w:cs="黑体"/>
          <w:color w:val="auto"/>
          <w:sz w:val="34"/>
          <w:szCs w:val="34"/>
          <w:lang w:eastAsia="zh-CN"/>
        </w:rPr>
        <w:t>一、资金使用范围</w:t>
      </w:r>
    </w:p>
    <w:p w14:paraId="550D961B">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lang w:eastAsia="zh-CN"/>
        </w:rPr>
      </w:pPr>
      <w:r>
        <w:rPr>
          <w:rFonts w:hint="eastAsia" w:ascii="方正仿宋简体" w:hAnsi="方正仿宋简体" w:eastAsia="方正仿宋简体" w:cs="方正仿宋简体"/>
          <w:color w:val="auto"/>
          <w:sz w:val="34"/>
          <w:szCs w:val="34"/>
        </w:rPr>
        <w:t>项目资金支出是指在项目组织实施过程中与研究活动相关的、由项目资金支付的各项费用支出，具体包括</w:t>
      </w:r>
      <w:r>
        <w:rPr>
          <w:rFonts w:hint="eastAsia" w:ascii="方正仿宋简体" w:hAnsi="方正仿宋简体" w:eastAsia="方正仿宋简体" w:cs="方正仿宋简体"/>
          <w:color w:val="auto"/>
          <w:sz w:val="34"/>
          <w:szCs w:val="34"/>
          <w:lang w:eastAsia="zh-CN"/>
        </w:rPr>
        <w:t>：</w:t>
      </w:r>
    </w:p>
    <w:p w14:paraId="6F6CC32B">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1.会议费/差旅费等。在项目实施过程中开展学术研讨、咨询交流、考察调研</w:t>
      </w:r>
      <w:r>
        <w:rPr>
          <w:rFonts w:hint="eastAsia" w:ascii="方正仿宋简体" w:hAnsi="方正仿宋简体" w:eastAsia="方正仿宋简体" w:cs="方正仿宋简体"/>
          <w:color w:val="auto"/>
          <w:sz w:val="34"/>
          <w:szCs w:val="34"/>
          <w:lang w:eastAsia="zh-CN"/>
        </w:rPr>
        <w:t>（</w:t>
      </w:r>
      <w:r>
        <w:rPr>
          <w:rFonts w:hint="eastAsia" w:ascii="方正仿宋简体" w:hAnsi="方正仿宋简体" w:eastAsia="方正仿宋简体" w:cs="方正仿宋简体"/>
          <w:color w:val="auto"/>
          <w:sz w:val="34"/>
          <w:szCs w:val="34"/>
        </w:rPr>
        <w:t>包含调查、走访</w:t>
      </w:r>
      <w:r>
        <w:rPr>
          <w:rFonts w:hint="eastAsia" w:ascii="方正仿宋简体" w:hAnsi="方正仿宋简体" w:eastAsia="方正仿宋简体" w:cs="方正仿宋简体"/>
          <w:color w:val="auto"/>
          <w:sz w:val="34"/>
          <w:szCs w:val="34"/>
          <w:lang w:eastAsia="zh-CN"/>
        </w:rPr>
        <w:t>）</w:t>
      </w:r>
      <w:r>
        <w:rPr>
          <w:rFonts w:hint="eastAsia" w:ascii="方正仿宋简体" w:hAnsi="方正仿宋简体" w:eastAsia="方正仿宋简体" w:cs="方正仿宋简体"/>
          <w:color w:val="auto"/>
          <w:sz w:val="34"/>
          <w:szCs w:val="34"/>
        </w:rPr>
        <w:t>等活动而发生的会议、交通、食宿等费用。</w:t>
      </w:r>
    </w:p>
    <w:p w14:paraId="06594091">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2.软硬件设备费。在项目实施过程中购置软硬件设备和软硬件设备耗材、升级维护现有软硬件设备以及租用外单位软硬件设备而发生的费用。</w:t>
      </w:r>
    </w:p>
    <w:p w14:paraId="4EAB2E2B">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3.专家咨询费。在项目实施过程中支付给临时聘请的咨询专家的费用</w:t>
      </w:r>
      <w:r>
        <w:rPr>
          <w:rFonts w:hint="eastAsia" w:ascii="方正仿宋简体" w:hAnsi="方正仿宋简体" w:eastAsia="方正仿宋简体" w:cs="方正仿宋简体"/>
          <w:color w:val="auto"/>
          <w:sz w:val="34"/>
          <w:szCs w:val="34"/>
          <w:lang w:eastAsia="zh-CN"/>
        </w:rPr>
        <w:t>，</w:t>
      </w:r>
      <w:r>
        <w:rPr>
          <w:rFonts w:hint="eastAsia" w:ascii="方正仿宋简体" w:hAnsi="方正仿宋简体" w:eastAsia="方正仿宋简体" w:cs="方正仿宋简体"/>
          <w:color w:val="auto"/>
          <w:sz w:val="34"/>
          <w:szCs w:val="34"/>
        </w:rPr>
        <w:t>专家咨询费不得支付给参与项目管理相关工作人员。</w:t>
      </w:r>
    </w:p>
    <w:p w14:paraId="206C837F">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4.劳务费。在项目实施过程中支付给参与项目实施的承担单位编制外人员以及项目聘用的辅助人员等的劳务费用。劳务费预算根据项目研究据实编制。</w:t>
      </w:r>
    </w:p>
    <w:p w14:paraId="1B5E2B1A">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5.人员费。在项目实施过程中支付给参与项目实施的承担单位聘用制人员的费用。人员费预算根据项目研究据实编制。</w:t>
      </w:r>
    </w:p>
    <w:p w14:paraId="64276C99">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6.出版/文献/信息传播/知识产权事务费。在项目实施过程中，需要支付的出版费、资料费、专用软件购买费、文献检索费、专业通信费、专利申请及其他知识产权事务等费用。</w:t>
      </w:r>
    </w:p>
    <w:p w14:paraId="0947524C">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7.服务费。</w:t>
      </w:r>
      <w:r>
        <w:rPr>
          <w:rFonts w:hint="eastAsia" w:ascii="方正仿宋简体" w:hAnsi="方正仿宋简体" w:eastAsia="方正仿宋简体" w:cs="方正仿宋简体"/>
          <w:color w:val="auto"/>
          <w:sz w:val="34"/>
          <w:szCs w:val="34"/>
          <w:lang w:eastAsia="zh-CN"/>
        </w:rPr>
        <w:t>在</w:t>
      </w:r>
      <w:r>
        <w:rPr>
          <w:rFonts w:hint="eastAsia" w:ascii="方正仿宋简体" w:hAnsi="方正仿宋简体" w:eastAsia="方正仿宋简体" w:cs="方正仿宋简体"/>
          <w:color w:val="auto"/>
          <w:sz w:val="34"/>
          <w:szCs w:val="34"/>
        </w:rPr>
        <w:t>项目实施过程中聘请</w:t>
      </w:r>
      <w:r>
        <w:rPr>
          <w:rFonts w:hint="eastAsia" w:ascii="方正仿宋简体" w:hAnsi="方正仿宋简体" w:eastAsia="方正仿宋简体" w:cs="方正仿宋简体"/>
          <w:color w:val="auto"/>
          <w:sz w:val="34"/>
          <w:szCs w:val="34"/>
          <w:lang w:eastAsia="zh-CN"/>
        </w:rPr>
        <w:t>第三方</w:t>
      </w:r>
      <w:r>
        <w:rPr>
          <w:rFonts w:hint="eastAsia" w:ascii="方正仿宋简体" w:hAnsi="方正仿宋简体" w:eastAsia="方正仿宋简体" w:cs="方正仿宋简体"/>
          <w:color w:val="auto"/>
          <w:sz w:val="34"/>
          <w:szCs w:val="34"/>
        </w:rPr>
        <w:t>对项目进行技术指导、咨询和服务所发生的费用。</w:t>
      </w:r>
      <w:r>
        <w:rPr>
          <w:rFonts w:hint="eastAsia" w:ascii="方正仿宋简体" w:hAnsi="方正仿宋简体" w:eastAsia="方正仿宋简体" w:cs="方正仿宋简体"/>
          <w:color w:val="auto"/>
          <w:sz w:val="34"/>
          <w:szCs w:val="34"/>
        </w:rPr>
        <w:br w:type="textWrapping"/>
      </w:r>
      <w:r>
        <w:rPr>
          <w:rFonts w:hint="eastAsia" w:ascii="方正仿宋简体" w:hAnsi="方正仿宋简体" w:eastAsia="方正仿宋简体" w:cs="方正仿宋简体"/>
          <w:color w:val="auto"/>
          <w:sz w:val="34"/>
          <w:szCs w:val="34"/>
          <w:lang w:val="en-US" w:eastAsia="zh-CN"/>
        </w:rPr>
        <w:t xml:space="preserve">    </w:t>
      </w:r>
      <w:r>
        <w:rPr>
          <w:rFonts w:hint="eastAsia" w:ascii="方正仿宋简体" w:hAnsi="方正仿宋简体" w:eastAsia="方正仿宋简体" w:cs="方正仿宋简体"/>
          <w:color w:val="auto"/>
          <w:sz w:val="34"/>
          <w:szCs w:val="34"/>
        </w:rPr>
        <w:t>8.培训费。</w:t>
      </w:r>
      <w:r>
        <w:rPr>
          <w:rFonts w:hint="eastAsia" w:ascii="方正仿宋简体" w:hAnsi="方正仿宋简体" w:eastAsia="方正仿宋简体" w:cs="方正仿宋简体"/>
          <w:color w:val="auto"/>
          <w:sz w:val="34"/>
          <w:szCs w:val="34"/>
          <w:lang w:eastAsia="zh-CN"/>
        </w:rPr>
        <w:t>在</w:t>
      </w:r>
      <w:r>
        <w:rPr>
          <w:rFonts w:hint="eastAsia" w:ascii="方正仿宋简体" w:hAnsi="方正仿宋简体" w:eastAsia="方正仿宋简体" w:cs="方正仿宋简体"/>
          <w:color w:val="auto"/>
          <w:sz w:val="34"/>
          <w:szCs w:val="34"/>
        </w:rPr>
        <w:t>项目实施过程中开展的实用技术培训等工作发生的资料费、专家讲课费、场地租用费、学员食宿补助等费用。</w:t>
      </w:r>
    </w:p>
    <w:p w14:paraId="02EF5554">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9.项目管理费。指承担单位在组织实施项目过程中发生的无法直接列支的相关费用、主要用于补偿承担单位为项目实施提供的现有仪器设备及房屋、水、电、气、暖消耗等间接成本和有关管理费用等。</w:t>
      </w:r>
    </w:p>
    <w:p w14:paraId="6603F2B6">
      <w:pPr>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43"/>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10.其他支出。项目实施过程中发生的除上述费用之外的其他支出</w:t>
      </w:r>
      <w:r>
        <w:rPr>
          <w:rFonts w:hint="eastAsia" w:ascii="方正仿宋简体" w:hAnsi="方正仿宋简体" w:eastAsia="方正仿宋简体" w:cs="方正仿宋简体"/>
          <w:color w:val="auto"/>
          <w:sz w:val="34"/>
          <w:szCs w:val="34"/>
          <w:lang w:eastAsia="zh-CN"/>
        </w:rPr>
        <w:t>，</w:t>
      </w:r>
      <w:r>
        <w:rPr>
          <w:rFonts w:hint="eastAsia" w:ascii="方正仿宋简体" w:hAnsi="方正仿宋简体" w:eastAsia="方正仿宋简体" w:cs="方正仿宋简体"/>
          <w:color w:val="auto"/>
          <w:sz w:val="34"/>
          <w:szCs w:val="34"/>
        </w:rPr>
        <w:t>应当在编制预算时单独列示</w:t>
      </w:r>
      <w:r>
        <w:rPr>
          <w:rFonts w:hint="eastAsia" w:ascii="方正仿宋简体" w:hAnsi="方正仿宋简体" w:eastAsia="方正仿宋简体" w:cs="方正仿宋简体"/>
          <w:color w:val="auto"/>
          <w:sz w:val="34"/>
          <w:szCs w:val="34"/>
          <w:lang w:eastAsia="zh-CN"/>
        </w:rPr>
        <w:t>，</w:t>
      </w:r>
      <w:r>
        <w:rPr>
          <w:rFonts w:hint="eastAsia" w:ascii="方正仿宋简体" w:hAnsi="方正仿宋简体" w:eastAsia="方正仿宋简体" w:cs="方正仿宋简体"/>
          <w:color w:val="auto"/>
          <w:sz w:val="34"/>
          <w:szCs w:val="34"/>
        </w:rPr>
        <w:t>单独核定。</w:t>
      </w:r>
    </w:p>
    <w:p w14:paraId="0987BF64">
      <w:pPr>
        <w:pStyle w:val="5"/>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80" w:firstLineChars="200"/>
        <w:textAlignment w:val="auto"/>
        <w:outlineLvl w:val="9"/>
        <w:rPr>
          <w:rFonts w:hint="eastAsia" w:ascii="方正仿宋简体" w:hAnsi="方正仿宋简体" w:eastAsia="方正仿宋简体" w:cs="方正仿宋简体"/>
          <w:color w:val="auto"/>
          <w:sz w:val="34"/>
          <w:szCs w:val="34"/>
        </w:rPr>
      </w:pPr>
      <w:r>
        <w:rPr>
          <w:rFonts w:hint="eastAsia" w:ascii="方正仿宋简体" w:hAnsi="方正仿宋简体" w:eastAsia="方正仿宋简体" w:cs="方正仿宋简体"/>
          <w:color w:val="auto"/>
          <w:sz w:val="34"/>
          <w:szCs w:val="34"/>
        </w:rPr>
        <w:t>除中央和省委、省政府文件规定外，知识产权专项经费不得用于基本建设支出，不得用于因公出国（境）费，一般公务用车购置及运维费、公务接待费、外事费，不得用于编制内人员工资性支出、津贴补贴、奖金和其他福利支出，不得用于支付罚款、捐款、赞助、投资等支出，不得用于国家禁止列支的其他支出。</w:t>
      </w:r>
    </w:p>
    <w:p w14:paraId="78795631">
      <w:pPr>
        <w:pStyle w:val="5"/>
        <w:keepNext w:val="0"/>
        <w:keepLines w:val="0"/>
        <w:pageBreakBefore w:val="0"/>
        <w:widowControl w:val="0"/>
        <w:kinsoku/>
        <w:wordWrap/>
        <w:overflowPunct/>
        <w:topLinePunct w:val="0"/>
        <w:autoSpaceDE/>
        <w:autoSpaceDN/>
        <w:bidi w:val="0"/>
        <w:adjustRightInd/>
        <w:snapToGrid/>
        <w:spacing w:line="594" w:lineRule="exact"/>
        <w:ind w:left="0" w:leftChars="0" w:right="0" w:rightChars="0" w:firstLine="680" w:firstLineChars="200"/>
        <w:textAlignment w:val="auto"/>
        <w:outlineLvl w:val="9"/>
        <w:rPr>
          <w:rFonts w:hint="eastAsia" w:ascii="方正仿宋简体" w:hAnsi="方正仿宋简体" w:eastAsia="方正仿宋简体" w:cs="方正仿宋简体"/>
          <w:color w:val="auto"/>
          <w:sz w:val="34"/>
          <w:szCs w:val="34"/>
        </w:rPr>
      </w:pPr>
    </w:p>
    <w:p w14:paraId="6497613E">
      <w:pPr>
        <w:pStyle w:val="5"/>
        <w:keepNext w:val="0"/>
        <w:keepLines w:val="0"/>
        <w:pageBreakBefore w:val="0"/>
        <w:widowControl w:val="0"/>
        <w:numPr>
          <w:ilvl w:val="0"/>
          <w:numId w:val="2"/>
        </w:numPr>
        <w:kinsoku/>
        <w:wordWrap/>
        <w:overflowPunct/>
        <w:topLinePunct w:val="0"/>
        <w:autoSpaceDE/>
        <w:autoSpaceDN/>
        <w:bidi w:val="0"/>
        <w:adjustRightInd/>
        <w:snapToGrid/>
        <w:spacing w:line="594" w:lineRule="exact"/>
        <w:ind w:right="0" w:rightChars="0"/>
        <w:textAlignment w:val="auto"/>
        <w:outlineLvl w:val="9"/>
        <w:rPr>
          <w:rFonts w:hint="eastAsia" w:ascii="黑体" w:hAnsi="黑体" w:eastAsia="黑体" w:cs="黑体"/>
          <w:color w:val="auto"/>
          <w:sz w:val="34"/>
          <w:szCs w:val="34"/>
          <w:lang w:eastAsia="zh-CN"/>
        </w:rPr>
      </w:pPr>
      <w:r>
        <w:rPr>
          <w:rFonts w:hint="eastAsia" w:ascii="黑体" w:hAnsi="黑体" w:eastAsia="黑体" w:cs="黑体"/>
          <w:color w:val="auto"/>
          <w:sz w:val="34"/>
          <w:szCs w:val="34"/>
          <w:lang w:eastAsia="zh-CN"/>
        </w:rPr>
        <w:t>资金测算举例</w:t>
      </w:r>
    </w:p>
    <w:p w14:paraId="6DAA0CD5">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80" w:firstLineChars="20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1.服务费xx万元。项目实施过程中聘请一家第三方服务公司对本项目进行技术指导、咨询和服务所发生的费用，具体包括开展专利申请前期评估报告约xx份，具体计算过程如下：报告预计xx万元/份，合计：xx万元。（主责主业不能外包，服务费须小于项目总额的50%）</w:t>
      </w:r>
    </w:p>
    <w:p w14:paraId="656C2EEF">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80" w:firstLineChars="20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2.会议费/差旅费xx万元。在项目实施过程中开展及参加xx产业相关的学术研讨、咨询交流、考察调研等活动而发生的交通、食宿等费用。具体计算过程如下：住宿费预计xx元/人/天，交通补贴xx元/天/人，餐补xx元/天/人，费用预算为：（xx元+xx元+xx元）*xx人次=xx万元。</w:t>
      </w:r>
    </w:p>
    <w:p w14:paraId="1A100FB4">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80" w:firstLineChars="20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3.软硬件设备费xx万元。主要用于项目实施过程中购置硬件设备x台，每台xx万元/台，合计：xx万元。</w:t>
      </w:r>
    </w:p>
    <w:p w14:paraId="30624D9E">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4.出版/文献/信息传播/知识产权事务费。主要用于项目实施过程中专利申请、文献检索所产生的费用，具体计算过程如下：专利申请xx万元/件，文献检索xx万元/年，合计：xx万元/件*xx件+xx万元/年=xx万元。</w:t>
      </w:r>
    </w:p>
    <w:p w14:paraId="7064BED6">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5.人员费xx万元。在项目实施过程中支付给参与项目实施的承担单位聘用制人员的费用。项目执行期约为9个月，项目参与人员为xx人。xx职务（级别）每人每月按xx万元支出，xx职务（级别）每人每月按0.15万元支出，具体计算过程如下：（1）xx职务（级别）：xx万元*x人*9个月=xx万元；（2）xx职务（级别）：xx万元*x人*9个月=x万元；合计：xx万元+xx万元=5.5万元。（人员费只能发放项目团队成员，且总额不得超过项目总额的30%）</w:t>
      </w:r>
    </w:p>
    <w:p w14:paraId="4CAF8A8F">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6.培训费xx万元。组织开展xx业务培训约xx场等的费用，具体计算过程中：聘请授课专家费xx万元/人，资料费xx元，合计：xx万元/人*x人+xx元=xx万元。</w:t>
      </w:r>
    </w:p>
    <w:p w14:paraId="0CB9C3EF">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7.劳务费xx万元。在项目实施过程中支付给聘用的司机、会务服务人员等辅助人员的费用，预计xx万元/人，合计：xx万元/人*xx人=xx万元。（项目团队成员不得发放劳务费）</w:t>
      </w:r>
    </w:p>
    <w:p w14:paraId="65BA8F39">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default"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8.项目管理费。指承担单位在组织实施项目过程中发生的无法直接列支的相关费用、主要用于补偿承担单位为项目实施提供的现有仪器设备及房屋、水、电、气、暖消耗等间接成本和有关管理费用等。请列举出分摊管理费的公式及附相关制度文件或情况说明。</w:t>
      </w:r>
    </w:p>
    <w:p w14:paraId="282C194D">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default"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9.专家咨询费。在项目实施过程中支付给临时聘请的咨询专家的费用，专家咨询费不得支付给参与项目管理相关工作人员。预计XX万元/人/次，需要聘请专家xx人次，合计：XX万元/人/次*xx次=xx万元。</w:t>
      </w:r>
    </w:p>
    <w:p w14:paraId="2F469AF1">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eastAsia" w:ascii="方正仿宋简体" w:hAnsi="方正仿宋简体" w:eastAsia="方正仿宋简体" w:cs="方正仿宋简体"/>
          <w:color w:val="auto"/>
          <w:sz w:val="34"/>
          <w:szCs w:val="34"/>
          <w:lang w:val="en-US" w:eastAsia="zh-CN"/>
        </w:rPr>
      </w:pPr>
      <w:r>
        <w:rPr>
          <w:rFonts w:hint="eastAsia" w:ascii="方正仿宋简体" w:hAnsi="方正仿宋简体" w:eastAsia="方正仿宋简体" w:cs="方正仿宋简体"/>
          <w:color w:val="auto"/>
          <w:sz w:val="34"/>
          <w:szCs w:val="34"/>
          <w:lang w:val="en-US" w:eastAsia="zh-CN"/>
        </w:rPr>
        <w:t>10其他支出xx万元。包括专项审计费等费用，合计xx万元。（超过20万项目验收需要提供审计报告）</w:t>
      </w:r>
    </w:p>
    <w:p w14:paraId="72443C6E">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0" w:rightChars="0" w:firstLine="640"/>
        <w:jc w:val="both"/>
        <w:textAlignment w:val="auto"/>
        <w:outlineLvl w:val="9"/>
        <w:rPr>
          <w:rFonts w:hint="default" w:ascii="方正仿宋简体" w:hAnsi="方正仿宋简体" w:eastAsia="方正仿宋简体" w:cs="方正仿宋简体"/>
          <w:color w:val="auto"/>
          <w:sz w:val="34"/>
          <w:szCs w:val="3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73E535"/>
    <w:multiLevelType w:val="singleLevel"/>
    <w:tmpl w:val="3B73E535"/>
    <w:lvl w:ilvl="0" w:tentative="0">
      <w:start w:val="2"/>
      <w:numFmt w:val="chineseCounting"/>
      <w:suff w:val="nothing"/>
      <w:lvlText w:val="%1、"/>
      <w:lvlJc w:val="left"/>
      <w:rPr>
        <w:rFonts w:hint="eastAsia"/>
      </w:rPr>
    </w:lvl>
  </w:abstractNum>
  <w:abstractNum w:abstractNumId="1">
    <w:nsid w:val="79DB1B2A"/>
    <w:multiLevelType w:val="multilevel"/>
    <w:tmpl w:val="79DB1B2A"/>
    <w:lvl w:ilvl="0" w:tentative="0">
      <w:start w:val="1"/>
      <w:numFmt w:val="decimal"/>
      <w:pStyle w:val="3"/>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E4B72"/>
    <w:rsid w:val="09590A5C"/>
    <w:rsid w:val="0D5D591E"/>
    <w:rsid w:val="0FE80C3F"/>
    <w:rsid w:val="1BB627E7"/>
    <w:rsid w:val="46084274"/>
    <w:rsid w:val="71FC4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keepNext/>
      <w:keepLines/>
      <w:numPr>
        <w:ilvl w:val="0"/>
        <w:numId w:val="1"/>
      </w:numPr>
      <w:outlineLvl w:val="2"/>
    </w:pPr>
    <w:rPr>
      <w:rFonts w:ascii="Times New Roman" w:hAnsi="Times New Roman" w:cs="Times New Roman"/>
      <w:b/>
      <w:bCs/>
      <w:sz w:val="30"/>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Calibri" w:hAnsi="Calibri" w:eastAsia="宋体" w:cs="Times New Roman"/>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cs="Courier New"/>
      <w:sz w:val="3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1504</Words>
  <Characters>1598</Characters>
  <Lines>0</Lines>
  <Paragraphs>0</Paragraphs>
  <TotalTime>1</TotalTime>
  <ScaleCrop>false</ScaleCrop>
  <LinksUpToDate>false</LinksUpToDate>
  <CharactersWithSpaces>1602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2025-08-13T01:16:00Z</dcterms:created>
  <dc:creator>lenovo</dc:creator>
  <cp:lastModifiedBy>WPS_1591233272</cp:lastModifiedBy>
  <dcterms:modified xsi:type="dcterms:W3CDTF">2026-07-31T08:16:06Z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eyJoZGlkIjoiMmNhNGQ1ZWJkMmY3MjYwMDQyODIxZGNiN2ZmY2U1NmYiLCJ1c2VySWQiOiIxMDA1ODc3NDE0In0=</vt:lpwstr>
  </property>
  <property fmtid="{D5CDD505-2E9C-101B-9397-08002B2CF9AE}" pid="4" name="ICV">
    <vt:lpwstr>E64E7863DE7244D396561A03AD676951_12</vt:lpwstr>
  </property>
</Properties>
</file>