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CB4825">
      <w:pPr>
        <w:rPr>
          <w:rFonts w:hint="eastAsia" w:ascii="方正小标宋简体" w:hAnsi="方正小标宋简体" w:eastAsia="黑体" w:cs="方正小标宋简体"/>
          <w:sz w:val="34"/>
          <w:szCs w:val="34"/>
          <w:lang w:eastAsia="zh-CN"/>
        </w:rPr>
      </w:pPr>
      <w:r>
        <w:rPr>
          <w:rFonts w:hint="eastAsia" w:ascii="黑体" w:hAnsi="黑体" w:eastAsia="黑体" w:cs="黑体"/>
          <w:sz w:val="34"/>
          <w:szCs w:val="34"/>
        </w:rPr>
        <w:t>附件</w:t>
      </w:r>
      <w:bookmarkStart w:id="0" w:name="_GoBack"/>
      <w:bookmarkEnd w:id="0"/>
      <w:r>
        <w:rPr>
          <w:rFonts w:hint="eastAsia" w:ascii="黑体" w:hAnsi="黑体" w:eastAsia="黑体" w:cs="黑体"/>
          <w:sz w:val="34"/>
          <w:szCs w:val="34"/>
          <w:lang w:val="en-US" w:eastAsia="zh-CN"/>
        </w:rPr>
        <w:t>2</w:t>
      </w:r>
    </w:p>
    <w:p w14:paraId="6FBF819E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广东（阳江）企业经营研发活动专利导航</w:t>
      </w:r>
    </w:p>
    <w:p w14:paraId="1B7FC20A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项目申报指南</w:t>
      </w:r>
    </w:p>
    <w:p w14:paraId="50E6EE65">
      <w:pPr>
        <w:numPr>
          <w:ilvl w:val="0"/>
          <w:numId w:val="1"/>
        </w:numPr>
        <w:ind w:firstLine="680" w:firstLineChars="200"/>
        <w:jc w:val="both"/>
        <w:rPr>
          <w:rFonts w:hint="eastAsia" w:ascii="黑体" w:hAnsi="黑体" w:eastAsia="黑体" w:cs="黑体"/>
          <w:sz w:val="34"/>
          <w:szCs w:val="34"/>
          <w:lang w:eastAsia="zh-CN"/>
        </w:rPr>
      </w:pPr>
      <w:r>
        <w:rPr>
          <w:rFonts w:hint="eastAsia" w:ascii="黑体" w:hAnsi="黑体" w:eastAsia="黑体" w:cs="黑体"/>
          <w:sz w:val="34"/>
          <w:szCs w:val="34"/>
          <w:lang w:eastAsia="zh-CN"/>
        </w:rPr>
        <w:t>项目名称</w:t>
      </w:r>
    </w:p>
    <w:p w14:paraId="253BC9DC">
      <w:pPr>
        <w:widowControl w:val="0"/>
        <w:numPr>
          <w:ilvl w:val="0"/>
          <w:numId w:val="0"/>
        </w:numPr>
        <w:ind w:firstLine="680"/>
        <w:jc w:val="both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广东（阳江）企业经营研发活动专利导航项目</w:t>
      </w:r>
    </w:p>
    <w:p w14:paraId="42B5D286">
      <w:pPr>
        <w:widowControl w:val="0"/>
        <w:numPr>
          <w:ilvl w:val="0"/>
          <w:numId w:val="1"/>
        </w:numPr>
        <w:ind w:left="0" w:leftChars="0" w:firstLine="680" w:firstLineChars="200"/>
        <w:jc w:val="both"/>
        <w:rPr>
          <w:rFonts w:hint="eastAsia" w:ascii="黑体" w:hAnsi="黑体" w:eastAsia="黑体" w:cs="黑体"/>
          <w:sz w:val="34"/>
          <w:szCs w:val="34"/>
          <w:lang w:val="en-US" w:eastAsia="zh-CN"/>
        </w:rPr>
      </w:pPr>
      <w:r>
        <w:rPr>
          <w:rFonts w:hint="eastAsia" w:ascii="黑体" w:hAnsi="黑体" w:eastAsia="黑体" w:cs="黑体"/>
          <w:sz w:val="34"/>
          <w:szCs w:val="34"/>
          <w:lang w:val="en-US" w:eastAsia="zh-CN"/>
        </w:rPr>
        <w:t>申报主体</w:t>
      </w:r>
    </w:p>
    <w:p w14:paraId="286E964A">
      <w:pPr>
        <w:widowControl w:val="0"/>
        <w:numPr>
          <w:ilvl w:val="0"/>
          <w:numId w:val="0"/>
        </w:numPr>
        <w:ind w:firstLine="680"/>
        <w:jc w:val="both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阳江市行政辖区内登记注册的具有独立法人资格的企业。</w:t>
      </w:r>
    </w:p>
    <w:p w14:paraId="76976036">
      <w:pPr>
        <w:widowControl w:val="0"/>
        <w:numPr>
          <w:ilvl w:val="0"/>
          <w:numId w:val="0"/>
        </w:numPr>
        <w:ind w:firstLine="680"/>
        <w:jc w:val="both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b/>
          <w:bCs/>
          <w:sz w:val="34"/>
          <w:szCs w:val="34"/>
          <w:lang w:val="en-US" w:eastAsia="zh-CN"/>
        </w:rPr>
        <w:t>本项目原则上应独立申报。需联合申报的，应另附情况说明，经项目发布单位批准后方可联合申报。</w:t>
      </w:r>
    </w:p>
    <w:p w14:paraId="0A3686C3">
      <w:pPr>
        <w:widowControl w:val="0"/>
        <w:numPr>
          <w:ilvl w:val="0"/>
          <w:numId w:val="1"/>
        </w:numPr>
        <w:ind w:left="0" w:leftChars="0" w:firstLine="680" w:firstLineChars="200"/>
        <w:jc w:val="both"/>
        <w:rPr>
          <w:rFonts w:hint="eastAsia" w:ascii="黑体" w:hAnsi="黑体" w:eastAsia="黑体" w:cs="黑体"/>
          <w:sz w:val="34"/>
          <w:szCs w:val="34"/>
          <w:lang w:val="en-US" w:eastAsia="zh-CN"/>
        </w:rPr>
      </w:pPr>
      <w:r>
        <w:rPr>
          <w:rFonts w:hint="eastAsia" w:ascii="黑体" w:hAnsi="黑体" w:eastAsia="黑体" w:cs="黑体"/>
          <w:sz w:val="34"/>
          <w:szCs w:val="34"/>
          <w:lang w:val="en-US" w:eastAsia="zh-CN"/>
        </w:rPr>
        <w:t>项目目标</w:t>
      </w:r>
    </w:p>
    <w:p w14:paraId="6B126296">
      <w:pPr>
        <w:widowControl w:val="0"/>
        <w:numPr>
          <w:ilvl w:val="0"/>
          <w:numId w:val="0"/>
        </w:numPr>
        <w:ind w:firstLine="680"/>
        <w:jc w:val="both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开展阳江市企业经营研发活动专利导航，支持全省战略性产业集群、未来产业领域以及阳江市“4+4+X”现代化产业体系企业、战略科技力量开展支撑企业投资并购、上市、技术创新、产品开发、研发立项及过程辅助、专利布局等决策的专利导航。</w:t>
      </w:r>
    </w:p>
    <w:p w14:paraId="6C328793">
      <w:pPr>
        <w:widowControl w:val="0"/>
        <w:numPr>
          <w:ilvl w:val="0"/>
          <w:numId w:val="1"/>
        </w:numPr>
        <w:ind w:left="0" w:leftChars="0" w:firstLine="680" w:firstLineChars="200"/>
        <w:jc w:val="both"/>
        <w:rPr>
          <w:rFonts w:hint="eastAsia" w:ascii="黑体" w:hAnsi="黑体" w:eastAsia="黑体" w:cs="黑体"/>
          <w:sz w:val="34"/>
          <w:szCs w:val="34"/>
          <w:lang w:val="en-US" w:eastAsia="zh-CN"/>
        </w:rPr>
      </w:pPr>
      <w:r>
        <w:rPr>
          <w:rFonts w:hint="eastAsia" w:ascii="黑体" w:hAnsi="黑体" w:eastAsia="黑体" w:cs="黑体"/>
          <w:sz w:val="34"/>
          <w:szCs w:val="34"/>
          <w:lang w:val="en-US" w:eastAsia="zh-CN"/>
        </w:rPr>
        <w:t>项目任务</w:t>
      </w:r>
    </w:p>
    <w:p w14:paraId="25490714">
      <w:pPr>
        <w:widowControl w:val="0"/>
        <w:numPr>
          <w:ilvl w:val="0"/>
          <w:numId w:val="0"/>
        </w:numPr>
        <w:ind w:firstLine="680"/>
        <w:jc w:val="both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开展广东（阳江）企业经营研发活动专利导航。支持战略性产业集群、未来产业领域企业、战略科技力量开展支撑企业投资并购、上市、技术创新、产品开发、研发立项及过程辅助、专利布局等决策的专利导航。</w:t>
      </w:r>
    </w:p>
    <w:p w14:paraId="72ABB822">
      <w:pPr>
        <w:widowControl w:val="0"/>
        <w:numPr>
          <w:ilvl w:val="0"/>
          <w:numId w:val="1"/>
        </w:numPr>
        <w:ind w:left="0" w:leftChars="0" w:firstLine="680" w:firstLineChars="200"/>
        <w:jc w:val="both"/>
        <w:rPr>
          <w:rFonts w:hint="eastAsia" w:ascii="黑体" w:hAnsi="黑体" w:eastAsia="黑体" w:cs="黑体"/>
          <w:sz w:val="34"/>
          <w:szCs w:val="34"/>
          <w:lang w:val="en-US" w:eastAsia="zh-CN"/>
        </w:rPr>
      </w:pPr>
      <w:r>
        <w:rPr>
          <w:rFonts w:hint="eastAsia" w:ascii="黑体" w:hAnsi="黑体" w:eastAsia="黑体" w:cs="黑体"/>
          <w:sz w:val="34"/>
          <w:szCs w:val="34"/>
          <w:lang w:val="en-US" w:eastAsia="zh-CN"/>
        </w:rPr>
        <w:t>项目参考绩效</w:t>
      </w:r>
    </w:p>
    <w:p w14:paraId="72132546">
      <w:pPr>
        <w:widowControl w:val="0"/>
        <w:numPr>
          <w:ilvl w:val="0"/>
          <w:numId w:val="0"/>
        </w:numPr>
        <w:ind w:firstLine="680" w:firstLineChars="200"/>
        <w:jc w:val="both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推动企业建立健全常态化专利导航工作机制，提升企业创新发展综合效能。包括：</w:t>
      </w:r>
    </w:p>
    <w:p w14:paraId="37A187BD">
      <w:pPr>
        <w:widowControl w:val="0"/>
        <w:numPr>
          <w:ilvl w:val="0"/>
          <w:numId w:val="0"/>
        </w:numPr>
        <w:ind w:firstLine="680" w:firstLineChars="200"/>
        <w:jc w:val="both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楷体简体" w:hAnsi="方正楷体简体" w:eastAsia="方正楷体简体" w:cs="方正楷体简体"/>
          <w:sz w:val="34"/>
          <w:szCs w:val="34"/>
          <w:lang w:val="en-US" w:eastAsia="zh-CN"/>
        </w:rPr>
        <w:t>（一）</w:t>
      </w: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企业需求调研报告1份；</w:t>
      </w:r>
    </w:p>
    <w:p w14:paraId="26EBAB7C">
      <w:pPr>
        <w:widowControl w:val="0"/>
        <w:numPr>
          <w:ilvl w:val="0"/>
          <w:numId w:val="0"/>
        </w:numPr>
        <w:ind w:firstLine="680" w:firstLineChars="200"/>
        <w:jc w:val="both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楷体简体" w:hAnsi="方正楷体简体" w:eastAsia="方正楷体简体" w:cs="方正楷体简体"/>
          <w:sz w:val="34"/>
          <w:szCs w:val="34"/>
          <w:lang w:val="en-US" w:eastAsia="zh-CN"/>
        </w:rPr>
        <w:t>（二）</w:t>
      </w: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建立健全常态化专利导航工作机制，形成工作制度1份；</w:t>
      </w:r>
    </w:p>
    <w:p w14:paraId="6FEC7DE6">
      <w:pPr>
        <w:widowControl w:val="0"/>
        <w:numPr>
          <w:ilvl w:val="0"/>
          <w:numId w:val="0"/>
        </w:numPr>
        <w:ind w:firstLine="680" w:firstLineChars="200"/>
        <w:jc w:val="both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楷体简体" w:hAnsi="方正楷体简体" w:eastAsia="方正楷体简体" w:cs="方正楷体简体"/>
          <w:sz w:val="34"/>
          <w:szCs w:val="34"/>
          <w:lang w:val="en-US" w:eastAsia="zh-CN"/>
        </w:rPr>
        <w:t>（三）</w:t>
      </w: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形成企业专利导航分析报告和研究成果核心精华专报若干份；</w:t>
      </w:r>
    </w:p>
    <w:p w14:paraId="1036EBCE">
      <w:pPr>
        <w:widowControl w:val="0"/>
        <w:numPr>
          <w:ilvl w:val="0"/>
          <w:numId w:val="0"/>
        </w:numPr>
        <w:ind w:firstLine="680" w:firstLineChars="200"/>
        <w:jc w:val="both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楷体简体" w:hAnsi="方正楷体简体" w:eastAsia="方正楷体简体" w:cs="方正楷体简体"/>
          <w:sz w:val="34"/>
          <w:szCs w:val="34"/>
          <w:lang w:val="en-US" w:eastAsia="zh-CN"/>
        </w:rPr>
        <w:t>（四）</w:t>
      </w: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完成若干场专利导航事务培训活动；</w:t>
      </w:r>
    </w:p>
    <w:p w14:paraId="6C99443C">
      <w:pPr>
        <w:widowControl w:val="0"/>
        <w:numPr>
          <w:ilvl w:val="0"/>
          <w:numId w:val="0"/>
        </w:numPr>
        <w:ind w:firstLine="680" w:firstLineChars="200"/>
        <w:jc w:val="both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楷体简体" w:hAnsi="方正楷体简体" w:eastAsia="方正楷体简体" w:cs="方正楷体简体"/>
          <w:sz w:val="34"/>
          <w:szCs w:val="34"/>
          <w:lang w:val="en-US" w:eastAsia="zh-CN"/>
        </w:rPr>
        <w:t>（五）</w:t>
      </w: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实现导航成果在企业经营研发决策中的实际运用，并在国家专利导航平台完成备案。</w:t>
      </w:r>
    </w:p>
    <w:p w14:paraId="0354CC0D">
      <w:pPr>
        <w:widowControl w:val="0"/>
        <w:numPr>
          <w:ilvl w:val="0"/>
          <w:numId w:val="0"/>
        </w:numPr>
        <w:ind w:firstLine="680" w:firstLineChars="200"/>
        <w:jc w:val="both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上述均为方向性任务目标，申报单位可在上述“项目任务”总体要求的基础上，充分发挥主观能动性，增加若干能体现对此项目任务的具体目标。申报项目应逐项对应细化，提出明确、量化、可考核的工作目标，预期成果科学合理。</w:t>
      </w:r>
    </w:p>
    <w:p w14:paraId="32AA7719">
      <w:pPr>
        <w:widowControl w:val="0"/>
        <w:numPr>
          <w:ilvl w:val="0"/>
          <w:numId w:val="0"/>
        </w:numPr>
        <w:ind w:firstLine="680" w:firstLineChars="200"/>
        <w:jc w:val="both"/>
        <w:rPr>
          <w:rFonts w:hint="eastAsia" w:ascii="黑体" w:hAnsi="黑体" w:eastAsia="黑体" w:cs="黑体"/>
          <w:sz w:val="34"/>
          <w:szCs w:val="34"/>
          <w:lang w:val="en-US" w:eastAsia="zh-CN"/>
        </w:rPr>
      </w:pPr>
      <w:r>
        <w:rPr>
          <w:rFonts w:hint="eastAsia" w:ascii="黑体" w:hAnsi="黑体" w:eastAsia="黑体" w:cs="黑体"/>
          <w:sz w:val="34"/>
          <w:szCs w:val="34"/>
          <w:lang w:val="en-US" w:eastAsia="zh-CN"/>
        </w:rPr>
        <w:t>五、申报条件</w:t>
      </w:r>
    </w:p>
    <w:p w14:paraId="544F63F4">
      <w:pPr>
        <w:widowControl w:val="0"/>
        <w:numPr>
          <w:ilvl w:val="0"/>
          <w:numId w:val="0"/>
        </w:numPr>
        <w:ind w:firstLine="680" w:firstLineChars="200"/>
        <w:jc w:val="both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楷体简体" w:hAnsi="方正楷体简体" w:eastAsia="方正楷体简体" w:cs="方正楷体简体"/>
          <w:sz w:val="34"/>
          <w:szCs w:val="34"/>
          <w:lang w:val="en-US" w:eastAsia="zh-CN"/>
        </w:rPr>
        <w:t>（一）</w:t>
      </w: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申报单位应具备完成项目所需的技术水平、创新能力和知识产权工作基础。</w:t>
      </w:r>
    </w:p>
    <w:p w14:paraId="749D3686">
      <w:pPr>
        <w:widowControl w:val="0"/>
        <w:numPr>
          <w:ilvl w:val="0"/>
          <w:numId w:val="0"/>
        </w:numPr>
        <w:ind w:firstLine="680" w:firstLineChars="200"/>
        <w:jc w:val="both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楷体简体" w:hAnsi="方正楷体简体" w:eastAsia="方正楷体简体" w:cs="方正楷体简体"/>
          <w:sz w:val="34"/>
          <w:szCs w:val="34"/>
          <w:lang w:val="en-US" w:eastAsia="zh-CN"/>
        </w:rPr>
        <w:t>（二）</w:t>
      </w: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有固定场所、有专人负责，遵守专项资金和知识产权项目管理规定，能按时保质保量完成各项任务。</w:t>
      </w:r>
    </w:p>
    <w:p w14:paraId="73B7C531">
      <w:pPr>
        <w:widowControl w:val="0"/>
        <w:numPr>
          <w:ilvl w:val="0"/>
          <w:numId w:val="0"/>
        </w:numPr>
        <w:ind w:firstLine="680" w:firstLineChars="200"/>
        <w:jc w:val="both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楷体简体" w:hAnsi="方正楷体简体" w:eastAsia="方正楷体简体" w:cs="方正楷体简体"/>
          <w:sz w:val="34"/>
          <w:szCs w:val="34"/>
          <w:lang w:val="en-US" w:eastAsia="zh-CN"/>
        </w:rPr>
        <w:t>（三）</w:t>
      </w: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具有良好的信用记录和健全的管理制度，在经营活动中没有重大违法记录。</w:t>
      </w:r>
    </w:p>
    <w:p w14:paraId="0A6784C6">
      <w:pPr>
        <w:widowControl w:val="0"/>
        <w:numPr>
          <w:ilvl w:val="0"/>
          <w:numId w:val="0"/>
        </w:numPr>
        <w:ind w:firstLine="680" w:firstLineChars="200"/>
        <w:jc w:val="both"/>
        <w:rPr>
          <w:rFonts w:hint="eastAsia" w:ascii="黑体" w:hAnsi="黑体" w:eastAsia="黑体" w:cs="黑体"/>
          <w:sz w:val="34"/>
          <w:szCs w:val="34"/>
          <w:lang w:val="en-US" w:eastAsia="zh-CN"/>
        </w:rPr>
      </w:pPr>
      <w:r>
        <w:rPr>
          <w:rFonts w:hint="eastAsia" w:ascii="黑体" w:hAnsi="黑体" w:eastAsia="黑体" w:cs="黑体"/>
          <w:sz w:val="34"/>
          <w:szCs w:val="34"/>
          <w:lang w:val="en-US" w:eastAsia="zh-CN"/>
        </w:rPr>
        <w:t>六、实施周期</w:t>
      </w:r>
    </w:p>
    <w:p w14:paraId="7F0DB0E9">
      <w:pPr>
        <w:widowControl w:val="0"/>
        <w:numPr>
          <w:ilvl w:val="0"/>
          <w:numId w:val="0"/>
        </w:numPr>
        <w:ind w:firstLine="680" w:firstLineChars="200"/>
        <w:jc w:val="both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项目实施周期截止时间到2026年12月20日。</w:t>
      </w:r>
    </w:p>
    <w:p w14:paraId="0F45D7A1">
      <w:pPr>
        <w:widowControl w:val="0"/>
        <w:numPr>
          <w:ilvl w:val="0"/>
          <w:numId w:val="0"/>
        </w:numPr>
        <w:ind w:firstLine="680" w:firstLineChars="200"/>
        <w:jc w:val="both"/>
        <w:rPr>
          <w:rFonts w:hint="eastAsia" w:ascii="黑体" w:hAnsi="黑体" w:eastAsia="黑体" w:cs="黑体"/>
          <w:sz w:val="34"/>
          <w:szCs w:val="34"/>
          <w:lang w:val="en-US" w:eastAsia="zh-CN"/>
        </w:rPr>
      </w:pPr>
      <w:r>
        <w:rPr>
          <w:rFonts w:hint="eastAsia" w:ascii="黑体" w:hAnsi="黑体" w:eastAsia="黑体" w:cs="黑体"/>
          <w:sz w:val="34"/>
          <w:szCs w:val="34"/>
          <w:lang w:val="en-US" w:eastAsia="zh-CN"/>
        </w:rPr>
        <w:t>七、申报材料</w:t>
      </w:r>
    </w:p>
    <w:p w14:paraId="45071394">
      <w:pPr>
        <w:widowControl w:val="0"/>
        <w:numPr>
          <w:ilvl w:val="0"/>
          <w:numId w:val="0"/>
        </w:numPr>
        <w:ind w:firstLine="680" w:firstLineChars="200"/>
        <w:jc w:val="both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楷体简体" w:hAnsi="方正楷体简体" w:eastAsia="方正楷体简体" w:cs="方正楷体简体"/>
          <w:sz w:val="34"/>
          <w:szCs w:val="34"/>
          <w:lang w:val="en-US" w:eastAsia="zh-CN"/>
        </w:rPr>
        <w:t>（一）</w:t>
      </w: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《项目申报书》；</w:t>
      </w:r>
    </w:p>
    <w:p w14:paraId="7AE2A395">
      <w:pPr>
        <w:widowControl w:val="0"/>
        <w:numPr>
          <w:ilvl w:val="0"/>
          <w:numId w:val="0"/>
        </w:numPr>
        <w:ind w:firstLine="680" w:firstLineChars="200"/>
        <w:jc w:val="both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楷体简体" w:hAnsi="方正楷体简体" w:eastAsia="方正楷体简体" w:cs="方正楷体简体"/>
          <w:sz w:val="34"/>
          <w:szCs w:val="34"/>
          <w:lang w:val="en-US" w:eastAsia="zh-CN"/>
        </w:rPr>
        <w:t>（二）</w:t>
      </w: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机构法人资格证书或营业执照的复印件；</w:t>
      </w:r>
    </w:p>
    <w:p w14:paraId="6636F383">
      <w:pPr>
        <w:widowControl w:val="0"/>
        <w:numPr>
          <w:ilvl w:val="0"/>
          <w:numId w:val="0"/>
        </w:numPr>
        <w:ind w:firstLine="680" w:firstLineChars="200"/>
        <w:jc w:val="both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楷体简体" w:hAnsi="方正楷体简体" w:eastAsia="方正楷体简体" w:cs="方正楷体简体"/>
          <w:sz w:val="34"/>
          <w:szCs w:val="34"/>
          <w:lang w:val="en-US" w:eastAsia="zh-CN"/>
        </w:rPr>
        <w:t>（三）</w:t>
      </w: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2023年、2024年两年的财务报表；</w:t>
      </w:r>
    </w:p>
    <w:p w14:paraId="30EE2AE2">
      <w:pPr>
        <w:widowControl w:val="0"/>
        <w:numPr>
          <w:ilvl w:val="0"/>
          <w:numId w:val="0"/>
        </w:numPr>
        <w:ind w:firstLine="680" w:firstLineChars="200"/>
        <w:jc w:val="both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楷体简体" w:hAnsi="方正楷体简体" w:eastAsia="方正楷体简体" w:cs="方正楷体简体"/>
          <w:sz w:val="34"/>
          <w:szCs w:val="34"/>
          <w:lang w:val="en-US" w:eastAsia="zh-CN"/>
        </w:rPr>
        <w:t>（四）</w:t>
      </w: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团队成员身份证复印件、人员资格证明材料；</w:t>
      </w:r>
    </w:p>
    <w:p w14:paraId="59B0AF0F">
      <w:pPr>
        <w:widowControl w:val="0"/>
        <w:numPr>
          <w:ilvl w:val="0"/>
          <w:numId w:val="0"/>
        </w:numPr>
        <w:ind w:firstLine="680" w:firstLineChars="200"/>
        <w:jc w:val="both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楷体简体" w:hAnsi="方正楷体简体" w:eastAsia="方正楷体简体" w:cs="方正楷体简体"/>
          <w:sz w:val="34"/>
          <w:szCs w:val="34"/>
          <w:lang w:val="en-US" w:eastAsia="zh-CN"/>
        </w:rPr>
        <w:t>（五）</w:t>
      </w: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所获得荣誉证明、相关项目经验证明材料；</w:t>
      </w:r>
    </w:p>
    <w:p w14:paraId="1E1E64B8">
      <w:pPr>
        <w:widowControl w:val="0"/>
        <w:numPr>
          <w:ilvl w:val="0"/>
          <w:numId w:val="0"/>
        </w:numPr>
        <w:ind w:firstLine="680" w:firstLineChars="200"/>
        <w:jc w:val="both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楷体简体" w:hAnsi="方正楷体简体" w:eastAsia="方正楷体简体" w:cs="方正楷体简体"/>
          <w:sz w:val="34"/>
          <w:szCs w:val="34"/>
          <w:lang w:val="en-US" w:eastAsia="zh-CN"/>
        </w:rPr>
        <w:t>（六）</w:t>
      </w: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其他证明符合申报条件的材料；</w:t>
      </w:r>
    </w:p>
    <w:p w14:paraId="3CD51258">
      <w:pPr>
        <w:widowControl w:val="0"/>
        <w:numPr>
          <w:ilvl w:val="0"/>
          <w:numId w:val="0"/>
        </w:numPr>
        <w:ind w:firstLine="680" w:firstLineChars="200"/>
        <w:jc w:val="both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楷体简体" w:hAnsi="方正楷体简体" w:eastAsia="方正楷体简体" w:cs="方正楷体简体"/>
          <w:sz w:val="34"/>
          <w:szCs w:val="34"/>
          <w:lang w:val="en-US" w:eastAsia="zh-CN"/>
        </w:rPr>
        <w:t>（七）</w:t>
      </w: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法人和非法人组织公共信用信息报告。</w:t>
      </w:r>
    </w:p>
    <w:p w14:paraId="29A882B1">
      <w:pPr>
        <w:widowControl w:val="0"/>
        <w:numPr>
          <w:ilvl w:val="0"/>
          <w:numId w:val="0"/>
        </w:numPr>
        <w:ind w:firstLine="680" w:firstLineChars="200"/>
        <w:jc w:val="both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以上材料均需加盖公章和骑缝章。</w:t>
      </w:r>
    </w:p>
    <w:p w14:paraId="5B8F4208">
      <w:pPr>
        <w:widowControl w:val="0"/>
        <w:numPr>
          <w:ilvl w:val="0"/>
          <w:numId w:val="0"/>
        </w:numPr>
        <w:ind w:firstLine="680" w:firstLineChars="200"/>
        <w:jc w:val="both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楷体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1A2CE1"/>
    <w:multiLevelType w:val="singleLevel"/>
    <w:tmpl w:val="E01A2CE1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F824F4"/>
    <w:rsid w:val="10AC5623"/>
    <w:rsid w:val="116A4303"/>
    <w:rsid w:val="153C4913"/>
    <w:rsid w:val="1BB00C1C"/>
    <w:rsid w:val="225146A0"/>
    <w:rsid w:val="23A478E4"/>
    <w:rsid w:val="2A992B29"/>
    <w:rsid w:val="3BE1425D"/>
    <w:rsid w:val="42630D2F"/>
    <w:rsid w:val="6E8324DA"/>
    <w:rsid w:val="72FA0C77"/>
    <w:rsid w:val="77956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907</Words>
  <Characters>922</Characters>
  <Lines>0</Lines>
  <Paragraphs>0</Paragraphs>
  <TotalTime>109</TotalTime>
  <ScaleCrop>false</ScaleCrop>
  <LinksUpToDate>false</LinksUpToDate>
  <CharactersWithSpaces>923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2025-07-15T08:51:00Z</dcterms:created>
  <dc:creator>lenovo</dc:creator>
  <cp:lastModifiedBy>WPS_1591233272</cp:lastModifiedBy>
  <cp:lastPrinted>2025-11-18T01:22:55Z</cp:lastPrinted>
  <dcterms:modified xsi:type="dcterms:W3CDTF">2025-11-18T01:28:04Z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eyJoZGlkIjoiMmNhNGQ1ZWJkMmY3MjYwMDQyODIxZGNiN2ZmY2U1NmYiLCJ1c2VySWQiOiIxMDA1ODc3NDE0In0=</vt:lpwstr>
  </property>
  <property fmtid="{D5CDD505-2E9C-101B-9397-08002B2CF9AE}" pid="4" name="ICV">
    <vt:lpwstr>1ADBF0AA8D53459B8D1D4E97A2598FD1_13</vt:lpwstr>
  </property>
</Properties>
</file>