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95F21">
      <w:pPr>
        <w:rPr>
          <w:rFonts w:hint="eastAsia" w:ascii="方正小标宋简体" w:hAnsi="方正小标宋简体" w:eastAsia="方正小标宋简体" w:cs="方正小标宋简体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 w:val="34"/>
          <w:szCs w:val="34"/>
        </w:rPr>
        <w:t>1</w:t>
      </w:r>
    </w:p>
    <w:p w14:paraId="0294333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广东（阳江）高价值专利培育布局中心建设项目申报指南</w:t>
      </w:r>
    </w:p>
    <w:p w14:paraId="6179DB47">
      <w:pPr>
        <w:numPr>
          <w:ilvl w:val="0"/>
          <w:numId w:val="1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0727BB49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广东（阳江）高价值专利培育布局中心建设项目</w:t>
      </w:r>
    </w:p>
    <w:p w14:paraId="1D23DDF0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65C3481B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color w:val="FF0000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color w:val="FF0000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color w:val="FF0000"/>
          <w:sz w:val="34"/>
          <w:szCs w:val="34"/>
          <w:lang w:val="en-US" w:eastAsia="zh-CN"/>
        </w:rPr>
        <w:t>已认定为省级实验室，或已被认定为国家级或省级新兴产业创新中心、制造业创新中心、技术创新中心、产学研协同创新中心、工程技术研究中心、工程实验室、重点实验室、省级企业技术中心等（以下简称各类创新中心），上述中心需经国家相关部委或省级厅局认定。</w:t>
      </w:r>
    </w:p>
    <w:p w14:paraId="7516BD7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color w:val="FF0000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color w:val="FF0000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color w:val="FF0000"/>
          <w:sz w:val="34"/>
          <w:szCs w:val="34"/>
          <w:lang w:val="en-US" w:eastAsia="zh-CN"/>
        </w:rPr>
        <w:t>经国家相关部委或省级厅局认定，在阳江市内具有独立法人资格的国家级“小巨人”、省级“专精特新”企业、产业龙头企业、创新型企业。</w:t>
      </w:r>
    </w:p>
    <w:p w14:paraId="0961AC20">
      <w:pPr>
        <w:widowControl w:val="0"/>
        <w:numPr>
          <w:ilvl w:val="0"/>
          <w:numId w:val="0"/>
        </w:numPr>
        <w:ind w:firstLine="683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6720C96E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项目方向</w:t>
      </w:r>
    </w:p>
    <w:p w14:paraId="387BAFA2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围绕广东省重点培育发展的战略性支柱产业集群、战略性新兴产业集群，以及阳江市重点打造的“4+4+X”即发展壮大绿色能源与新型储能、先进材料、装备制造、现代农业4个千亿级产业集群，改造提升五金刀剪、食品加工、新型建材、轻工纺织4个百亿级产业集群的现代化体系，从每个产业中选取关键核心领域技术点，加强关键核心技术知识产权储备，支持我市创新主体开展精准高价值专利培育布局，培养壮大企业知识产权高端人才队伍，加快创新驱动发展。</w:t>
      </w:r>
    </w:p>
    <w:p w14:paraId="651EBFC5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55FAA500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加强企业知识产权制度建设。建立企业专利分级分类管理制度，促进专利与企业发展紧密融合，以点带面促进企业高价值专利培育运用。</w:t>
      </w:r>
    </w:p>
    <w:p w14:paraId="668D1EFE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建立健全企业与知识产权专业服务机构对接合作机制。开展企业专利申请前评估，将专利信息资源开放利用融入企业研发全链条，提升研发效能，加强我省关键核心技术知识产权储备。</w:t>
      </w:r>
    </w:p>
    <w:p w14:paraId="6131B636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聚焦战略性新兴产业关键技术，培育一批具有行业领先优势、面向前沿领域布局的原创性、基础性专利和高价值专利组合。</w:t>
      </w:r>
    </w:p>
    <w:p w14:paraId="4B28CC12">
      <w:pPr>
        <w:widowControl w:val="0"/>
        <w:numPr>
          <w:ilvl w:val="0"/>
          <w:numId w:val="0"/>
        </w:numPr>
        <w:ind w:firstLine="68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（四）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开展企业研发和管理人员高价值专利培育运用培训，培养壮大企业专利高端人才队伍。</w:t>
      </w:r>
    </w:p>
    <w:p w14:paraId="219ED386">
      <w:pPr>
        <w:widowControl w:val="0"/>
        <w:numPr>
          <w:ilvl w:val="0"/>
          <w:numId w:val="1"/>
        </w:numPr>
        <w:ind w:left="0" w:leftChars="0"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项目参考绩效</w:t>
      </w:r>
    </w:p>
    <w:p w14:paraId="56B991CF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企业专利分级分类管理及权益分配机制文件1套。</w:t>
      </w:r>
    </w:p>
    <w:p w14:paraId="7CB12241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形成企业与知识产权专业服务机构对接合作文书1套；对若干件专利完成信息检索分析。</w:t>
      </w:r>
    </w:p>
    <w:p w14:paraId="14AF95CF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形成企业关键技术领域高价值专利组合。在项目实施期间，成功提交发明专利若干件。</w:t>
      </w:r>
    </w:p>
    <w:p w14:paraId="5D9D743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（四）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开展企业内部培训或组织人员参加相关培训班若干场/次，培育企业专利人才。</w:t>
      </w:r>
    </w:p>
    <w:p w14:paraId="41495D14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（五）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在项目实施期间，贯彻实施知识产权相关管理标准。</w:t>
      </w:r>
    </w:p>
    <w:p w14:paraId="1CDDDE45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（六）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新增开放许可若干件，完成专利转化若干件，形成专利密集型产品备案若干件。</w:t>
      </w:r>
    </w:p>
    <w:p w14:paraId="1B034067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上述均为方向性任务绩效，申报单位可在上述“项目任务”总体要求的基础上，充分发挥主观能动性，增加若干能体现对此项目任务的具体目标。申报项目应逐项对应细化，提出明确、量化、可考核的工作目标，预期成果科学合理。</w:t>
      </w:r>
    </w:p>
    <w:p w14:paraId="7A3947D0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5047743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申报单位应具备完成项目所需的技术水平、创新能力和知识产权工作基础。</w:t>
      </w:r>
    </w:p>
    <w:p w14:paraId="166AC347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有固定场所、有专人负责，遵守专项资金和知识产权项目管理规定，能按时保质保量完成各项任务。</w:t>
      </w:r>
    </w:p>
    <w:p w14:paraId="1EF38713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具有良好的信用记录和健全的管理制度，在经营活动中没有重大违法记录。</w:t>
      </w:r>
    </w:p>
    <w:p w14:paraId="2C7E5AAD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05FD6A39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项目实施周期截止时间到2026年12月20日。</w:t>
      </w:r>
    </w:p>
    <w:p w14:paraId="588BB1F9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52239DC7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（一）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《项目申报书》；</w:t>
      </w:r>
    </w:p>
    <w:p w14:paraId="6A2BB0C7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机构法人资格证书或营业执照复印件；</w:t>
      </w:r>
    </w:p>
    <w:p w14:paraId="6A4A2742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（三）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2023年、2024年两年的财务报表；</w:t>
      </w:r>
    </w:p>
    <w:p w14:paraId="5C757429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（四）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团队成员身份证复印件、人员资格证明材料；</w:t>
      </w:r>
    </w:p>
    <w:p w14:paraId="4566C47A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（五）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所获得荣誉证明、相关项目经验证明材料；</w:t>
      </w:r>
    </w:p>
    <w:p w14:paraId="45ED08CD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（六）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其他证明符合申报条件的材料；</w:t>
      </w:r>
    </w:p>
    <w:p w14:paraId="4FF62374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4"/>
          <w:szCs w:val="34"/>
          <w:lang w:val="en-US" w:eastAsia="zh-CN"/>
        </w:rPr>
        <w:t>（七）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法人和非法人组织公共信用信息报告。</w:t>
      </w:r>
    </w:p>
    <w:p w14:paraId="6E0866BD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以上材料均需加盖公章和骑缝章。</w:t>
      </w:r>
    </w:p>
    <w:p w14:paraId="6C2FDA0B">
      <w:pPr>
        <w:widowControl w:val="0"/>
        <w:numPr>
          <w:ilvl w:val="0"/>
          <w:numId w:val="0"/>
        </w:numPr>
        <w:ind w:firstLine="680" w:firstLineChars="200"/>
        <w:jc w:val="both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8241F"/>
    <w:rsid w:val="091F0B9D"/>
    <w:rsid w:val="116A4303"/>
    <w:rsid w:val="18A10650"/>
    <w:rsid w:val="1F600474"/>
    <w:rsid w:val="254F321A"/>
    <w:rsid w:val="2A992B29"/>
    <w:rsid w:val="2EF9074C"/>
    <w:rsid w:val="2F2734B8"/>
    <w:rsid w:val="35F51BC1"/>
    <w:rsid w:val="3F903830"/>
    <w:rsid w:val="4F5E15CF"/>
    <w:rsid w:val="58711C5E"/>
    <w:rsid w:val="6010567F"/>
    <w:rsid w:val="6DC31F3F"/>
    <w:rsid w:val="712E3BF4"/>
    <w:rsid w:val="78D33E69"/>
    <w:rsid w:val="78E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1362</Words>
  <Characters>1377</Characters>
  <Lines>0</Lines>
  <Paragraphs>0</Paragraphs>
  <TotalTime>24</TotalTime>
  <ScaleCrop>false</ScaleCrop>
  <LinksUpToDate>false</LinksUpToDate>
  <CharactersWithSpaces>1378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2025-11-18T01:22:38Z</cp:lastPrinted>
  <dcterms:modified xsi:type="dcterms:W3CDTF">2025-11-18T01:28:05Z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F32D990EAABD42059F364618A7E10115_13</vt:lpwstr>
  </property>
  <property fmtid="{D5CDD505-2E9C-101B-9397-08002B2CF9AE}" pid="4" name="KSOTemplateDocerSaveRecord">
    <vt:lpwstr>eyJoZGlkIjoiMmNhNGQ1ZWJkMmY3MjYwMDQyODIxZGNiN2ZmY2U1NmYiLCJ1c2VySWQiOiIxMDA1ODc3NDE0In0=</vt:lpwstr>
  </property>
</Properties>
</file>