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黑体" w:cs="方正小标宋简体"/>
          <w:sz w:val="34"/>
          <w:szCs w:val="34"/>
          <w:lang w:eastAsia="zh-CN"/>
        </w:rPr>
      </w:pPr>
      <w:r>
        <w:rPr>
          <w:rFonts w:hint="eastAsia" w:ascii="黑体" w:hAnsi="黑体" w:eastAsia="黑体" w:cs="黑体"/>
          <w:sz w:val="34"/>
          <w:szCs w:val="34"/>
        </w:rPr>
        <w:t>附件</w:t>
      </w:r>
      <w:r>
        <w:rPr>
          <w:rFonts w:hint="eastAsia" w:ascii="黑体" w:hAnsi="黑体" w:eastAsia="黑体" w:cs="黑体"/>
          <w:sz w:val="34"/>
          <w:szCs w:val="34"/>
          <w:lang w:val="en-US" w:eastAsia="zh-CN"/>
        </w:rPr>
        <w:t xml:space="preserve"> 2</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广东（阳江）商标品牌培育指导站能力</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提升项目</w:t>
      </w:r>
    </w:p>
    <w:p>
      <w:pPr>
        <w:numPr>
          <w:ilvl w:val="0"/>
          <w:numId w:val="1"/>
        </w:numPr>
        <w:ind w:firstLine="680" w:firstLineChars="200"/>
        <w:jc w:val="both"/>
        <w:rPr>
          <w:rFonts w:hint="eastAsia" w:ascii="黑体" w:hAnsi="黑体" w:eastAsia="黑体" w:cs="黑体"/>
          <w:sz w:val="34"/>
          <w:szCs w:val="34"/>
          <w:lang w:eastAsia="zh-CN"/>
        </w:rPr>
      </w:pPr>
      <w:r>
        <w:rPr>
          <w:rFonts w:hint="eastAsia" w:ascii="黑体" w:hAnsi="黑体" w:eastAsia="黑体" w:cs="黑体"/>
          <w:sz w:val="34"/>
          <w:szCs w:val="34"/>
          <w:lang w:eastAsia="zh-CN"/>
        </w:rPr>
        <w:t>项目名称</w:t>
      </w:r>
    </w:p>
    <w:p>
      <w:pPr>
        <w:widowControl w:val="0"/>
        <w:numPr>
          <w:ilvl w:val="0"/>
          <w:numId w:val="0"/>
        </w:numPr>
        <w:ind w:firstLine="68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广东（阳江）商标品牌培育指导站能力提升项目</w:t>
      </w:r>
    </w:p>
    <w:p>
      <w:pPr>
        <w:widowControl w:val="0"/>
        <w:numPr>
          <w:ilvl w:val="0"/>
          <w:numId w:val="1"/>
        </w:numPr>
        <w:ind w:left="0" w:leftChars="0"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申报主体</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（一）</w:t>
      </w:r>
      <w:r>
        <w:rPr>
          <w:rFonts w:hint="eastAsia" w:ascii="方正仿宋简体" w:hAnsi="方正仿宋简体" w:eastAsia="方正仿宋简体" w:cs="方正仿宋简体"/>
          <w:sz w:val="34"/>
          <w:szCs w:val="34"/>
          <w:lang w:val="en-US" w:eastAsia="zh-CN"/>
        </w:rPr>
        <w:t>新建商标品牌培育指导站点：我市辖区内登记注册的知识产权运营中心、知识产权交易中心、知识产权服务机构、知识产权行业组织，高等院校、科研院所、科技情报机构、公共图书馆，或其他社会团体组织等具有独立法人资格的单位。</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（二）</w:t>
      </w:r>
      <w:r>
        <w:rPr>
          <w:rFonts w:hint="eastAsia" w:ascii="方正仿宋简体" w:hAnsi="方正仿宋简体" w:eastAsia="方正仿宋简体" w:cs="方正仿宋简体"/>
          <w:sz w:val="34"/>
          <w:szCs w:val="34"/>
          <w:lang w:val="en-US" w:eastAsia="zh-CN"/>
        </w:rPr>
        <w:t>原有商标品牌培育指导站点：我市辖区内具有独立法人资格并已建成商标品牌培育指导站点的单位。</w:t>
      </w:r>
    </w:p>
    <w:p>
      <w:pPr>
        <w:widowControl w:val="0"/>
        <w:numPr>
          <w:ilvl w:val="0"/>
          <w:numId w:val="0"/>
        </w:numPr>
        <w:ind w:firstLine="683" w:firstLineChars="20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b/>
          <w:bCs/>
          <w:sz w:val="34"/>
          <w:szCs w:val="34"/>
          <w:lang w:val="en-US" w:eastAsia="zh-CN"/>
        </w:rPr>
        <w:t>本项目原则上应独立申报。需联合申报的，应另附情况说明，经项目发布单位批准后方可联合申报</w:t>
      </w:r>
      <w:r>
        <w:rPr>
          <w:rFonts w:hint="eastAsia" w:ascii="方正仿宋简体" w:hAnsi="方正仿宋简体" w:eastAsia="方正仿宋简体" w:cs="方正仿宋简体"/>
          <w:sz w:val="34"/>
          <w:szCs w:val="34"/>
          <w:lang w:val="en-US" w:eastAsia="zh-CN"/>
        </w:rPr>
        <w:t>。</w:t>
      </w:r>
    </w:p>
    <w:p>
      <w:pPr>
        <w:widowControl w:val="0"/>
        <w:numPr>
          <w:ilvl w:val="0"/>
          <w:numId w:val="1"/>
        </w:numPr>
        <w:ind w:left="0" w:leftChars="0"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项目方向</w:t>
      </w:r>
    </w:p>
    <w:p>
      <w:pPr>
        <w:widowControl w:val="0"/>
        <w:numPr>
          <w:ilvl w:val="0"/>
          <w:numId w:val="0"/>
        </w:numPr>
        <w:ind w:firstLine="68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加强我市商标品牌培育指导站建设和提升服务能力，为企业提供商标品牌相关服务，制定完善商标品牌培育指导站工作规范，提高企业商标品牌意识和能力，协助企业参与商标类赛事、展会和活动，宣传推广阳江商标品牌。</w:t>
      </w:r>
    </w:p>
    <w:p>
      <w:pPr>
        <w:widowControl w:val="0"/>
        <w:numPr>
          <w:ilvl w:val="0"/>
          <w:numId w:val="1"/>
        </w:numPr>
        <w:ind w:left="0" w:leftChars="0"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项目任务</w:t>
      </w:r>
    </w:p>
    <w:p>
      <w:pPr>
        <w:widowControl w:val="0"/>
        <w:numPr>
          <w:ilvl w:val="0"/>
          <w:numId w:val="0"/>
        </w:numPr>
        <w:ind w:firstLine="68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（一）</w:t>
      </w:r>
      <w:r>
        <w:rPr>
          <w:rFonts w:hint="eastAsia" w:ascii="方正仿宋简体" w:hAnsi="方正仿宋简体" w:eastAsia="方正仿宋简体" w:cs="方正仿宋简体"/>
          <w:sz w:val="34"/>
          <w:szCs w:val="34"/>
          <w:lang w:val="en-US" w:eastAsia="zh-CN"/>
        </w:rPr>
        <w:t>优化现有商标品牌指导站建设，健全管理制度，助推我省商标品牌战略实施，争创全省优秀商标品牌指导站。</w:t>
      </w:r>
    </w:p>
    <w:p>
      <w:pPr>
        <w:widowControl w:val="0"/>
        <w:numPr>
          <w:ilvl w:val="0"/>
          <w:numId w:val="0"/>
        </w:numPr>
        <w:ind w:firstLine="68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（二）</w:t>
      </w:r>
      <w:r>
        <w:rPr>
          <w:rFonts w:hint="eastAsia" w:ascii="方正仿宋简体" w:hAnsi="方正仿宋简体" w:eastAsia="方正仿宋简体" w:cs="方正仿宋简体"/>
          <w:sz w:val="34"/>
          <w:szCs w:val="34"/>
          <w:lang w:val="en-US" w:eastAsia="zh-CN"/>
        </w:rPr>
        <w:t>服务于企业，推动优化企业商标管理体系，鼓励外向型企业运用国际、国内商标制度开拓海外市场、拓展内销市场，打造更多资助商标品牌；服务于产业，支撑我省产业集群商标品牌建设工作，指导开展集体商标、证明商标的管理运用保护和推广，赋能区域品牌经济发展。</w:t>
      </w:r>
    </w:p>
    <w:p>
      <w:pPr>
        <w:widowControl w:val="0"/>
        <w:numPr>
          <w:ilvl w:val="0"/>
          <w:numId w:val="0"/>
        </w:numPr>
        <w:ind w:firstLine="680"/>
        <w:jc w:val="both"/>
        <w:rPr>
          <w:rFonts w:hint="eastAsia" w:ascii="黑体" w:hAnsi="黑体" w:eastAsia="黑体" w:cs="黑体"/>
          <w:sz w:val="34"/>
          <w:szCs w:val="34"/>
          <w:lang w:val="en-US" w:eastAsia="zh-CN"/>
        </w:rPr>
      </w:pPr>
      <w:r>
        <w:rPr>
          <w:rFonts w:hint="eastAsia" w:ascii="方正楷体简体" w:hAnsi="方正楷体简体" w:eastAsia="方正楷体简体" w:cs="方正楷体简体"/>
          <w:sz w:val="34"/>
          <w:szCs w:val="34"/>
          <w:lang w:val="en-US" w:eastAsia="zh-CN"/>
        </w:rPr>
        <w:t>（三）</w:t>
      </w:r>
      <w:r>
        <w:rPr>
          <w:rFonts w:hint="eastAsia" w:ascii="方正仿宋简体" w:hAnsi="方正仿宋简体" w:eastAsia="方正仿宋简体" w:cs="方正仿宋简体"/>
          <w:sz w:val="34"/>
          <w:szCs w:val="34"/>
          <w:lang w:val="en-US" w:eastAsia="zh-CN"/>
        </w:rPr>
        <w:t>组织实施商标品牌培训计划，提升企业商标品牌建设能力。</w:t>
      </w:r>
    </w:p>
    <w:p>
      <w:pPr>
        <w:widowControl w:val="0"/>
        <w:numPr>
          <w:ilvl w:val="0"/>
          <w:numId w:val="1"/>
        </w:numPr>
        <w:ind w:left="0" w:leftChars="0"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项目参考绩效</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（一）</w:t>
      </w:r>
      <w:r>
        <w:rPr>
          <w:rFonts w:hint="eastAsia" w:ascii="方正仿宋简体" w:hAnsi="方正仿宋简体" w:eastAsia="方正仿宋简体" w:cs="方正仿宋简体"/>
          <w:sz w:val="34"/>
          <w:szCs w:val="34"/>
          <w:lang w:val="en-US" w:eastAsia="zh-CN"/>
        </w:rPr>
        <w:t>新建至少1家商标品牌指导站，或优化至少1家现有商标品牌指导站建设；健全管理制度，完善商标品牌培育指导站工作规范。</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（二）</w:t>
      </w:r>
      <w:r>
        <w:rPr>
          <w:rFonts w:hint="eastAsia" w:ascii="方正仿宋简体" w:hAnsi="方正仿宋简体" w:eastAsia="方正仿宋简体" w:cs="方正仿宋简体"/>
          <w:sz w:val="34"/>
          <w:szCs w:val="34"/>
          <w:lang w:val="en-US" w:eastAsia="zh-CN"/>
        </w:rPr>
        <w:t>在原有服务的基础上，新增若干商标品服务内容。为若干家企业提供商标国内和国际注册法律咨询，商标规范使用提示、资助品牌培育、商标运用指引等服务。</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（三）</w:t>
      </w:r>
      <w:r>
        <w:rPr>
          <w:rFonts w:hint="eastAsia" w:ascii="方正仿宋简体" w:hAnsi="方正仿宋简体" w:eastAsia="方正仿宋简体" w:cs="方正仿宋简体"/>
          <w:sz w:val="34"/>
          <w:szCs w:val="34"/>
          <w:lang w:val="en-US" w:eastAsia="zh-CN"/>
        </w:rPr>
        <w:t>开展商标品牌运用培训若干次，培养一批商标品牌培育实用人才。</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（四）</w:t>
      </w:r>
      <w:r>
        <w:rPr>
          <w:rFonts w:hint="eastAsia" w:ascii="方正仿宋简体" w:hAnsi="方正仿宋简体" w:eastAsia="方正仿宋简体" w:cs="方正仿宋简体"/>
          <w:sz w:val="34"/>
          <w:szCs w:val="34"/>
          <w:lang w:val="en-US" w:eastAsia="zh-CN"/>
        </w:rPr>
        <w:t>组织动员“粤创赛”、“湾高赛”参赛企业若干家/次。</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（五）</w:t>
      </w:r>
      <w:r>
        <w:rPr>
          <w:rFonts w:hint="eastAsia" w:ascii="方正仿宋简体" w:hAnsi="方正仿宋简体" w:eastAsia="方正仿宋简体" w:cs="方正仿宋简体"/>
          <w:sz w:val="34"/>
          <w:szCs w:val="34"/>
          <w:lang w:val="en-US" w:eastAsia="zh-CN"/>
        </w:rPr>
        <w:t>调研若干家企业，收集企业商标品牌培育存在的难点、堵点问题，形成一套典型案例，并在省级媒体上宣传报道。</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上述均为方向性任务目标，申报单位可在“项目任务”总体要求的要求基础上，可充分发挥主观能动性，修改或增加若干能体现对此项目任务的具体目标。申报项目应逐项对应细化，提出明确、量化、可考核的工作目标，预期成果科学合理。</w:t>
      </w:r>
    </w:p>
    <w:p>
      <w:pPr>
        <w:widowControl w:val="0"/>
        <w:numPr>
          <w:ilvl w:val="0"/>
          <w:numId w:val="0"/>
        </w:numPr>
        <w:ind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五、申报条件</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（一）</w:t>
      </w:r>
      <w:r>
        <w:rPr>
          <w:rFonts w:hint="eastAsia" w:ascii="方正仿宋简体" w:hAnsi="方正仿宋简体" w:eastAsia="方正仿宋简体" w:cs="方正仿宋简体"/>
          <w:sz w:val="34"/>
          <w:szCs w:val="34"/>
          <w:lang w:val="en-US" w:eastAsia="zh-CN"/>
        </w:rPr>
        <w:t>申报单位应具备完成项目所需的技术水平、创新能力和知识产权工作基础。</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（二）</w:t>
      </w:r>
      <w:r>
        <w:rPr>
          <w:rFonts w:hint="eastAsia" w:ascii="方正仿宋简体" w:hAnsi="方正仿宋简体" w:eastAsia="方正仿宋简体" w:cs="方正仿宋简体"/>
          <w:sz w:val="34"/>
          <w:szCs w:val="34"/>
          <w:lang w:val="en-US" w:eastAsia="zh-CN"/>
        </w:rPr>
        <w:t>有固定场所、有专人负责，遵守专项资金和知识产权项目管理规定，能按时保质保量完成各项任务。</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（三）</w:t>
      </w:r>
      <w:r>
        <w:rPr>
          <w:rFonts w:hint="eastAsia" w:ascii="方正仿宋简体" w:hAnsi="方正仿宋简体" w:eastAsia="方正仿宋简体" w:cs="方正仿宋简体"/>
          <w:sz w:val="34"/>
          <w:szCs w:val="34"/>
          <w:lang w:val="en-US" w:eastAsia="zh-CN"/>
        </w:rPr>
        <w:t>具有良好的信用记录和健全的管理制度，在经营活动中没有重大违法记录。</w:t>
      </w:r>
      <w:bookmarkStart w:id="0" w:name="_GoBack"/>
      <w:bookmarkEnd w:id="0"/>
    </w:p>
    <w:p>
      <w:pPr>
        <w:widowControl w:val="0"/>
        <w:numPr>
          <w:ilvl w:val="0"/>
          <w:numId w:val="0"/>
        </w:numPr>
        <w:ind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六、实施周期</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项目实施周期截止时间到2026年12月20日。</w:t>
      </w:r>
    </w:p>
    <w:p>
      <w:pPr>
        <w:widowControl w:val="0"/>
        <w:numPr>
          <w:ilvl w:val="0"/>
          <w:numId w:val="0"/>
        </w:numPr>
        <w:ind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七、申报材料</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（一）</w:t>
      </w:r>
      <w:r>
        <w:rPr>
          <w:rFonts w:hint="eastAsia" w:ascii="方正仿宋简体" w:hAnsi="方正仿宋简体" w:eastAsia="方正仿宋简体" w:cs="方正仿宋简体"/>
          <w:sz w:val="34"/>
          <w:szCs w:val="34"/>
          <w:lang w:val="en-US" w:eastAsia="zh-CN"/>
        </w:rPr>
        <w:t>《项目申报书》；</w:t>
      </w:r>
    </w:p>
    <w:p>
      <w:pPr>
        <w:widowControl w:val="0"/>
        <w:numPr>
          <w:ilvl w:val="0"/>
          <w:numId w:val="0"/>
        </w:numPr>
        <w:ind w:firstLine="680" w:firstLineChars="20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（二）</w:t>
      </w:r>
      <w:r>
        <w:rPr>
          <w:rFonts w:hint="eastAsia" w:ascii="方正仿宋简体" w:hAnsi="方正仿宋简体" w:eastAsia="方正仿宋简体" w:cs="方正仿宋简体"/>
          <w:sz w:val="34"/>
          <w:szCs w:val="34"/>
          <w:lang w:val="en-US" w:eastAsia="zh-CN"/>
        </w:rPr>
        <w:t>机构法人资格证书或营业执照复印件；</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（三）</w:t>
      </w:r>
      <w:r>
        <w:rPr>
          <w:rFonts w:hint="eastAsia" w:ascii="方正仿宋简体" w:hAnsi="方正仿宋简体" w:eastAsia="方正仿宋简体" w:cs="方正仿宋简体"/>
          <w:sz w:val="34"/>
          <w:szCs w:val="34"/>
          <w:lang w:val="en-US" w:eastAsia="zh-CN"/>
        </w:rPr>
        <w:t>配备2名以上（含2名）专（兼）职人员学历证明等相关证书；</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（四）</w:t>
      </w:r>
      <w:r>
        <w:rPr>
          <w:rFonts w:hint="eastAsia" w:ascii="方正仿宋简体" w:hAnsi="方正仿宋简体" w:eastAsia="方正仿宋简体" w:cs="方正仿宋简体"/>
          <w:sz w:val="34"/>
          <w:szCs w:val="34"/>
          <w:lang w:val="en-US" w:eastAsia="zh-CN"/>
        </w:rPr>
        <w:t>原有商标品牌培育指导站点申报服务能力提升项目的单位，应提供现有工作制度、服务事项内容清单、2024年度商标品牌指导站服务工作总结及佐证材料；</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（五）</w:t>
      </w:r>
      <w:r>
        <w:rPr>
          <w:rFonts w:hint="eastAsia" w:ascii="方正仿宋简体" w:hAnsi="方正仿宋简体" w:eastAsia="方正仿宋简体" w:cs="方正仿宋简体"/>
          <w:sz w:val="34"/>
          <w:szCs w:val="34"/>
          <w:lang w:val="en-US" w:eastAsia="zh-CN"/>
        </w:rPr>
        <w:t>所获得荣誉证明、相关项目经验证明材料；</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（六）</w:t>
      </w:r>
      <w:r>
        <w:rPr>
          <w:rFonts w:hint="eastAsia" w:ascii="方正仿宋简体" w:hAnsi="方正仿宋简体" w:eastAsia="方正仿宋简体" w:cs="方正仿宋简体"/>
          <w:sz w:val="34"/>
          <w:szCs w:val="34"/>
          <w:lang w:val="en-US" w:eastAsia="zh-CN"/>
        </w:rPr>
        <w:t>其他证明符合申报条件的材料；</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（七）</w:t>
      </w:r>
      <w:r>
        <w:rPr>
          <w:rFonts w:hint="eastAsia" w:ascii="方正仿宋简体" w:hAnsi="方正仿宋简体" w:eastAsia="方正仿宋简体" w:cs="方正仿宋简体"/>
          <w:sz w:val="34"/>
          <w:szCs w:val="34"/>
          <w:lang w:val="en-US" w:eastAsia="zh-CN"/>
        </w:rPr>
        <w:t>法人和非法人组织公共信用信息报告。</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以上材料均需加盖公章和骑缝章。</w:t>
      </w:r>
    </w:p>
    <w:p>
      <w:pPr>
        <w:widowControl w:val="0"/>
        <w:numPr>
          <w:ilvl w:val="0"/>
          <w:numId w:val="0"/>
        </w:numPr>
        <w:jc w:val="both"/>
        <w:rPr>
          <w:rFonts w:hint="eastAsia" w:ascii="方正仿宋简体" w:hAnsi="方正仿宋简体" w:eastAsia="方正仿宋简体" w:cs="方正仿宋简体"/>
          <w:sz w:val="34"/>
          <w:szCs w:val="3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1A2CE1"/>
    <w:multiLevelType w:val="singleLevel"/>
    <w:tmpl w:val="E01A2C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7911"/>
    <w:rsid w:val="09D24D70"/>
    <w:rsid w:val="116A4303"/>
    <w:rsid w:val="14295B21"/>
    <w:rsid w:val="15910C27"/>
    <w:rsid w:val="1CBE042B"/>
    <w:rsid w:val="2A992B29"/>
    <w:rsid w:val="2E0F5A1D"/>
    <w:rsid w:val="35471228"/>
    <w:rsid w:val="35F22380"/>
    <w:rsid w:val="3B2C7679"/>
    <w:rsid w:val="417F6788"/>
    <w:rsid w:val="60012FE5"/>
    <w:rsid w:val="766C7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2025-07-15T08:51:00Z</dcterms:created>
  <dc:creator>lenovo</dc:creator>
  <cp:lastModifiedBy>关建明</cp:lastModifiedBy>
  <cp:lastPrinted>2025-07-28T02:02:00Z</cp:lastPrinted>
  <dcterms:modified xsi:type="dcterms:W3CDTF">2025-07-30T07:41:05Z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