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4"/>
          <w:szCs w:val="34"/>
          <w:lang w:val="en-US" w:eastAsia="zh-CN"/>
        </w:rPr>
      </w:pPr>
      <w:r>
        <w:rPr>
          <w:rFonts w:hint="eastAsia" w:ascii="黑体" w:hAnsi="黑体" w:eastAsia="黑体" w:cs="黑体"/>
          <w:sz w:val="34"/>
          <w:szCs w:val="34"/>
        </w:rPr>
        <w:t>附件</w:t>
      </w:r>
      <w:r>
        <w:rPr>
          <w:rFonts w:hint="eastAsia" w:ascii="黑体" w:hAnsi="黑体" w:eastAsia="黑体" w:cs="黑体"/>
          <w:sz w:val="34"/>
          <w:szCs w:val="34"/>
          <w:lang w:val="en-US" w:eastAsia="zh-CN"/>
        </w:rPr>
        <w:t xml:space="preserve"> 7</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国家知识产权金融生态示范区培育及广东省数据知识产权运用项目申报指南</w:t>
      </w:r>
    </w:p>
    <w:p>
      <w:pPr>
        <w:numPr>
          <w:ilvl w:val="0"/>
          <w:numId w:val="1"/>
        </w:numPr>
        <w:ind w:firstLine="680" w:firstLineChars="200"/>
        <w:jc w:val="both"/>
        <w:rPr>
          <w:rFonts w:hint="eastAsia" w:ascii="黑体" w:hAnsi="黑体" w:eastAsia="黑体" w:cs="黑体"/>
          <w:sz w:val="34"/>
          <w:szCs w:val="34"/>
          <w:lang w:eastAsia="zh-CN"/>
        </w:rPr>
      </w:pPr>
      <w:r>
        <w:rPr>
          <w:rFonts w:hint="eastAsia" w:ascii="黑体" w:hAnsi="黑体" w:eastAsia="黑体" w:cs="黑体"/>
          <w:sz w:val="34"/>
          <w:szCs w:val="34"/>
          <w:lang w:eastAsia="zh-CN"/>
        </w:rPr>
        <w:t>项目名称</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国家知识产权金融生态示范区培育及广东省数据知识产权运用项目</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申报主体</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省内相关产业园区、技术创新中心、产学研基地等。</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省内相关高等院校、科研机构、医疗机构、重点实验室、企业等。</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各类技术转移转化中心或平台、知识产权服务机构、相关产业领域行业组织等。</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省内相关金融机构等。</w:t>
      </w:r>
    </w:p>
    <w:p>
      <w:pPr>
        <w:widowControl w:val="0"/>
        <w:numPr>
          <w:ilvl w:val="0"/>
          <w:numId w:val="0"/>
        </w:numPr>
        <w:ind w:firstLine="683"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本项目原则上应独立申报。需联合申报的，应另附情况说明，经项目发布单位批准后方可联合申报</w:t>
      </w:r>
      <w:r>
        <w:rPr>
          <w:rFonts w:hint="eastAsia" w:ascii="方正仿宋简体" w:hAnsi="方正仿宋简体" w:eastAsia="方正仿宋简体" w:cs="方正仿宋简体"/>
          <w:sz w:val="34"/>
          <w:szCs w:val="34"/>
          <w:lang w:val="en-US" w:eastAsia="zh-CN"/>
        </w:rPr>
        <w:t>。</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项目方向</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一是充分发挥知识产权金融支持科技创新和服务实体经济的重要作用，丰富知识产权金融产品，促进知识产权金融工作提质增量，广泛开展知识产权质押融资政策宣讲、入园惠企、银企对接等活动，宣传推广知识产权金融产品，提高普惠程度和服务效能，有效解决小微企业融资难、融资贵等问题，促进知识产权成果转化运用，加快新质生产力培育和发展，提升知识产权金融服务实体经济质效。二是构建专利密集型产品培育和推广全链条工作体系，更好从产品端发力，助力畅通专利、产品、产业的提升渠道，推动专利密集型产品和产业高质量发展。</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项目任务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协助做好知识产权质押融资提质增量工作，在推动知识产权质押融资年累放贷款金额合理增长的基础上，更好满足更多中小企业创新发展需求；</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协助开展数据知识产权交易运营工作。协助金融机构开发数据知识产权交易运营产品，为创新主体提供数据知识产权交易运营服务；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协助组织开展金融机构与创新主体对接活动，组织知识产权质押融资培训、数据知识产权交易运营培训等活动；</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加强专利密集型产品的宣传推介，组织开展专利密集型产品宣传推介活动，组织开展专利密集型产品培育推广培训活动；（选做）</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协助做好专利产品备案和专利密集型产品认定指南推广工作，协助做好本区域专利密集型产品线上展馆信息收集工作；（选做）</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总结、收集一批专利密集型产品培育和推广典型经验和做法。（选做）</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项目参考绩效</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组织开展若干场知识产权金融机构与创新主体对接活动或知识产权金融培训活动，每场均若干人；</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协助完成若干笔知识产权质押融资；</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协助做好若干单数据知识产权交易；</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加大专利产品备案，阳江市国家知识产权示范优势企业、省知识产权示范企业和专精特新“小巨人”企业专利产品备案率达若干比例；（选做项）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阳江市组织若干场专利密集型产品展示、推广或培训活动；（选做项）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加大专利产品备案工作宣传，提高专利产品备案工作普及性，总结若干个典型案例，形成可复制可推广的培育推广经验和模式；（选做项）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按要求配合完成本区域已经国家知识产权局认定的专利密集型产品线上展馆信息收集工作。（选做项）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上述均为方向性任务绩效，申报单位可在上述“项目任务”总体要求的基础上，充分发挥主观能动性，增加若干能体现对此项目任务的具体目标。申报项目应逐项对应细化，提出明确、量化、可考核的工作目标，预期成果科学合理。</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五、申报条件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申报单位应具备完成项目所需的技术水平、创新能力和知识产权工作基础。</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有固定场所、有专人负责，遵守专项资金和知识产权项目管理规定，能按时保质保量完成各项任务。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具有良好的信用记录和健全的管理制度，在经营活动中没有重大违法记录。</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2026年省市场监管局将同步在全省相关地市安排专利转化运用体系建设、国家知识产权金融生态区培育及广东省数据知识产权运用、专利转化运用人才体系建设、专利密集型产品培育推广等4个项目及“第八届知交会”“第四届粤创赛”等2个转化类活动，为更好统筹知识产权转化运用资源，避免出现同一单位“扎堆”承担过多转化类项目，影响转化类项目实施质量，各申报单位根据自身情况，可选择不超过2个地市（不含深圳市）、每个地市不超过2类项目进行申报，另外，也可选择“第八届知交会”“第四届粤创赛”中的其中1项活动进行申报（即同一申报单位最多能够申报4个项目和1项重大活动），并在申报材料中提交承诺书。如后续经检查时发现有未遵守承诺的情况，取消该单位项目入库资格。</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六、实施周期</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项目实施周期截止时间到2026年12月20日。</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七、申报材料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《项目申报书》；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2026年阳江市知识产权转化运用项目申报情况承诺书；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2026年阳江市知识产权转化运用项目申报汇总表；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机构法人资格证书或营业执照复印件；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2023年、2024年两年的财务报表；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团队成员身份证复印件、人员资格证明材料；</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所获得荣誉证明、相关项目经验证明材料；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（八）</w:t>
      </w:r>
      <w:r>
        <w:rPr>
          <w:rFonts w:hint="eastAsia" w:ascii="方正仿宋简体" w:hAnsi="方正仿宋简体" w:eastAsia="方正仿宋简体" w:cs="方正仿宋简体"/>
          <w:sz w:val="34"/>
          <w:szCs w:val="34"/>
          <w:lang w:val="en-US" w:eastAsia="zh-CN"/>
        </w:rPr>
        <w:t>其他证明符合申报条件的材料；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（九</w:t>
      </w:r>
      <w:bookmarkStart w:id="0" w:name="_GoBack"/>
      <w:bookmarkEnd w:id="0"/>
      <w:r>
        <w:rPr>
          <w:rFonts w:hint="eastAsia" w:ascii="方正楷体简体" w:hAnsi="方正楷体简体" w:eastAsia="方正楷体简体" w:cs="方正楷体简体"/>
          <w:sz w:val="34"/>
          <w:szCs w:val="34"/>
          <w:lang w:val="en-US" w:eastAsia="zh-CN"/>
        </w:rPr>
        <w:t>）</w:t>
      </w:r>
      <w:r>
        <w:rPr>
          <w:rFonts w:hint="eastAsia" w:ascii="方正仿宋简体" w:hAnsi="方正仿宋简体" w:eastAsia="方正仿宋简体" w:cs="方正仿宋简体"/>
          <w:sz w:val="34"/>
          <w:szCs w:val="34"/>
          <w:lang w:val="en-US" w:eastAsia="zh-CN"/>
        </w:rPr>
        <w:t>法人和非法人组织公共信用信息报告。</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以上材料均需加盖公章和骑缝章。</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A2CE1"/>
    <w:multiLevelType w:val="singleLevel"/>
    <w:tmpl w:val="E01A2C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45589"/>
    <w:rsid w:val="06AD30B6"/>
    <w:rsid w:val="079C5B07"/>
    <w:rsid w:val="0AAA3413"/>
    <w:rsid w:val="116A4303"/>
    <w:rsid w:val="19555A5D"/>
    <w:rsid w:val="1BF8192B"/>
    <w:rsid w:val="2A992B29"/>
    <w:rsid w:val="2DC9206B"/>
    <w:rsid w:val="2E2A60BA"/>
    <w:rsid w:val="464425D1"/>
    <w:rsid w:val="46B02CEA"/>
    <w:rsid w:val="47C01659"/>
    <w:rsid w:val="4ED00548"/>
    <w:rsid w:val="680622A8"/>
    <w:rsid w:val="68F1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2025-07-15T08:51:00Z</dcterms:created>
  <dc:creator>lenovo</dc:creator>
  <cp:lastModifiedBy>关建明</cp:lastModifiedBy>
  <cp:lastPrinted>2025-07-28T03:10:00Z</cp:lastPrinted>
  <dcterms:modified xsi:type="dcterms:W3CDTF">2025-07-30T08:01:04Z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