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附件 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</w:t>
      </w:r>
      <w:r>
        <w:rPr>
          <w:rFonts w:hint="eastAsia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阳江市知识产权</w:t>
      </w:r>
      <w:r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转化运用</w:t>
      </w:r>
      <w:r>
        <w:rPr>
          <w:rFonts w:hint="eastAsia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类</w:t>
      </w:r>
      <w:r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申报承诺</w:t>
      </w:r>
      <w:r>
        <w:rPr>
          <w:rFonts w:hint="eastAsia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书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  <w:t>阳江市市场监督管理局：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  <w:t>为更好统筹服务资源，提高项目服务质量，确保同一单位不“扎堆”承担不同地市的知识产权转化运用类项目，我单位承诺：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textAlignment w:val="center"/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  <w:t>在2026年省级知识产权专项资金支持地市开展的专利转化运用体系建设、国家知识产权金融生态示范区及广东省数据知识产权运用、专利转化运用人才体系建设、专利密集型产品培育推广等4个项目申报中，申报地市不超过2个市（不含深圳市）、申报类型不超过2类项目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  <w:t>在“第八届知交会”“第四届粤创赛”重大活动中，只选择申报其中一项重大活动。如后续经检查时发现有未遵守承诺的情况，我单位同意取消我单位以上项目入库资格。</w:t>
      </w:r>
    </w:p>
    <w:p>
      <w:pPr>
        <w:ind w:firstLine="5440" w:firstLineChars="17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ind w:firstLine="5440" w:firstLineChars="17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  <w:t>承诺单位（盖章）</w:t>
      </w:r>
    </w:p>
    <w:p>
      <w:pPr>
        <w:ind w:firstLine="5120" w:firstLineChars="1600"/>
        <w:rPr>
          <w:rFonts w:hint="eastAsia" w:ascii="小标宋" w:hAnsi="小标宋" w:eastAsia="小标宋" w:cs="小标宋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cs="Times New Roman"/>
          <w:b w:val="0"/>
          <w:kern w:val="2"/>
          <w:sz w:val="32"/>
          <w:szCs w:val="32"/>
          <w:lang w:val="en-US" w:eastAsia="zh-CN" w:bidi="ar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2368"/>
    <w:rsid w:val="12BF0987"/>
    <w:rsid w:val="31484806"/>
    <w:rsid w:val="41C36F64"/>
    <w:rsid w:val="476E5DB5"/>
    <w:rsid w:val="66314261"/>
    <w:rsid w:val="6AF1651D"/>
    <w:rsid w:val="6F90168C"/>
    <w:rsid w:val="BBEA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2025-07-28T12:07:00Z</dcterms:created>
  <dc:creator>lenovo</dc:creator>
  <cp:lastModifiedBy>关玉昭</cp:lastModifiedBy>
  <dcterms:modified xsi:type="dcterms:W3CDTF">2025-08-01T11:07:25Z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