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2023年度阳江市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专利转化实施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2023年度阳江市专利转化实施项目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推动专利转化工作，促进全国高校院所、国有企业与我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中小微企业对接，建设“高校院所+产业”专利供需平台，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组织对接活动，开展专利开放许可促进工作，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实现专利转化专项计划中5个绩效目标按期达标。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申报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广东省内登记注册、具有独立法人资格的知识产权服务机构或相关协会。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工作任务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推动专利转化工作，促进全国高校院所、国有企业与当地中小微企业对接，建设“高校院所+产业”专利供需平台，分区域、分产业组织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场以上中小微企业专利转化对接活动。                                                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开展专利开放许可促进工作，收集企业开放许可专利需求，向省级专利开放许可试点信息发布平台推荐不少于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项开放许可专利信息等。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联合金融机构开展2场知识产权质押融资等专项对接交流活动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及相关业务培训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，促使企业与金融机构达成合作意向，促成5项以上知识产权质押融资贷款。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现全市中小微企业受让和被许可高校院所及国企专利次数、受让和被许可高校院所及国企专利中小微企业数量、高校院所出让和许可专利次数、专利质押融资担保备案金额、专利质押融资项目数年均增长30%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五、实施周期及支持方式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项目实施截止时间到202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年12月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，本专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支持2个项目。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Ansi="黑体" w:eastAsia="黑体"/>
          <w:color w:val="000000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023年省下放市县专项资金（知识产权促进类）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项目申报书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）相关项目经验证明；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）其他证明符合申报条件的材料。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Ansi="黑体" w:eastAsia="黑体"/>
          <w:color w:val="000000"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（一）本次申报及评审结果仅将列入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市场监管局2023年项目入库名单，我局将根据项目预算等实际情况综合确定本次评审项目是否立项。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合同管理：项目立项后，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项目验收：项目完成后，项目承担单位应及时总结并申请验收，向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市场监管局报送工作成果，由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市场监管局组织验收通过后，方可结项。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RmNjBhODdlMjJmNDFjZDAzNjM4MDI4YzBlNTkifQ=="/>
  </w:docVars>
  <w:rsids>
    <w:rsidRoot w:val="320238F4"/>
    <w:rsid w:val="320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2022-12-29T09:33:00Z</dcterms:created>
  <dc:creator>关玉昭</dc:creator>
  <cp:lastModifiedBy>关玉昭</cp:lastModifiedBy>
  <dcterms:modified xsi:type="dcterms:W3CDTF">2022-12-29T09:34:14Z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6E6E6E4DCE4E4DD69607DE91E932CD77</vt:lpwstr>
  </property>
</Properties>
</file>