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黑体" w:cs="Times New Roman"/>
          <w:kern w:val="0"/>
        </w:rPr>
      </w:pPr>
      <w:r>
        <w:rPr>
          <w:rFonts w:hint="default" w:ascii="Times New Roman" w:hAnsi="Times New Roman" w:eastAsia="黑体" w:cs="Times New Roman"/>
          <w:kern w:val="0"/>
        </w:rPr>
        <w:t>附件1</w:t>
      </w: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kern w:val="0"/>
        </w:rPr>
      </w:pPr>
      <w:r>
        <w:rPr>
          <w:rFonts w:hint="default" w:ascii="Times New Roman" w:hAnsi="Times New Roman" w:eastAsia="黑体" w:cs="Times New Roman"/>
          <w:kern w:val="0"/>
        </w:rPr>
        <w:t xml:space="preserve"> </w:t>
      </w:r>
    </w:p>
    <w:p>
      <w:pPr>
        <w:pStyle w:val="5"/>
        <w:tabs>
          <w:tab w:val="clear" w:pos="420"/>
        </w:tabs>
        <w:spacing w:line="660" w:lineRule="exact"/>
        <w:rPr>
          <w:rFonts w:hint="default" w:ascii="Times New Roman" w:hAnsi="Times New Roman" w:eastAsia="方正小标宋简体" w:cs="Times New Roman"/>
          <w:b w:val="0"/>
          <w:kern w:val="2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kern w:val="2"/>
        </w:rPr>
        <w:t>阳江市中央财政2022年服务业发展专项资金（专利转化专项计划-第一批）</w:t>
      </w:r>
    </w:p>
    <w:p>
      <w:pPr>
        <w:pStyle w:val="5"/>
        <w:tabs>
          <w:tab w:val="clear" w:pos="420"/>
        </w:tabs>
        <w:spacing w:line="660" w:lineRule="exact"/>
        <w:rPr>
          <w:rFonts w:hint="default" w:ascii="Times New Roman" w:hAnsi="Times New Roman" w:eastAsia="方正小标宋简体" w:cs="Times New Roman"/>
          <w:b w:val="0"/>
          <w:kern w:val="2"/>
        </w:rPr>
      </w:pPr>
      <w:r>
        <w:rPr>
          <w:rFonts w:hint="default" w:ascii="Times New Roman" w:hAnsi="Times New Roman" w:eastAsia="方正小标宋简体" w:cs="Times New Roman"/>
          <w:b w:val="0"/>
          <w:kern w:val="2"/>
        </w:rPr>
        <w:t>项目申报指南</w:t>
      </w:r>
    </w:p>
    <w:bookmarkEnd w:id="0"/>
    <w:p>
      <w:pPr>
        <w:pStyle w:val="5"/>
        <w:tabs>
          <w:tab w:val="clear" w:pos="420"/>
        </w:tabs>
        <w:spacing w:line="660" w:lineRule="exact"/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  <w:t xml:space="preserve"> 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一、项目名称</w:t>
      </w:r>
    </w:p>
    <w:p>
      <w:pPr>
        <w:spacing w:line="59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地市专利转化促进项目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二、项目目标</w:t>
      </w:r>
    </w:p>
    <w:p>
      <w:pPr>
        <w:spacing w:line="59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促进辖</w:t>
      </w:r>
      <w:r>
        <w:rPr>
          <w:rFonts w:hint="eastAsia" w:ascii="Times New Roman" w:hAnsi="Times New Roman" w:cs="Times New Roman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szCs w:val="32"/>
        </w:rPr>
        <w:t>内中小微企业积极吸纳高校院所、国有企业专利成果落地实施，收集辖</w:t>
      </w:r>
      <w:r>
        <w:rPr>
          <w:rFonts w:hint="eastAsia" w:ascii="Times New Roman" w:hAnsi="Times New Roman" w:cs="Times New Roman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szCs w:val="32"/>
        </w:rPr>
        <w:t>内重点产业、重点园区内中小微企业专利技术需求，对接引入高校院所技术团队，开展精准专利转化对接活动。主动与辖</w:t>
      </w:r>
      <w:r>
        <w:rPr>
          <w:rFonts w:hint="eastAsia" w:ascii="Times New Roman" w:hAnsi="Times New Roman" w:cs="Times New Roman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szCs w:val="32"/>
        </w:rPr>
        <w:t>内银保监分局、金融管理部门合作等，开展知识产权质押融资入园惠企活动，加大中小微企业知识产权质押融资力度，提高银行通过知识产权放贷积极性。做好专利转让许可登记备案宣传工作，鼓励企业在完成专利转让、许可后，依法在国家知识产权局进行专利许可、转让、质押融资备案登记。专利转让次数、许可次数、许可金融、知识产权质押融资登记金额、质押融资项目数年均增长20%以上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三、工作任务</w:t>
      </w:r>
    </w:p>
    <w:p>
      <w:pPr>
        <w:spacing w:line="59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组织开展至少1场全市范围内高校院所与中小微企业专利转化对接活动；至少1场知识产权质押融资入园惠企活动；至少1场专利转让许可登记备案宣传培训活动；促成2项以上对接项目落地实施，并依法在国家知识产权局登记备案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四、实施周期及支持方式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项目实施截止时间到2022年12月20日，本专项资金总额35万元，支持1个项目。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五、申报材料</w:t>
      </w:r>
    </w:p>
    <w:p>
      <w:pPr>
        <w:spacing w:line="59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1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</w:rPr>
        <w:t>阳江市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中央财政2022年服务业发展专项资金（专利转化专项计划-第一批）</w:t>
      </w:r>
      <w:r>
        <w:rPr>
          <w:rFonts w:hint="default" w:ascii="Times New Roman" w:hAnsi="Times New Roman" w:cs="Times New Roman"/>
          <w:szCs w:val="32"/>
        </w:rPr>
        <w:t>项目申报书</w:t>
      </w:r>
    </w:p>
    <w:p>
      <w:pPr>
        <w:pStyle w:val="6"/>
        <w:spacing w:line="600" w:lineRule="exact"/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2.申报单位法人资格证复印件；</w:t>
      </w:r>
    </w:p>
    <w:p>
      <w:pPr>
        <w:pStyle w:val="6"/>
        <w:spacing w:line="600" w:lineRule="exact"/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32"/>
        </w:rPr>
        <w:t>3.近两年的财务报表；</w:t>
      </w:r>
    </w:p>
    <w:p>
      <w:pPr>
        <w:pStyle w:val="6"/>
        <w:spacing w:line="600" w:lineRule="exact"/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</w:t>
      </w:r>
      <w:r>
        <w:rPr>
          <w:rFonts w:hint="default" w:ascii="Times New Roman" w:hAnsi="Times New Roman" w:cs="Times New Roman"/>
          <w:szCs w:val="32"/>
        </w:rPr>
        <w:t>.</w:t>
      </w:r>
      <w:r>
        <w:rPr>
          <w:rFonts w:hint="default" w:ascii="Times New Roman" w:hAnsi="Times New Roman" w:cs="Times New Roman"/>
        </w:rPr>
        <w:t>其他证明申报条件、申报优势的材料。</w:t>
      </w:r>
    </w:p>
    <w:p>
      <w:pPr>
        <w:pStyle w:val="6"/>
        <w:spacing w:line="600" w:lineRule="exact"/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上述材料均需加盖公章。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六、其他事项</w:t>
      </w:r>
    </w:p>
    <w:p>
      <w:pPr>
        <w:spacing w:line="6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（一）合同管理：项目立项后，市市场监管局与承担单位签署项目合同书，作为项目管理的重要依据。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（二）项目验收：项目完成后，项目承担单位应及时总结并申请验收，向市市场监管局报送工作成果，由市市场监管局组织验收通过后，方可结项。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D2C0F"/>
    <w:rsid w:val="5DFD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numPr>
        <w:ilvl w:val="0"/>
        <w:numId w:val="1"/>
      </w:numPr>
      <w:outlineLvl w:val="0"/>
    </w:pPr>
    <w:rPr>
      <w:rFonts w:eastAsia="黑体"/>
      <w:bCs/>
      <w:kern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uiPriority w:val="0"/>
    <w:pPr>
      <w:keepNext w:val="0"/>
      <w:keepLines w:val="0"/>
      <w:numPr>
        <w:ilvl w:val="0"/>
        <w:numId w:val="0"/>
      </w:numPr>
      <w:adjustRightInd w:val="0"/>
      <w:snapToGrid w:val="0"/>
      <w:spacing w:line="640" w:lineRule="exact"/>
      <w:jc w:val="center"/>
    </w:pPr>
    <w:rPr>
      <w:rFonts w:ascii="???" w:hAnsi="宋体" w:eastAsia="宋体"/>
      <w:b/>
      <w:color w:val="000000"/>
      <w:kern w:val="0"/>
      <w:sz w:val="44"/>
    </w:rPr>
  </w:style>
  <w:style w:type="paragraph" w:customStyle="1" w:styleId="6">
    <w:name w:val="正文首空2"/>
    <w:basedOn w:val="1"/>
    <w:qFormat/>
    <w:uiPriority w:val="0"/>
    <w:pPr>
      <w:spacing w:line="590" w:lineRule="exact"/>
      <w:ind w:firstLine="20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2022-01-27T08:40:00Z</dcterms:created>
  <dc:creator>梁劲梅</dc:creator>
  <cp:lastModifiedBy>梁劲梅</cp:lastModifiedBy>
  <dcterms:modified xsi:type="dcterms:W3CDTF">2022-01-27T08:41:49Z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