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F1848">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14:paraId="265C8F99">
      <w:pPr>
        <w:spacing w:line="360" w:lineRule="auto"/>
        <w:jc w:val="center"/>
        <w:rPr>
          <w:rFonts w:ascii="方正小标宋简体" w:eastAsia="方正小标宋简体"/>
          <w:sz w:val="44"/>
          <w:szCs w:val="44"/>
        </w:rPr>
      </w:pPr>
      <w:r>
        <w:rPr>
          <w:rFonts w:hint="eastAsia" w:ascii="方正小标宋简体" w:eastAsia="方正小标宋简体"/>
          <w:sz w:val="44"/>
          <w:szCs w:val="44"/>
        </w:rPr>
        <w:t>部门整体支出绩效自评报告</w:t>
      </w:r>
    </w:p>
    <w:p w14:paraId="6ACB9C63"/>
    <w:p w14:paraId="25944943"/>
    <w:p w14:paraId="5FD8C7A2"/>
    <w:p w14:paraId="0EF52395"/>
    <w:p w14:paraId="427E29B6"/>
    <w:p w14:paraId="09F357B9"/>
    <w:p w14:paraId="36DEEE06">
      <w:pPr>
        <w:ind w:firstLine="1823" w:firstLineChars="592"/>
        <w:rPr>
          <w:rFonts w:hint="eastAsia" w:eastAsia="仿宋_GB2312"/>
          <w:lang w:eastAsia="zh-CN"/>
        </w:rPr>
      </w:pPr>
      <w:r>
        <w:rPr>
          <w:rFonts w:hint="eastAsia"/>
        </w:rPr>
        <w:t>部门名称（公章）：</w:t>
      </w:r>
      <w:r>
        <w:rPr>
          <w:rFonts w:hint="eastAsia" w:ascii="仿宋_GB2312"/>
          <w:lang w:eastAsia="zh-CN"/>
        </w:rPr>
        <w:t>阳江市人力资源和社会保障局</w:t>
      </w:r>
    </w:p>
    <w:p w14:paraId="17B7DEC4">
      <w:pPr>
        <w:ind w:firstLine="1823" w:firstLineChars="592"/>
        <w:rPr>
          <w:rFonts w:hint="eastAsia" w:eastAsia="仿宋_GB2312"/>
          <w:lang w:eastAsia="zh-CN"/>
        </w:rPr>
      </w:pPr>
      <w:r>
        <w:rPr>
          <w:rFonts w:hint="eastAsia"/>
        </w:rPr>
        <w:t>填报人姓名：</w:t>
      </w:r>
      <w:r>
        <w:rPr>
          <w:rFonts w:hint="eastAsia"/>
          <w:lang w:eastAsia="zh-CN"/>
        </w:rPr>
        <w:t>钟东慧</w:t>
      </w:r>
    </w:p>
    <w:p w14:paraId="7FD7C393">
      <w:pPr>
        <w:ind w:firstLine="1823" w:firstLineChars="592"/>
        <w:rPr>
          <w:rFonts w:hint="default" w:eastAsia="仿宋_GB2312"/>
          <w:lang w:val="en-US" w:eastAsia="zh-CN"/>
        </w:rPr>
      </w:pPr>
      <w:r>
        <w:rPr>
          <w:rFonts w:hint="eastAsia"/>
        </w:rPr>
        <w:t>联系电话：</w:t>
      </w:r>
      <w:r>
        <w:rPr>
          <w:rFonts w:hint="eastAsia"/>
          <w:lang w:val="en-US" w:eastAsia="zh-CN"/>
        </w:rPr>
        <w:t>2231056</w:t>
      </w:r>
    </w:p>
    <w:p w14:paraId="7336D246">
      <w:pPr>
        <w:ind w:firstLine="1823" w:firstLineChars="592"/>
        <w:rPr>
          <w:rFonts w:hint="default" w:eastAsia="仿宋_GB2312"/>
          <w:lang w:val="en-US" w:eastAsia="zh-CN"/>
        </w:rPr>
      </w:pPr>
      <w:r>
        <w:rPr>
          <w:rFonts w:hint="eastAsia"/>
        </w:rPr>
        <w:t>填报日期：</w:t>
      </w:r>
      <w:r>
        <w:rPr>
          <w:rFonts w:hint="eastAsia"/>
          <w:lang w:val="en-US" w:eastAsia="zh-CN"/>
        </w:rPr>
        <w:t>2026年6月3日</w:t>
      </w:r>
    </w:p>
    <w:p w14:paraId="5D7B25B3"/>
    <w:p w14:paraId="433CDA81"/>
    <w:p w14:paraId="3997B3BD"/>
    <w:p w14:paraId="15171CEB"/>
    <w:p w14:paraId="1BFD4DFF">
      <w:pPr>
        <w:rPr>
          <w:rFonts w:hint="eastAsia"/>
        </w:rPr>
      </w:pPr>
      <w:r>
        <w:rPr>
          <w:rFonts w:hint="eastAsia"/>
        </w:rPr>
        <w:t xml:space="preserve">                    </w:t>
      </w:r>
    </w:p>
    <w:p w14:paraId="26522EAE">
      <w:pPr>
        <w:rPr>
          <w:rFonts w:hint="eastAsia"/>
        </w:rPr>
      </w:pPr>
    </w:p>
    <w:p w14:paraId="40C87876">
      <w:pPr>
        <w:rPr>
          <w:rFonts w:hint="eastAsia"/>
        </w:rPr>
      </w:pPr>
    </w:p>
    <w:p w14:paraId="2A064AFF">
      <w:pPr>
        <w:rPr>
          <w:rFonts w:hint="eastAsia"/>
        </w:rPr>
      </w:pPr>
    </w:p>
    <w:p w14:paraId="7A183CD3">
      <w:pPr>
        <w:jc w:val="center"/>
      </w:pPr>
      <w:r>
        <w:rPr>
          <w:rFonts w:hint="eastAsia"/>
        </w:rPr>
        <w:t>阳江市财政局制</w:t>
      </w:r>
    </w:p>
    <w:p w14:paraId="6E75A970">
      <w:r>
        <w:rPr>
          <w:rFonts w:hint="eastAsia"/>
        </w:rPr>
        <w:t xml:space="preserve">                         </w:t>
      </w:r>
      <w:r>
        <w:rPr>
          <w:rFonts w:hint="eastAsia"/>
          <w:lang w:eastAsia="zh-CN"/>
        </w:rPr>
        <w:t>2026</w:t>
      </w:r>
      <w:r>
        <w:rPr>
          <w:rFonts w:hint="eastAsia"/>
        </w:rPr>
        <w:t>年</w:t>
      </w:r>
    </w:p>
    <w:p w14:paraId="18A2EF36">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方正小标宋简体" w:eastAsia="方正小标宋简体"/>
        </w:rPr>
      </w:pPr>
      <w:bookmarkStart w:id="0" w:name="_Toc28838"/>
      <w:bookmarkStart w:id="1" w:name="_Toc8021_WPSOffice_Level2"/>
    </w:p>
    <w:p w14:paraId="5B18E610">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方正小标宋简体" w:eastAsia="方正小标宋简体"/>
        </w:rPr>
      </w:pPr>
      <w:r>
        <w:rPr>
          <w:rFonts w:hint="eastAsia" w:ascii="方正小标宋简体" w:eastAsia="方正小标宋简体"/>
        </w:rPr>
        <w:t>一、部门基本情况</w:t>
      </w:r>
      <w:bookmarkEnd w:id="0"/>
      <w:bookmarkEnd w:id="1"/>
    </w:p>
    <w:p w14:paraId="77DAB163">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楷体_GB2312" w:eastAsia="楷体_GB2312"/>
          <w:b/>
          <w:bCs/>
          <w:szCs w:val="32"/>
        </w:rPr>
      </w:pPr>
      <w:bookmarkStart w:id="2" w:name="_Toc30104"/>
      <w:bookmarkStart w:id="3" w:name="_Toc23683"/>
      <w:bookmarkStart w:id="4" w:name="_Toc5988_WPSOffice_Level3"/>
      <w:r>
        <w:rPr>
          <w:rFonts w:hint="eastAsia" w:ascii="楷体_GB2312" w:eastAsia="楷体_GB2312"/>
          <w:b/>
          <w:bCs/>
          <w:szCs w:val="32"/>
        </w:rPr>
        <w:t>（一）部门整体概况</w:t>
      </w:r>
      <w:bookmarkEnd w:id="2"/>
      <w:bookmarkEnd w:id="3"/>
      <w:bookmarkEnd w:id="4"/>
      <w:bookmarkStart w:id="5" w:name="_Toc18779"/>
    </w:p>
    <w:bookmarkEnd w:id="5"/>
    <w:p w14:paraId="0A54AB86">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1.部门职能</w:t>
      </w:r>
    </w:p>
    <w:p w14:paraId="1D379254">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（1）贯彻执行国家和省有关人力资源和社会保障事业发展的方针政策和法律法规规章，起草有关本市规范性文件草案，制定本市人力资源和社会保障制度改革规划、方案，并组织实施。</w:t>
      </w:r>
    </w:p>
    <w:p w14:paraId="38980CFE">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（2）拟订并组织实施本市人力资源市场发展规划和人力资源流动措施，建立统一规范的人力资源市场，促进人力资源合理流动、有效配置。</w:t>
      </w:r>
    </w:p>
    <w:p w14:paraId="5AF2ECFE">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3）负责促进就业创业工作，拟订就业创业发展规划和措施，完善公共就业创业服务体系，健全就业援助制度，完善职业资格制度，统筹建立面向城乡劳动者的职业培训制度，负责技工院校管理，组织实施高校毕业生就业政策，会同有关部门拟订技能人才、农村实用型人才培养和激励措施。</w:t>
      </w:r>
    </w:p>
    <w:p w14:paraId="71B822CA">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4）统筹推进建立覆盖城乡的多层次社会保障体系。拟订养老、失业、工伤等社会保险及其补充保险政策和标准。组织拟订基础养老金统筹办法，统筹拟订机关企事业单位基本养老保险政策并逐步提高统筹层次。拟订企业年金、职业年金政策并组织实施。会同有关部门拟订养老、失业、工伤保险及其补充保险基金管理和监督制度，会同有关部门编制本市养老、失业、工伤保险基金预决算草案。</w:t>
      </w:r>
    </w:p>
    <w:p w14:paraId="3DDB714C">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（5）负责就业及养老、失业、工伤保险基金预测预警和信息引导，拟订应对预案，实施预防、调节和控制，保持就业形势稳定和养老、失业、工伤保险基金总体收支平衡。</w:t>
      </w:r>
    </w:p>
    <w:p w14:paraId="5DDCB880">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 xml:space="preserve">（6）执行事业单位人员工资收入分配政策，建立企、事业单位人员工资正常增长和支付保障机制，贯彻企、事业单位人员福利和离退休政策。  </w:t>
      </w:r>
    </w:p>
    <w:p w14:paraId="1B0777CF">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7）会同有关部门指导事业单位人事制度改革，拟订事业单位人员和合同制职员管理办法，指导人才管理和开发工作，制定专业技术人员管理和继续教育措施，负责企、事业单位管理人员继续教育管理工作，牵头推进深化职称制度改革工作，监督和指导博士、博士后工作站管理和服务工作，负责中、高层次专业技术人才选拔和培养工作。</w:t>
      </w:r>
    </w:p>
    <w:p w14:paraId="452DDB9D">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（8）会同有关部门拟订异地务工人员服务管理综合性措施和规划，推动相关政策落实，协调解决重点难点问题，维护异地务工人员合法权益。</w:t>
      </w:r>
    </w:p>
    <w:p w14:paraId="02BF4D16">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9）统筹落实劳动、人事争议调解仲裁制度和劳动关系政策，完善劳动关系协调机制，组织落实禁止非法使用童工政策和女工、未成年工的特殊劳动保护政策，组织实施劳动监察，协调劳动者维权工作，依法查处重大案件。</w:t>
      </w:r>
    </w:p>
    <w:p w14:paraId="718F43AD">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（10）承办市人民政府及省人力资源和社会保障厅交办的其他事项。</w:t>
      </w:r>
    </w:p>
    <w:p w14:paraId="5DD75A61">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2.内设机构构成</w:t>
      </w:r>
    </w:p>
    <w:p w14:paraId="303BB15F">
      <w:pPr>
        <w:spacing w:line="540" w:lineRule="exact"/>
        <w:ind w:firstLine="616" w:firstLineChars="200"/>
        <w:rPr>
          <w:rFonts w:hint="eastAsia" w:ascii="仿宋_GB2312" w:hAnsi="仿宋_GB2312" w:cs="仿宋_GB2312"/>
          <w:bCs/>
          <w:szCs w:val="32"/>
        </w:rPr>
      </w:pPr>
      <w:r>
        <w:rPr>
          <w:rFonts w:hint="eastAsia" w:ascii="仿宋_GB2312" w:hAnsi="仿宋_GB2312" w:cs="仿宋_GB2312"/>
          <w:bCs/>
          <w:szCs w:val="32"/>
        </w:rPr>
        <w:t>阳江市人力资源和社会保障局设14个内设机构：办公室（机关党委办公室）、综合计划与政策法规科、财务科、</w:t>
      </w:r>
      <w:r>
        <w:rPr>
          <w:rFonts w:hint="eastAsia" w:ascii="仿宋_GB2312" w:hAnsi="仿宋_GB2312" w:cs="仿宋_GB2312"/>
          <w:bCs/>
          <w:szCs w:val="32"/>
          <w:lang w:eastAsia="zh-CN"/>
        </w:rPr>
        <w:t>社会保险基金监督与审计科、</w:t>
      </w:r>
      <w:r>
        <w:rPr>
          <w:rFonts w:hint="eastAsia" w:ascii="仿宋_GB2312" w:hAnsi="仿宋_GB2312" w:cs="仿宋_GB2312"/>
          <w:bCs/>
          <w:szCs w:val="32"/>
        </w:rPr>
        <w:t>就业促进科、调解仲裁管理科（市劳动人事争议仲裁委员会办公室、市劳动人事争议调解仲裁院）、培训教育科、专业技术人员管理科、事业单位人事管理科、劳动关系与工资福利科、养老失业保险科、工伤保险科（市劳动能力鉴定委员会办公室）、城乡居民养老保险科、</w:t>
      </w:r>
      <w:r>
        <w:rPr>
          <w:rFonts w:hint="eastAsia" w:ascii="仿宋_GB2312" w:hAnsi="仿宋_GB2312" w:cs="仿宋_GB2312"/>
          <w:bCs/>
          <w:szCs w:val="32"/>
          <w:lang w:eastAsia="zh-CN"/>
        </w:rPr>
        <w:t>执法监督科</w:t>
      </w:r>
      <w:r>
        <w:rPr>
          <w:rFonts w:hint="eastAsia" w:ascii="仿宋_GB2312" w:hAnsi="仿宋_GB2312" w:cs="仿宋_GB2312"/>
          <w:bCs/>
          <w:szCs w:val="32"/>
        </w:rPr>
        <w:t>。另有1个不独立核算的事业单位：阳江市人力资源社会保障服务中心。</w:t>
      </w:r>
    </w:p>
    <w:p w14:paraId="2D685B8A">
      <w:pPr>
        <w:spacing w:line="540" w:lineRule="exact"/>
        <w:ind w:firstLine="616" w:firstLineChars="200"/>
        <w:rPr>
          <w:rFonts w:ascii="仿宋_GB2312" w:hAnsi="仿宋_GB2312" w:cs="仿宋_GB2312"/>
          <w:bCs/>
          <w:szCs w:val="32"/>
        </w:rPr>
      </w:pPr>
      <w:r>
        <w:rPr>
          <w:rFonts w:hint="eastAsia" w:ascii="仿宋_GB2312" w:hAnsi="仿宋_GB2312" w:cs="仿宋_GB2312"/>
          <w:bCs/>
          <w:szCs w:val="32"/>
        </w:rPr>
        <w:t>3.人员编制构成情况</w:t>
      </w:r>
    </w:p>
    <w:p w14:paraId="0C13CDD4">
      <w:pPr>
        <w:spacing w:line="540" w:lineRule="exact"/>
        <w:ind w:firstLine="616" w:firstLineChars="200"/>
        <w:rPr>
          <w:rFonts w:hint="eastAsia" w:ascii="仿宋_GB2312" w:hAnsi="仿宋_GB2312" w:cs="仿宋_GB2312"/>
          <w:bCs/>
          <w:szCs w:val="32"/>
        </w:rPr>
      </w:pPr>
      <w:r>
        <w:rPr>
          <w:rFonts w:hint="eastAsia" w:ascii="仿宋_GB2312" w:hAnsi="仿宋_GB2312" w:cs="仿宋_GB2312"/>
          <w:bCs/>
          <w:szCs w:val="32"/>
        </w:rPr>
        <w:t>截止202</w:t>
      </w:r>
      <w:r>
        <w:rPr>
          <w:rFonts w:hint="eastAsia" w:ascii="仿宋_GB2312" w:hAnsi="仿宋_GB2312" w:cs="仿宋_GB2312"/>
          <w:bCs/>
          <w:szCs w:val="32"/>
          <w:lang w:val="en-US" w:eastAsia="zh-CN"/>
        </w:rPr>
        <w:t>5</w:t>
      </w:r>
      <w:r>
        <w:rPr>
          <w:rFonts w:hint="eastAsia" w:ascii="仿宋_GB2312" w:hAnsi="仿宋_GB2312" w:cs="仿宋_GB2312"/>
          <w:bCs/>
          <w:szCs w:val="32"/>
        </w:rPr>
        <w:t>年12月31日，本</w:t>
      </w:r>
      <w:r>
        <w:rPr>
          <w:rFonts w:hint="eastAsia" w:ascii="仿宋_GB2312" w:hAnsi="仿宋_GB2312" w:cs="仿宋_GB2312"/>
          <w:bCs/>
          <w:szCs w:val="32"/>
          <w:lang w:eastAsia="zh-CN"/>
        </w:rPr>
        <w:t>部门</w:t>
      </w:r>
      <w:r>
        <w:rPr>
          <w:rFonts w:hint="eastAsia" w:ascii="仿宋_GB2312" w:hAnsi="仿宋_GB2312" w:cs="仿宋_GB2312"/>
          <w:bCs/>
          <w:szCs w:val="32"/>
        </w:rPr>
        <w:t>实有</w:t>
      </w:r>
      <w:r>
        <w:rPr>
          <w:rFonts w:hint="eastAsia" w:ascii="仿宋_GB2312" w:hAnsi="仿宋_GB2312" w:cs="仿宋_GB2312"/>
          <w:bCs/>
          <w:szCs w:val="32"/>
          <w:lang w:eastAsia="zh-CN"/>
        </w:rPr>
        <w:t>在编</w:t>
      </w:r>
      <w:r>
        <w:rPr>
          <w:rFonts w:hint="eastAsia" w:ascii="仿宋_GB2312" w:hAnsi="仿宋_GB2312" w:cs="仿宋_GB2312"/>
          <w:bCs/>
          <w:szCs w:val="32"/>
        </w:rPr>
        <w:t>财供人数337</w:t>
      </w:r>
      <w:r>
        <w:rPr>
          <w:rFonts w:hint="eastAsia" w:ascii="仿宋_GB2312" w:hAnsi="仿宋_GB2312" w:cs="仿宋_GB2312"/>
          <w:bCs/>
          <w:szCs w:val="32"/>
          <w:lang w:eastAsia="zh-CN"/>
        </w:rPr>
        <w:t>人，</w:t>
      </w:r>
      <w:r>
        <w:rPr>
          <w:rFonts w:hint="eastAsia" w:ascii="仿宋_GB2312" w:hAnsi="仿宋_GB2312" w:cs="仿宋_GB2312"/>
          <w:bCs/>
          <w:szCs w:val="32"/>
        </w:rPr>
        <w:t xml:space="preserve">      </w:t>
      </w:r>
      <w:r>
        <w:rPr>
          <w:rFonts w:hint="eastAsia" w:ascii="仿宋_GB2312" w:hAnsi="仿宋_GB2312" w:cs="仿宋_GB2312"/>
          <w:bCs/>
          <w:szCs w:val="32"/>
          <w:lang w:eastAsia="zh-CN"/>
        </w:rPr>
        <w:t>其中</w:t>
      </w:r>
      <w:r>
        <w:rPr>
          <w:rFonts w:hint="eastAsia" w:ascii="仿宋_GB2312" w:hAnsi="仿宋_GB2312" w:cs="仿宋_GB2312"/>
          <w:bCs/>
          <w:szCs w:val="32"/>
        </w:rPr>
        <w:t>行政（参公）59</w:t>
      </w:r>
      <w:r>
        <w:rPr>
          <w:rFonts w:hint="eastAsia" w:ascii="仿宋_GB2312" w:hAnsi="仿宋_GB2312" w:cs="仿宋_GB2312"/>
          <w:bCs/>
          <w:szCs w:val="32"/>
          <w:lang w:eastAsia="zh-CN"/>
        </w:rPr>
        <w:t>人，</w:t>
      </w:r>
      <w:r>
        <w:rPr>
          <w:rFonts w:hint="eastAsia" w:ascii="仿宋_GB2312" w:hAnsi="仿宋_GB2312" w:cs="仿宋_GB2312"/>
          <w:bCs/>
          <w:szCs w:val="32"/>
        </w:rPr>
        <w:t>公益一类270</w:t>
      </w:r>
      <w:r>
        <w:rPr>
          <w:rFonts w:hint="eastAsia" w:ascii="仿宋_GB2312" w:hAnsi="仿宋_GB2312" w:cs="仿宋_GB2312"/>
          <w:bCs/>
          <w:szCs w:val="32"/>
          <w:lang w:eastAsia="zh-CN"/>
        </w:rPr>
        <w:t>人，</w:t>
      </w:r>
      <w:r>
        <w:rPr>
          <w:rFonts w:hint="eastAsia" w:ascii="仿宋_GB2312" w:hAnsi="仿宋_GB2312" w:cs="仿宋_GB2312"/>
          <w:bCs/>
          <w:szCs w:val="32"/>
        </w:rPr>
        <w:t>公益二类8</w:t>
      </w:r>
      <w:r>
        <w:rPr>
          <w:rFonts w:hint="eastAsia" w:ascii="仿宋_GB2312" w:hAnsi="仿宋_GB2312" w:cs="仿宋_GB2312"/>
          <w:bCs/>
          <w:szCs w:val="32"/>
          <w:lang w:eastAsia="zh-CN"/>
        </w:rPr>
        <w:t>人。</w:t>
      </w:r>
      <w:r>
        <w:rPr>
          <w:rFonts w:hint="eastAsia" w:ascii="仿宋_GB2312" w:hAnsi="仿宋_GB2312" w:cs="仿宋_GB2312"/>
          <w:bCs/>
          <w:szCs w:val="32"/>
        </w:rPr>
        <w:t>其他人员1人。</w:t>
      </w:r>
    </w:p>
    <w:p w14:paraId="5809CC09">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楷体_GB2312" w:eastAsia="楷体_GB2312"/>
          <w:b/>
          <w:bCs/>
          <w:szCs w:val="32"/>
        </w:rPr>
      </w:pPr>
      <w:bookmarkStart w:id="6" w:name="_Toc14936_WPSOffice_Level2"/>
      <w:bookmarkStart w:id="7" w:name="_Toc25996"/>
      <w:r>
        <w:rPr>
          <w:rFonts w:hint="eastAsia" w:ascii="楷体_GB2312" w:eastAsia="楷体_GB2312"/>
          <w:b/>
          <w:bCs/>
          <w:szCs w:val="32"/>
        </w:rPr>
        <w:t>（二）年度总体工作和重点工作任务</w:t>
      </w:r>
      <w:bookmarkEnd w:id="6"/>
      <w:bookmarkEnd w:id="7"/>
    </w:p>
    <w:p w14:paraId="186703F0">
      <w:pPr>
        <w:wordWrap w:val="0"/>
        <w:overflowPunct w:val="0"/>
        <w:autoSpaceDE/>
        <w:autoSpaceDN/>
        <w:spacing w:line="594" w:lineRule="exact"/>
        <w:ind w:firstLine="616" w:firstLineChars="200"/>
        <w:rPr>
          <w:rFonts w:ascii="仿宋" w:hAnsi="仿宋" w:eastAsia="仿宋" w:cs="仿宋"/>
          <w:b/>
          <w:bCs/>
          <w:snapToGrid w:val="0"/>
          <w:kern w:val="32"/>
          <w:sz w:val="32"/>
          <w:szCs w:val="32"/>
        </w:rPr>
      </w:pPr>
      <w:bookmarkStart w:id="8" w:name="_Toc28424_WPSOffice_Level2"/>
      <w:bookmarkStart w:id="9" w:name="_Toc8086"/>
      <w:r>
        <w:rPr>
          <w:rFonts w:hint="eastAsia" w:ascii="仿宋" w:hAnsi="仿宋" w:eastAsia="仿宋" w:cs="仿宋"/>
          <w:b/>
          <w:bCs/>
          <w:snapToGrid w:val="0"/>
          <w:kern w:val="32"/>
          <w:sz w:val="32"/>
          <w:szCs w:val="32"/>
          <w:lang w:val="en-US" w:eastAsia="zh-CN"/>
        </w:rPr>
        <w:t>1.</w:t>
      </w:r>
      <w:r>
        <w:rPr>
          <w:rFonts w:hint="eastAsia" w:ascii="仿宋" w:hAnsi="仿宋" w:eastAsia="仿宋" w:cs="仿宋"/>
          <w:b/>
          <w:bCs/>
          <w:snapToGrid w:val="0"/>
          <w:kern w:val="32"/>
          <w:sz w:val="32"/>
          <w:szCs w:val="32"/>
        </w:rPr>
        <w:t>就业创业计划执行情况</w:t>
      </w:r>
    </w:p>
    <w:p w14:paraId="6F05A566">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全市城镇新增就业19452人，完成全年计划的129.68%，各县（市、区）均已完成全年计划。其中，海陵区、高新区指标任务完成比例靠前。</w:t>
      </w:r>
    </w:p>
    <w:p w14:paraId="24D145A6">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全市城镇失业人员再就业10074人，完成全年计划的125.93%，各县（市、区）均已完成全年计划。其中，高新区、海陵区指标任务完成比例靠前。</w:t>
      </w:r>
    </w:p>
    <w:p w14:paraId="5BB6A743">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全市就业困难人员就业1691人，完成全年计划的120.79%，各县（市、区）均已完成全年计划。其中，海陵区、阳东区指标任务完成比例靠前。</w:t>
      </w:r>
    </w:p>
    <w:p w14:paraId="36A5549F">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全市促进创业人数1699人，完成全年计划的113.27%，各县（市、区）均已完成全年计划。其中，阳东区、江城区指标任务完成比例靠前。</w:t>
      </w:r>
    </w:p>
    <w:p w14:paraId="1239A432">
      <w:pPr>
        <w:wordWrap w:val="0"/>
        <w:overflowPunct w:val="0"/>
        <w:autoSpaceDE/>
        <w:autoSpaceDN/>
        <w:spacing w:line="594" w:lineRule="exact"/>
        <w:ind w:firstLine="616" w:firstLineChars="200"/>
        <w:rPr>
          <w:rFonts w:ascii="仿宋" w:hAnsi="仿宋" w:eastAsia="仿宋" w:cs="仿宋"/>
          <w:b/>
          <w:bCs/>
          <w:snapToGrid w:val="0"/>
          <w:kern w:val="32"/>
          <w:sz w:val="32"/>
          <w:szCs w:val="32"/>
        </w:rPr>
      </w:pPr>
      <w:r>
        <w:rPr>
          <w:rFonts w:hint="eastAsia" w:ascii="仿宋" w:hAnsi="仿宋" w:eastAsia="仿宋" w:cs="仿宋"/>
          <w:b/>
          <w:bCs/>
          <w:snapToGrid w:val="0"/>
          <w:kern w:val="32"/>
          <w:sz w:val="32"/>
          <w:szCs w:val="32"/>
          <w:lang w:val="en-US" w:eastAsia="zh-CN"/>
        </w:rPr>
        <w:t>2.</w:t>
      </w:r>
      <w:r>
        <w:rPr>
          <w:rFonts w:hint="eastAsia" w:ascii="仿宋" w:hAnsi="仿宋" w:eastAsia="仿宋" w:cs="仿宋"/>
          <w:b/>
          <w:bCs/>
          <w:snapToGrid w:val="0"/>
          <w:kern w:val="32"/>
          <w:sz w:val="32"/>
          <w:szCs w:val="32"/>
        </w:rPr>
        <w:t>社会保险计划执行情况</w:t>
      </w:r>
    </w:p>
    <w:p w14:paraId="57B669F6">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全市参加基本养老保险1710029人，完成全年计划的99.13%。其中，市本级、高新区已完成全年计划，江城区、阳东区、阳春市、阳西县、海陵区未完成全年计划。</w:t>
      </w:r>
    </w:p>
    <w:p w14:paraId="5F7BFBEE">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全市参加城镇职工基本养老保险（含离退休）488900人，完成全年计划的101.94%。其中，市本级、江城区、阳东区、阳春市、阳西县、高新区已完成全年计划，海陵区未完成全年计划。</w:t>
      </w:r>
    </w:p>
    <w:p w14:paraId="54267032">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全市企业职工基本养老保险职工人数（不含离退休）286162人，完成全年计划的102.13%。其中，市本级、江城区、阳东区、阳春市、阳西县、高新区已完成全年计划，海陵区未完成全年计划。</w:t>
      </w:r>
    </w:p>
    <w:p w14:paraId="4178FFCD">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全市参加失业保险227459人，完成全年计划的103.39%。其中，市本级、江城区、阳东区、阳春市、海陵区已完成全年计划，阳西县、高新区未完成全年计划。</w:t>
      </w:r>
    </w:p>
    <w:p w14:paraId="534DBEB4">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全市参加工伤保险337383人，完成全年计划的94.24%。其中，市本级已完成全年计划，江城区、阳东区、阳春市、阳西县、海陵区、高新区未完成全年计划。</w:t>
      </w:r>
    </w:p>
    <w:p w14:paraId="1F396F2A">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全市新开工工程建设项目工伤保险参保率计划为90%，至12月底实际为100%。各县（市、区）均已达年度计划目标要求。</w:t>
      </w:r>
    </w:p>
    <w:p w14:paraId="5A2679CC">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全市企业职工基本养老保险基金征缴收入388445万元，完成全年计划的106.62%。</w:t>
      </w:r>
    </w:p>
    <w:p w14:paraId="66AF857C">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全市失业保险基金征缴收入13014万元，完成全年计划的104.20%。</w:t>
      </w:r>
    </w:p>
    <w:p w14:paraId="32149393">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全市工伤保险征缴收入10220万元，完成全年计划的113.56%。</w:t>
      </w:r>
    </w:p>
    <w:p w14:paraId="1B56EEBF">
      <w:pPr>
        <w:wordWrap w:val="0"/>
        <w:overflowPunct w:val="0"/>
        <w:autoSpaceDE/>
        <w:autoSpaceDN/>
        <w:spacing w:line="594" w:lineRule="exact"/>
        <w:ind w:firstLine="616" w:firstLineChars="200"/>
        <w:rPr>
          <w:rFonts w:ascii="仿宋" w:hAnsi="仿宋" w:eastAsia="仿宋" w:cs="仿宋"/>
          <w:b/>
          <w:bCs/>
          <w:snapToGrid w:val="0"/>
          <w:kern w:val="32"/>
          <w:sz w:val="32"/>
          <w:szCs w:val="32"/>
        </w:rPr>
      </w:pPr>
      <w:r>
        <w:rPr>
          <w:rFonts w:hint="eastAsia" w:ascii="仿宋" w:hAnsi="仿宋" w:eastAsia="仿宋" w:cs="仿宋"/>
          <w:b/>
          <w:bCs/>
          <w:snapToGrid w:val="0"/>
          <w:kern w:val="32"/>
          <w:sz w:val="32"/>
          <w:szCs w:val="32"/>
          <w:lang w:val="en-US" w:eastAsia="zh-CN"/>
        </w:rPr>
        <w:t>3.</w:t>
      </w:r>
      <w:r>
        <w:rPr>
          <w:rFonts w:hint="eastAsia" w:ascii="仿宋" w:hAnsi="仿宋" w:eastAsia="仿宋" w:cs="仿宋"/>
          <w:b/>
          <w:bCs/>
          <w:snapToGrid w:val="0"/>
          <w:kern w:val="32"/>
          <w:sz w:val="32"/>
          <w:szCs w:val="32"/>
        </w:rPr>
        <w:t>人才队伍建设计划执行情况</w:t>
      </w:r>
    </w:p>
    <w:p w14:paraId="119F037F">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全市新增取得职业资格证书或职业技能等级证书7557人次，完成全年计划的107.96%。其中，市本级、江城区、阳东区、阳春市、阳西县、海陵区已完成全年计划，高新区未完成全年计划。</w:t>
      </w:r>
    </w:p>
    <w:p w14:paraId="6DF0EAD0">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全市新增取得高级工以上职业资格证书或职业技能等级证书2804人次，完成全年计划的100.14%。其中，市本级、江城区、阳东区、阳春市已完成全年计划，阳西县、海陵区、高新区未完成全年计划。</w:t>
      </w:r>
    </w:p>
    <w:p w14:paraId="2822E9ED">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全市新增取得技师以上职业资格证书或职业技能等级证书323人次，完成全年计划的170%。其中，市本级、江城区、阳东区、高新区已完成全年计划，阳春市、阳西县、海陵区未完成全年计划。</w:t>
      </w:r>
    </w:p>
    <w:p w14:paraId="4E961386">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全市开展补贴性职业技能培训14620人次，完成全年计划的132.91%，各县（市、区）均已完成全年计划。其中，海陵区、高新区指标任务完成比例靠前。</w:t>
      </w:r>
    </w:p>
    <w:p w14:paraId="10BC0543">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全市开展“粤菜师傅”培训896人次，完成全年计划的112%。其中江城区、阳春市已完成全年计划，阳东区、阳西县、海陵区未完成全年计划。</w:t>
      </w:r>
    </w:p>
    <w:p w14:paraId="132E1CE7">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全市开展“南粤家政”培训7404人次，完成全年计划的118.46%。各县（市、区）均已完成全年计划。其中，阳春市、海陵区指标任务完成比例靠前。</w:t>
      </w:r>
    </w:p>
    <w:p w14:paraId="68B6CA19">
      <w:pPr>
        <w:wordWrap w:val="0"/>
        <w:overflowPunct w:val="0"/>
        <w:autoSpaceDE/>
        <w:autoSpaceDN/>
        <w:spacing w:line="594" w:lineRule="exact"/>
        <w:ind w:firstLine="616" w:firstLineChars="200"/>
        <w:rPr>
          <w:rFonts w:ascii="仿宋" w:hAnsi="仿宋" w:eastAsia="仿宋" w:cs="仿宋"/>
          <w:b/>
          <w:bCs/>
          <w:snapToGrid w:val="0"/>
          <w:kern w:val="32"/>
          <w:sz w:val="32"/>
          <w:szCs w:val="32"/>
        </w:rPr>
      </w:pPr>
      <w:r>
        <w:rPr>
          <w:rFonts w:hint="eastAsia" w:ascii="仿宋" w:hAnsi="仿宋" w:eastAsia="仿宋" w:cs="仿宋"/>
          <w:b/>
          <w:bCs/>
          <w:snapToGrid w:val="0"/>
          <w:kern w:val="32"/>
          <w:sz w:val="32"/>
          <w:szCs w:val="32"/>
          <w:lang w:val="en-US" w:eastAsia="zh-CN"/>
        </w:rPr>
        <w:t>4.</w:t>
      </w:r>
      <w:r>
        <w:rPr>
          <w:rFonts w:hint="eastAsia" w:ascii="仿宋" w:hAnsi="仿宋" w:eastAsia="仿宋" w:cs="仿宋"/>
          <w:b/>
          <w:bCs/>
          <w:snapToGrid w:val="0"/>
          <w:kern w:val="32"/>
          <w:sz w:val="32"/>
          <w:szCs w:val="32"/>
        </w:rPr>
        <w:t>劳动关系协调计划执行情况</w:t>
      </w:r>
    </w:p>
    <w:p w14:paraId="05CF1DE5">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全市劳动人事争议调解成功率计划为75%，完成值为85.14%，各县（市、区）均已达年度计划目标要求。</w:t>
      </w:r>
    </w:p>
    <w:p w14:paraId="51ECF72A">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全市劳动人事争议仲裁结案率计划为95%，完成值为98.66%，各县（市、区）均已达年度计划目标要求。</w:t>
      </w:r>
    </w:p>
    <w:p w14:paraId="41812E71">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全市劳动保障监察举报投诉案件结案率、拖欠农民工工资举报投诉案件结案率年度计划分别为98%、99%，完成值为100%，各县（市、区）均已达年度计划目标要求。</w:t>
      </w:r>
    </w:p>
    <w:p w14:paraId="797B7320">
      <w:pPr>
        <w:wordWrap w:val="0"/>
        <w:overflowPunct w:val="0"/>
        <w:autoSpaceDE/>
        <w:autoSpaceDN/>
        <w:spacing w:line="594" w:lineRule="exact"/>
        <w:ind w:firstLine="616" w:firstLineChars="200"/>
        <w:rPr>
          <w:rFonts w:ascii="仿宋" w:hAnsi="仿宋" w:eastAsia="仿宋" w:cs="仿宋"/>
          <w:b/>
          <w:bCs/>
          <w:snapToGrid w:val="0"/>
          <w:kern w:val="32"/>
          <w:sz w:val="32"/>
          <w:szCs w:val="32"/>
        </w:rPr>
      </w:pPr>
      <w:r>
        <w:rPr>
          <w:rFonts w:hint="eastAsia" w:ascii="仿宋" w:hAnsi="仿宋" w:eastAsia="仿宋" w:cs="仿宋"/>
          <w:b/>
          <w:bCs/>
          <w:snapToGrid w:val="0"/>
          <w:kern w:val="32"/>
          <w:sz w:val="32"/>
          <w:szCs w:val="32"/>
          <w:lang w:val="en-US" w:eastAsia="zh-CN"/>
        </w:rPr>
        <w:t>5.</w:t>
      </w:r>
      <w:r>
        <w:rPr>
          <w:rFonts w:hint="eastAsia" w:ascii="仿宋" w:hAnsi="仿宋" w:eastAsia="仿宋" w:cs="仿宋"/>
          <w:b/>
          <w:bCs/>
          <w:snapToGrid w:val="0"/>
          <w:kern w:val="32"/>
          <w:sz w:val="32"/>
          <w:szCs w:val="32"/>
        </w:rPr>
        <w:t>能力建设计划执行情况</w:t>
      </w:r>
    </w:p>
    <w:p w14:paraId="621F1A03">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全市申领电子社保卡人口覆盖率计划为66%，完成值为66.27%，各县（市、区）均已达年度计划目标要求。其中，高新区、阳西县指标任务完成值靠前。</w:t>
      </w:r>
    </w:p>
    <w:p w14:paraId="400DC6AF">
      <w:pPr>
        <w:wordWrap w:val="0"/>
        <w:overflowPunct w:val="0"/>
        <w:autoSpaceDE/>
        <w:autoSpaceDN/>
        <w:spacing w:line="594" w:lineRule="exact"/>
        <w:ind w:firstLine="616" w:firstLineChars="200"/>
        <w:rPr>
          <w:rFonts w:ascii="仿宋" w:hAnsi="仿宋" w:eastAsia="仿宋" w:cs="仿宋"/>
          <w:sz w:val="32"/>
          <w:szCs w:val="32"/>
        </w:rPr>
      </w:pPr>
      <w:r>
        <w:rPr>
          <w:rFonts w:hint="eastAsia" w:ascii="仿宋" w:hAnsi="仿宋" w:eastAsia="仿宋" w:cs="仿宋"/>
          <w:sz w:val="32"/>
          <w:szCs w:val="32"/>
        </w:rPr>
        <w:t>全市人社政务服务好评率计划为99%，完成值为100%，各县（市、区）均已达年度计划目标要求。</w:t>
      </w:r>
    </w:p>
    <w:p w14:paraId="6D02A949">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楷体_GB2312" w:eastAsia="楷体_GB2312"/>
          <w:b/>
          <w:bCs/>
          <w:szCs w:val="32"/>
        </w:rPr>
      </w:pPr>
      <w:r>
        <w:rPr>
          <w:rFonts w:hint="eastAsia" w:ascii="楷体_GB2312" w:eastAsia="楷体_GB2312"/>
          <w:b/>
          <w:bCs/>
          <w:szCs w:val="32"/>
        </w:rPr>
        <w:t>（三）</w:t>
      </w:r>
      <w:bookmarkEnd w:id="8"/>
      <w:bookmarkEnd w:id="9"/>
      <w:r>
        <w:rPr>
          <w:rFonts w:hint="eastAsia" w:ascii="楷体_GB2312" w:eastAsia="楷体_GB2312"/>
          <w:b/>
          <w:bCs/>
          <w:szCs w:val="32"/>
        </w:rPr>
        <w:t>部门整体支出情况</w:t>
      </w:r>
    </w:p>
    <w:p w14:paraId="635277B0">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ascii="仿宋_GB2312" w:hAnsi="仿宋_GB2312" w:cs="仿宋_GB2312"/>
          <w:bCs/>
          <w:szCs w:val="32"/>
        </w:rPr>
      </w:pPr>
      <w:r>
        <w:rPr>
          <w:rFonts w:hint="eastAsia" w:ascii="仿宋_GB2312" w:hAnsi="仿宋_GB2312" w:cs="仿宋_GB2312"/>
          <w:bCs/>
          <w:szCs w:val="32"/>
          <w:lang w:val="en-US" w:eastAsia="zh-CN"/>
        </w:rPr>
        <w:t>2025年，我部门全年财政预算支出24247.10万元，实际支出24244.85万元。其中三公经费支出54.49万元。</w:t>
      </w:r>
    </w:p>
    <w:p w14:paraId="64183CEE">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楷体_GB2312" w:eastAsia="楷体_GB2312"/>
          <w:b/>
          <w:bCs/>
          <w:szCs w:val="32"/>
        </w:rPr>
      </w:pPr>
      <w:r>
        <w:rPr>
          <w:rFonts w:hint="eastAsia" w:ascii="楷体_GB2312" w:eastAsia="楷体_GB2312"/>
          <w:b/>
          <w:bCs/>
          <w:szCs w:val="32"/>
        </w:rPr>
        <w:t>（四）部门整体支出绩效目标</w:t>
      </w:r>
    </w:p>
    <w:p w14:paraId="1878E657">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仿宋_GB2312" w:hAnsi="华文仿宋" w:cs="仿宋_GB2312"/>
          <w:szCs w:val="32"/>
        </w:rPr>
      </w:pPr>
      <w:bookmarkStart w:id="10" w:name="_Toc22180"/>
      <w:bookmarkStart w:id="11" w:name="_Toc4514_WPSOffice_Level1"/>
      <w:r>
        <w:rPr>
          <w:rFonts w:hint="eastAsia" w:ascii="仿宋_GB2312" w:hAnsi="华文仿宋" w:cs="仿宋_GB2312"/>
          <w:szCs w:val="32"/>
        </w:rPr>
        <w:t>强化就业优先导向，促进高质量充分就业，健全创业培训、创业服务、创业孵化、创业活动支持体系，实施高校毕业生就业创业行动；深化社保制度改革，健全社会保障体系，健全社保基金安全监管体系；引导和鼓励高校毕业生到基层从事支教、支农、支医和乡村振兴，创新工程人才培养模式，开展职业技能培训；加强技工教育管理，持续推进高水平技师学院建设，提升技工教育吸引力；加强人事管理创新，完善收入分配制度；构建和谐劳动关系，促使劳动监察案件如期办结率达98%以上，确保劳动人事争议仲裁结案率达95%以上，劳动人事争议调解成功率达75%以上；推动各类劳动者以技能提升促进稳定就业、带动收入增加，全面建设人才集聚和民生保障新高地，推动全市人力资源社会保障事业高质量发展。</w:t>
      </w:r>
    </w:p>
    <w:p w14:paraId="75E0EB4C">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方正小标宋简体" w:eastAsia="方正小标宋简体"/>
          <w:highlight w:val="none"/>
          <w:lang w:eastAsia="zh-CN"/>
        </w:rPr>
      </w:pPr>
      <w:r>
        <w:rPr>
          <w:rFonts w:hint="eastAsia" w:ascii="方正小标宋简体" w:eastAsia="方正小标宋简体"/>
          <w:highlight w:val="none"/>
          <w:lang w:eastAsia="zh-CN"/>
        </w:rPr>
        <w:t>二、上一年度绩效评价整改情况</w:t>
      </w:r>
    </w:p>
    <w:p w14:paraId="4543A819">
      <w:pPr>
        <w:pStyle w:val="3"/>
        <w:numPr>
          <w:ilvl w:val="0"/>
          <w:numId w:val="1"/>
        </w:numPr>
        <w:spacing w:line="600" w:lineRule="exact"/>
        <w:ind w:left="0" w:firstLine="616" w:firstLineChars="200"/>
        <w:rPr>
          <w:rFonts w:ascii="仿宋_GB2312" w:hAnsi="华文仿宋" w:eastAsia="仿宋_GB2312" w:cs="仿宋_GB2312"/>
          <w:sz w:val="32"/>
          <w:szCs w:val="32"/>
        </w:rPr>
      </w:pPr>
      <w:r>
        <w:rPr>
          <w:rFonts w:hint="eastAsia" w:ascii="仿宋_GB2312" w:hAnsi="华文仿宋" w:eastAsia="仿宋_GB2312" w:cs="仿宋_GB2312"/>
          <w:sz w:val="32"/>
          <w:szCs w:val="32"/>
        </w:rPr>
        <w:t>提升绩效自评工作组织与质量管理。</w:t>
      </w:r>
    </w:p>
    <w:p w14:paraId="132FA24D">
      <w:pPr>
        <w:ind w:firstLine="616" w:firstLineChars="200"/>
      </w:pPr>
      <w:r>
        <w:rPr>
          <w:rFonts w:hint="eastAsia"/>
        </w:rPr>
        <w:t>强化业务与财务协同及证据留档</w:t>
      </w:r>
      <w:bookmarkStart w:id="28" w:name="_GoBack"/>
      <w:bookmarkEnd w:id="28"/>
      <w:r>
        <w:rPr>
          <w:rFonts w:hint="eastAsia"/>
        </w:rPr>
        <w:t>制度建设，加强绩效管理学习，内容包括绩效管理的政策解读、自评工作的操作规范以及如何进行绩效指标的深度分析。提升绩效管理的全流程管理，加强前期规划和目标设定，明确绩效目标的设置，确保目标合理、可量化，并与部门职能紧密相关。建立绩效管理闭环机制，确保自评结果能够推动部门管理和工作质量的持续提升。</w:t>
      </w:r>
    </w:p>
    <w:p w14:paraId="6FD77BE1">
      <w:pPr>
        <w:pStyle w:val="3"/>
        <w:numPr>
          <w:ilvl w:val="0"/>
          <w:numId w:val="1"/>
        </w:numPr>
        <w:spacing w:line="600" w:lineRule="exact"/>
        <w:ind w:left="0" w:firstLine="616" w:firstLineChars="200"/>
        <w:rPr>
          <w:rFonts w:ascii="仿宋_GB2312" w:hAnsi="华文仿宋" w:eastAsia="仿宋_GB2312" w:cs="仿宋_GB2312"/>
          <w:sz w:val="32"/>
          <w:szCs w:val="32"/>
        </w:rPr>
      </w:pPr>
      <w:r>
        <w:rPr>
          <w:rFonts w:hint="eastAsia" w:ascii="仿宋_GB2312" w:hAnsi="华文仿宋" w:eastAsia="仿宋_GB2312" w:cs="仿宋_GB2312"/>
          <w:sz w:val="32"/>
          <w:szCs w:val="32"/>
        </w:rPr>
        <w:t>提升部门在专项资金项目监管方面的能力</w:t>
      </w:r>
    </w:p>
    <w:p w14:paraId="1AE134C8">
      <w:pPr>
        <w:ind w:firstLine="616" w:firstLineChars="200"/>
      </w:pPr>
      <w:r>
        <w:rPr>
          <w:rFonts w:hint="eastAsia"/>
        </w:rPr>
        <w:t>完善资金管理和绩效运行监控机制，明确资金使用范围、审批流程、监管责任和违规处理措施，对资金实施全过程监控，确保资金使用的透明度和规范性。同时设立专门的绩效评价指标体系，涵盖项目实施进度、资金使用效率、项目成果等多个维度，确保绩效评价的全面性和公正性。</w:t>
      </w:r>
    </w:p>
    <w:p w14:paraId="51CFB04B">
      <w:pPr>
        <w:pStyle w:val="3"/>
        <w:numPr>
          <w:ilvl w:val="0"/>
          <w:numId w:val="1"/>
        </w:numPr>
        <w:spacing w:line="600" w:lineRule="exact"/>
        <w:ind w:left="0" w:firstLine="616" w:firstLineChars="200"/>
        <w:rPr>
          <w:rFonts w:ascii="方正小标宋简体" w:eastAsia="方正小标宋简体"/>
        </w:rPr>
      </w:pPr>
      <w:r>
        <w:rPr>
          <w:rFonts w:hint="eastAsia" w:ascii="仿宋_GB2312" w:hAnsi="华文仿宋" w:eastAsia="仿宋_GB2312" w:cs="仿宋_GB2312"/>
          <w:sz w:val="32"/>
          <w:szCs w:val="32"/>
        </w:rPr>
        <w:t>提高绩效信息公开的及时性和全面性，提升透明度和公信力。严格执行绩效目标公开的时间，确保在规定时间内及时、准确地向公众发布绩效目标。</w:t>
      </w:r>
    </w:p>
    <w:p w14:paraId="3DE98866">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方正小标宋简体" w:eastAsia="方正小标宋简体"/>
        </w:rPr>
      </w:pPr>
      <w:r>
        <w:rPr>
          <w:rFonts w:hint="eastAsia" w:ascii="方正小标宋简体" w:eastAsia="方正小标宋简体"/>
          <w:lang w:eastAsia="zh-CN"/>
        </w:rPr>
        <w:t>三</w:t>
      </w:r>
      <w:r>
        <w:rPr>
          <w:rFonts w:hint="eastAsia" w:ascii="方正小标宋简体" w:eastAsia="方正小标宋简体"/>
        </w:rPr>
        <w:t>、绩效自评结论</w:t>
      </w:r>
      <w:bookmarkEnd w:id="10"/>
      <w:bookmarkEnd w:id="11"/>
    </w:p>
    <w:p w14:paraId="0CF47813">
      <w:pPr>
        <w:keepNext w:val="0"/>
        <w:keepLines w:val="0"/>
        <w:pageBreakBefore w:val="0"/>
        <w:widowControl w:val="0"/>
        <w:kinsoku/>
        <w:wordWrap/>
        <w:overflowPunct/>
        <w:topLinePunct w:val="0"/>
        <w:autoSpaceDE/>
        <w:autoSpaceDN/>
        <w:bidi w:val="0"/>
        <w:adjustRightInd/>
        <w:snapToGrid w:val="0"/>
        <w:spacing w:line="540" w:lineRule="exact"/>
        <w:ind w:firstLine="616" w:firstLineChars="200"/>
        <w:textAlignment w:val="auto"/>
        <w:outlineLvl w:val="9"/>
        <w:rPr>
          <w:rFonts w:hint="eastAsia" w:ascii="仿宋_GB2312" w:hAnsi="华文仿宋" w:cs="仿宋_GB2312"/>
          <w:szCs w:val="32"/>
        </w:rPr>
      </w:pPr>
      <w:r>
        <w:rPr>
          <w:rFonts w:hint="eastAsia" w:ascii="仿宋_GB2312" w:hAnsi="华文仿宋" w:cs="仿宋_GB2312"/>
          <w:szCs w:val="32"/>
        </w:rPr>
        <w:t>2025年，我局认真落实省委“1310”具体部署和市委“433”工作安排，扎实开展就业创业、社会保障、人事人才、劳动关系等各项工作，奋力推动人社事业高质量发展不断取得丰硕成果。促进新增就业创业、失业人员再就业，确保就业局势稳中向好；全市三大险种(基本养老、失业、工伤保险)累计参保232.48万人次，完成社会保险提质增效任务；以技赋能强培训，开展“三项工程”相关工种补贴性职业技能培训新增各类职业技能等级证书人次，高层次技能人才储备持续提升；全市各类劳动保障违法案件法定期限内办结率100%，劳动争议案件总调解率、结案率均超额完成省下达目标，促进劳动关系和谐稳定；打造便民人社品牌，深入实施社保卡居民服务“一卡通”行动；加快数字人社建设，深化“互联网+人社”服务，全市人社政务服务好评率为100%，公共服务效能持续提升。</w:t>
      </w:r>
    </w:p>
    <w:p w14:paraId="40D7E236">
      <w:pPr>
        <w:keepNext w:val="0"/>
        <w:keepLines w:val="0"/>
        <w:pageBreakBefore w:val="0"/>
        <w:widowControl w:val="0"/>
        <w:kinsoku/>
        <w:wordWrap/>
        <w:overflowPunct/>
        <w:topLinePunct w:val="0"/>
        <w:autoSpaceDE/>
        <w:autoSpaceDN/>
        <w:bidi w:val="0"/>
        <w:adjustRightInd/>
        <w:snapToGrid w:val="0"/>
        <w:spacing w:line="540" w:lineRule="exact"/>
        <w:ind w:firstLine="616" w:firstLineChars="200"/>
        <w:textAlignment w:val="auto"/>
        <w:outlineLvl w:val="9"/>
        <w:rPr>
          <w:rFonts w:ascii="方正小标宋简体" w:eastAsia="方正小标宋简体"/>
          <w:b w:val="0"/>
          <w:bCs w:val="0"/>
        </w:rPr>
      </w:pPr>
      <w:r>
        <w:rPr>
          <w:rFonts w:hint="eastAsia" w:ascii="仿宋_GB2312" w:hAnsi="华文仿宋" w:cs="仿宋_GB2312"/>
          <w:b w:val="0"/>
          <w:bCs w:val="0"/>
          <w:szCs w:val="32"/>
          <w:lang w:val="en-US" w:eastAsia="zh-CN"/>
        </w:rPr>
        <w:t>2025年我局整体绩效</w:t>
      </w:r>
      <w:r>
        <w:rPr>
          <w:rFonts w:hint="eastAsia" w:ascii="仿宋_GB2312" w:hAnsi="华文仿宋" w:cs="仿宋_GB2312"/>
          <w:b w:val="0"/>
          <w:bCs w:val="0"/>
          <w:szCs w:val="32"/>
        </w:rPr>
        <w:t>自评分数</w:t>
      </w:r>
      <w:r>
        <w:rPr>
          <w:rFonts w:hint="eastAsia" w:ascii="仿宋_GB2312" w:hAnsi="华文仿宋" w:cs="仿宋_GB2312"/>
          <w:b w:val="0"/>
          <w:bCs w:val="0"/>
          <w:szCs w:val="32"/>
          <w:lang w:val="en-US" w:eastAsia="zh-CN"/>
        </w:rPr>
        <w:t>99分，</w:t>
      </w:r>
      <w:r>
        <w:rPr>
          <w:rFonts w:hint="eastAsia" w:ascii="仿宋_GB2312" w:hAnsi="华文仿宋" w:cs="仿宋_GB2312"/>
          <w:b w:val="0"/>
          <w:bCs w:val="0"/>
          <w:szCs w:val="32"/>
        </w:rPr>
        <w:t>等级</w:t>
      </w:r>
      <w:r>
        <w:rPr>
          <w:rFonts w:hint="eastAsia" w:ascii="仿宋_GB2312" w:hAnsi="华文仿宋" w:cs="仿宋_GB2312"/>
          <w:b w:val="0"/>
          <w:bCs w:val="0"/>
          <w:szCs w:val="32"/>
          <w:lang w:eastAsia="zh-CN"/>
        </w:rPr>
        <w:t>优秀</w:t>
      </w:r>
      <w:r>
        <w:rPr>
          <w:rFonts w:hint="eastAsia" w:ascii="仿宋_GB2312" w:hAnsi="华文仿宋" w:cs="仿宋_GB2312"/>
          <w:b w:val="0"/>
          <w:bCs w:val="0"/>
          <w:szCs w:val="32"/>
        </w:rPr>
        <w:t>。</w:t>
      </w:r>
    </w:p>
    <w:p w14:paraId="7F994322">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方正小标宋简体" w:eastAsia="方正小标宋简体"/>
          <w:highlight w:val="none"/>
        </w:rPr>
      </w:pPr>
      <w:bookmarkStart w:id="12" w:name="_Toc2998_WPSOffice_Level1"/>
      <w:bookmarkStart w:id="13" w:name="_Toc2072"/>
      <w:r>
        <w:rPr>
          <w:rFonts w:hint="eastAsia" w:ascii="方正小标宋简体" w:eastAsia="方正小标宋简体"/>
          <w:highlight w:val="none"/>
          <w:lang w:eastAsia="zh-CN"/>
        </w:rPr>
        <w:t>四</w:t>
      </w:r>
      <w:r>
        <w:rPr>
          <w:rFonts w:hint="eastAsia" w:ascii="方正小标宋简体" w:eastAsia="方正小标宋简体"/>
          <w:highlight w:val="none"/>
        </w:rPr>
        <w:t>、绩效自评分析</w:t>
      </w:r>
      <w:bookmarkEnd w:id="12"/>
      <w:bookmarkEnd w:id="13"/>
    </w:p>
    <w:p w14:paraId="3B8A4B08">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楷体_GB2312" w:eastAsia="楷体_GB2312"/>
          <w:b/>
          <w:bCs/>
          <w:szCs w:val="32"/>
          <w:lang w:eastAsia="zh-CN"/>
        </w:rPr>
      </w:pPr>
      <w:bookmarkStart w:id="14" w:name="_Toc27392_WPSOffice_Level2"/>
      <w:bookmarkStart w:id="15" w:name="_Toc26765_WPSOffice_Level3"/>
      <w:bookmarkStart w:id="16" w:name="_Toc22677"/>
      <w:bookmarkStart w:id="17" w:name="_Toc19924"/>
      <w:r>
        <w:rPr>
          <w:rFonts w:hint="eastAsia" w:ascii="楷体_GB2312" w:eastAsia="楷体_GB2312"/>
          <w:b/>
          <w:bCs/>
          <w:szCs w:val="32"/>
        </w:rPr>
        <w:t>（一）</w:t>
      </w:r>
      <w:bookmarkEnd w:id="14"/>
      <w:bookmarkEnd w:id="15"/>
      <w:bookmarkEnd w:id="16"/>
      <w:bookmarkEnd w:id="17"/>
      <w:r>
        <w:rPr>
          <w:rFonts w:hint="eastAsia" w:ascii="楷体_GB2312" w:eastAsia="楷体_GB2312"/>
          <w:b/>
          <w:bCs/>
          <w:szCs w:val="32"/>
          <w:lang w:eastAsia="zh-CN"/>
        </w:rPr>
        <w:t>履职效能</w:t>
      </w:r>
    </w:p>
    <w:p w14:paraId="53651621">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_GB2312" w:hAnsi="华文仿宋" w:eastAsia="仿宋_GB2312" w:cs="仿宋_GB2312"/>
          <w:sz w:val="32"/>
          <w:szCs w:val="32"/>
        </w:rPr>
      </w:pPr>
      <w:bookmarkStart w:id="18" w:name="_Toc4521"/>
      <w:r>
        <w:rPr>
          <w:rFonts w:hint="eastAsia" w:cs="仿宋_GB2312"/>
          <w:b/>
          <w:bCs/>
          <w:szCs w:val="32"/>
        </w:rPr>
        <w:t>1</w:t>
      </w:r>
      <w:r>
        <w:rPr>
          <w:rFonts w:hint="eastAsia" w:ascii="仿宋_GB2312" w:hAnsi="仿宋_GB2312" w:cs="仿宋_GB2312"/>
          <w:b/>
          <w:bCs/>
          <w:szCs w:val="32"/>
        </w:rPr>
        <w:t>.</w:t>
      </w:r>
      <w:bookmarkEnd w:id="18"/>
      <w:r>
        <w:rPr>
          <w:rFonts w:hint="eastAsia" w:ascii="仿宋_GB2312" w:hAnsi="仿宋_GB2312" w:cs="仿宋_GB2312"/>
          <w:b/>
          <w:bCs/>
          <w:szCs w:val="32"/>
          <w:lang w:eastAsia="zh-CN"/>
        </w:rPr>
        <w:t>整体效能。</w:t>
      </w:r>
      <w:bookmarkStart w:id="19" w:name="_Toc8156"/>
      <w:r>
        <w:rPr>
          <w:rFonts w:hint="eastAsia" w:ascii="仿宋_GB2312" w:hAnsi="华文仿宋" w:eastAsia="仿宋_GB2312" w:cs="仿宋_GB2312"/>
          <w:sz w:val="32"/>
          <w:szCs w:val="32"/>
        </w:rPr>
        <w:t>我局整体支出绩效目标产出和效益指标完成率为100%，所有年初绩效目标均圆满完成。涉及市级资金预算安排的重点工作主要有两项：社保扩面征缴、劳动关系和谐稳定，均完成市级的全年计划。</w:t>
      </w:r>
    </w:p>
    <w:p w14:paraId="4F165F11">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Times New Roman" w:hAnsi="Times New Roman" w:cs="Times New Roman"/>
          <w:szCs w:val="32"/>
          <w:lang w:val="en-US" w:eastAsia="zh-CN"/>
        </w:rPr>
      </w:pPr>
      <w:r>
        <w:rPr>
          <w:rFonts w:hint="default" w:ascii="Times New Roman" w:hAnsi="Times New Roman" w:cs="Times New Roman"/>
          <w:b/>
          <w:bCs/>
          <w:szCs w:val="32"/>
        </w:rPr>
        <w:t>2.</w:t>
      </w:r>
      <w:bookmarkEnd w:id="19"/>
      <w:r>
        <w:rPr>
          <w:rFonts w:hint="default" w:ascii="Times New Roman" w:hAnsi="Times New Roman" w:cs="Times New Roman"/>
          <w:b/>
          <w:bCs/>
          <w:szCs w:val="32"/>
          <w:lang w:eastAsia="zh-CN"/>
        </w:rPr>
        <w:t>专项效能</w:t>
      </w:r>
      <w:r>
        <w:rPr>
          <w:rFonts w:hint="eastAsia" w:cs="Times New Roman"/>
          <w:b/>
          <w:bCs/>
          <w:szCs w:val="32"/>
          <w:lang w:eastAsia="zh-CN"/>
        </w:rPr>
        <w:t>。</w:t>
      </w:r>
      <w:r>
        <w:rPr>
          <w:rFonts w:hint="eastAsia" w:cs="Times New Roman"/>
          <w:szCs w:val="32"/>
          <w:lang w:eastAsia="zh-CN"/>
        </w:rPr>
        <w:t>我局专项资金项目申报、批复程序按财政局文件精神执行，符合相关管理办法；我局建立有效资金管理和绩效运行监控机制，及时发布资金监督提醒函、开展专项资金工作推进会、下乡检查督导，每月要求报送资金支出进度，执行了强而有力的项目监管。</w:t>
      </w:r>
    </w:p>
    <w:p w14:paraId="1E2F42E9">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hint="eastAsia" w:ascii="楷体_GB2312" w:eastAsia="楷体_GB2312"/>
          <w:b/>
          <w:bCs/>
          <w:szCs w:val="32"/>
          <w:lang w:eastAsia="zh-CN"/>
        </w:rPr>
      </w:pPr>
      <w:bookmarkStart w:id="20" w:name="_Toc32482"/>
      <w:bookmarkStart w:id="21" w:name="_Toc5828_WPSOffice_Level3"/>
      <w:bookmarkStart w:id="22" w:name="_Toc19200_WPSOffice_Level2"/>
      <w:bookmarkStart w:id="23" w:name="_Toc13662"/>
      <w:r>
        <w:rPr>
          <w:rFonts w:hint="eastAsia" w:ascii="楷体_GB2312" w:eastAsia="楷体_GB2312"/>
          <w:b/>
          <w:bCs/>
          <w:szCs w:val="32"/>
        </w:rPr>
        <w:t>（二）</w:t>
      </w:r>
      <w:bookmarkEnd w:id="20"/>
      <w:bookmarkEnd w:id="21"/>
      <w:bookmarkEnd w:id="22"/>
      <w:bookmarkEnd w:id="23"/>
      <w:r>
        <w:rPr>
          <w:rFonts w:hint="eastAsia" w:ascii="楷体_GB2312" w:eastAsia="楷体_GB2312"/>
          <w:b/>
          <w:bCs/>
          <w:szCs w:val="32"/>
          <w:lang w:eastAsia="zh-CN"/>
        </w:rPr>
        <w:t>管理效率</w:t>
      </w:r>
    </w:p>
    <w:p w14:paraId="7433645A">
      <w:pPr>
        <w:spacing w:line="540" w:lineRule="exact"/>
        <w:ind w:firstLine="616" w:firstLineChars="200"/>
        <w:rPr>
          <w:rFonts w:ascii="仿宋_GB2312" w:hAnsi="华文仿宋" w:cs="仿宋_GB2312"/>
          <w:szCs w:val="32"/>
        </w:rPr>
      </w:pPr>
      <w:r>
        <w:rPr>
          <w:rFonts w:hint="eastAsia" w:cs="仿宋_GB2312"/>
          <w:b/>
          <w:bCs/>
          <w:szCs w:val="32"/>
        </w:rPr>
        <w:t>1</w:t>
      </w:r>
      <w:r>
        <w:rPr>
          <w:rFonts w:hint="eastAsia" w:ascii="仿宋_GB2312" w:hAnsi="仿宋_GB2312" w:cs="仿宋_GB2312"/>
          <w:b/>
          <w:bCs/>
          <w:szCs w:val="32"/>
        </w:rPr>
        <w:t>.</w:t>
      </w:r>
      <w:r>
        <w:rPr>
          <w:rFonts w:hint="eastAsia" w:ascii="仿宋_GB2312" w:hAnsi="仿宋_GB2312" w:cs="仿宋_GB2312"/>
          <w:b/>
          <w:bCs/>
          <w:szCs w:val="32"/>
          <w:lang w:eastAsia="zh-CN"/>
        </w:rPr>
        <w:t>预算编制</w:t>
      </w:r>
      <w:r>
        <w:rPr>
          <w:rFonts w:hint="eastAsia" w:ascii="仿宋_GB2312" w:hAnsi="仿宋_GB2312" w:cs="仿宋_GB2312"/>
          <w:b/>
          <w:bCs/>
          <w:szCs w:val="32"/>
        </w:rPr>
        <w:t>。</w:t>
      </w:r>
      <w:r>
        <w:rPr>
          <w:rFonts w:hint="eastAsia" w:ascii="仿宋_GB2312" w:hAnsi="华文仿宋" w:cs="仿宋_GB2312"/>
          <w:szCs w:val="32"/>
        </w:rPr>
        <w:t>新增预算流程方面：我局202</w:t>
      </w:r>
      <w:r>
        <w:rPr>
          <w:rFonts w:hint="eastAsia" w:ascii="仿宋_GB2312" w:hAnsi="华文仿宋" w:cs="仿宋_GB2312"/>
          <w:szCs w:val="32"/>
          <w:lang w:val="en-US" w:eastAsia="zh-CN"/>
        </w:rPr>
        <w:t>5</w:t>
      </w:r>
      <w:r>
        <w:rPr>
          <w:rFonts w:hint="eastAsia" w:ascii="仿宋_GB2312" w:hAnsi="华文仿宋" w:cs="仿宋_GB2312"/>
          <w:szCs w:val="32"/>
        </w:rPr>
        <w:t>年无新增预算项目。预算编制方面：我局预算编制符合本部门职责、符合市委市政府方针政策和工作要求，符合当年市财政部门印发的预算编制工作方案、通知和有关制度要求，按时按质报送预算“一上”表格报表、根据财政局“一下”在数字财政系统报送预算“二上”、根据绩效科要求报送整体绩效目标及重点项目绩效目标。绩效目标设计方面：我局202</w:t>
      </w:r>
      <w:r>
        <w:rPr>
          <w:rFonts w:hint="eastAsia" w:ascii="仿宋_GB2312" w:hAnsi="华文仿宋" w:cs="仿宋_GB2312"/>
          <w:szCs w:val="32"/>
          <w:lang w:val="en-US" w:eastAsia="zh-CN"/>
        </w:rPr>
        <w:t>5</w:t>
      </w:r>
      <w:r>
        <w:rPr>
          <w:rFonts w:hint="eastAsia" w:ascii="仿宋_GB2312" w:hAnsi="华文仿宋" w:cs="仿宋_GB2312"/>
          <w:szCs w:val="32"/>
        </w:rPr>
        <w:t>年整体绩效目标与部门职能、年度工作任务、申请资金规模等相匹配，绩效目标明确、与绩效指标相关联，绩效指标设有明确的指标名称、指标预期值，指标值与指标名称相匹配，且取值适中合理、有依据、不存在明显偏高或偏低。</w:t>
      </w:r>
    </w:p>
    <w:p w14:paraId="4A34C221">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outlineLvl w:val="9"/>
        <w:rPr>
          <w:rFonts w:hint="eastAsia" w:ascii="仿宋_GB2312" w:hAnsi="仿宋_GB2312" w:eastAsia="仿宋_GB2312" w:cs="仿宋_GB2312"/>
          <w:bCs/>
          <w:szCs w:val="32"/>
          <w:lang w:eastAsia="zh-CN"/>
        </w:rPr>
      </w:pPr>
      <w:bookmarkStart w:id="24" w:name="_Toc3319"/>
      <w:r>
        <w:rPr>
          <w:rFonts w:hint="eastAsia" w:cs="仿宋_GB2312"/>
          <w:b/>
          <w:bCs/>
          <w:szCs w:val="32"/>
        </w:rPr>
        <w:t>2</w:t>
      </w:r>
      <w:r>
        <w:rPr>
          <w:rFonts w:hint="eastAsia" w:ascii="仿宋_GB2312" w:hAnsi="仿宋_GB2312" w:cs="仿宋_GB2312"/>
          <w:b/>
          <w:bCs/>
          <w:szCs w:val="32"/>
        </w:rPr>
        <w:t>.</w:t>
      </w:r>
      <w:r>
        <w:rPr>
          <w:rFonts w:hint="eastAsia" w:ascii="仿宋_GB2312" w:hAnsi="仿宋_GB2312" w:cs="仿宋_GB2312"/>
          <w:b/>
          <w:bCs/>
          <w:szCs w:val="32"/>
          <w:lang w:eastAsia="zh-CN"/>
        </w:rPr>
        <w:t>预算执行</w:t>
      </w:r>
      <w:r>
        <w:rPr>
          <w:rFonts w:hint="eastAsia" w:ascii="仿宋_GB2312" w:hAnsi="仿宋_GB2312" w:cs="仿宋_GB2312"/>
          <w:b/>
          <w:bCs/>
          <w:szCs w:val="32"/>
        </w:rPr>
        <w:t>。</w:t>
      </w:r>
      <w:bookmarkEnd w:id="24"/>
      <w:r>
        <w:rPr>
          <w:rFonts w:hint="eastAsia" w:ascii="仿宋_GB2312" w:hAnsi="仿宋_GB2312" w:cs="仿宋_GB2312"/>
          <w:bCs/>
          <w:szCs w:val="32"/>
        </w:rPr>
        <w:t>部门预算资金支出率</w:t>
      </w:r>
      <w:r>
        <w:rPr>
          <w:rFonts w:hint="eastAsia" w:ascii="仿宋_GB2312" w:hAnsi="仿宋_GB2312" w:cs="仿宋_GB2312"/>
          <w:bCs/>
          <w:szCs w:val="32"/>
          <w:lang w:eastAsia="zh-CN"/>
        </w:rPr>
        <w:t>方面：</w:t>
      </w:r>
      <w:r>
        <w:rPr>
          <w:rFonts w:hint="eastAsia" w:ascii="仿宋_GB2312" w:hAnsi="仿宋_GB2312" w:cs="仿宋_GB2312"/>
          <w:bCs/>
          <w:szCs w:val="32"/>
        </w:rPr>
        <w:t>我局2025年全年财政预算收入23807.24万元，全年财政预算支出24244.85万元，支出大于收入的原因是有部分支出使用了2024年结转资金，当年度预算支出率100%。财务管理合规性</w:t>
      </w:r>
      <w:r>
        <w:rPr>
          <w:rFonts w:hint="eastAsia" w:ascii="仿宋_GB2312" w:hAnsi="仿宋_GB2312" w:cs="仿宋_GB2312"/>
          <w:bCs/>
          <w:szCs w:val="32"/>
          <w:lang w:eastAsia="zh-CN"/>
        </w:rPr>
        <w:t>方面：我局制定了《阳江市人力资源和社会保障局预算管理等六项内控管理制度》、《阳江市人力资源和社会保障局财务管理等五项制度》、《报销审批表》等制度，严格按照各文件要求审核凭证，无超标准超范围支出，无挪用资金，会计核算执行行政事业单位会计制度，设专账核算（经费核算、党费核算、工会核算）、科目明细详细准确，能有效核算财务信息。。</w:t>
      </w:r>
    </w:p>
    <w:p w14:paraId="3C5E73C4">
      <w:pPr>
        <w:spacing w:line="540" w:lineRule="exact"/>
        <w:ind w:firstLine="616" w:firstLineChars="200"/>
        <w:rPr>
          <w:rFonts w:ascii="仿宋_GB2312" w:hAnsi="仿宋_GB2312" w:cs="仿宋_GB2312"/>
          <w:szCs w:val="32"/>
        </w:rPr>
      </w:pPr>
      <w:bookmarkStart w:id="25" w:name="_Toc29827"/>
      <w:r>
        <w:rPr>
          <w:rFonts w:hint="eastAsia" w:cs="仿宋_GB2312"/>
          <w:b/>
          <w:bCs/>
          <w:szCs w:val="32"/>
        </w:rPr>
        <w:t>3</w:t>
      </w:r>
      <w:r>
        <w:rPr>
          <w:rFonts w:hint="eastAsia" w:ascii="仿宋_GB2312" w:hAnsi="仿宋_GB2312" w:cs="仿宋_GB2312"/>
          <w:b/>
          <w:bCs/>
          <w:szCs w:val="32"/>
        </w:rPr>
        <w:t>.</w:t>
      </w:r>
      <w:r>
        <w:rPr>
          <w:rFonts w:hint="eastAsia" w:ascii="仿宋_GB2312" w:hAnsi="仿宋_GB2312" w:cs="仿宋_GB2312"/>
          <w:b/>
          <w:bCs/>
          <w:szCs w:val="32"/>
          <w:lang w:eastAsia="zh-CN"/>
        </w:rPr>
        <w:t>信息公开</w:t>
      </w:r>
      <w:r>
        <w:rPr>
          <w:rFonts w:hint="eastAsia" w:ascii="仿宋_GB2312" w:hAnsi="仿宋_GB2312" w:cs="仿宋_GB2312"/>
          <w:b/>
          <w:bCs/>
          <w:szCs w:val="32"/>
        </w:rPr>
        <w:t>。</w:t>
      </w:r>
      <w:bookmarkEnd w:id="25"/>
      <w:bookmarkStart w:id="26" w:name="_Toc3788"/>
      <w:r>
        <w:rPr>
          <w:rFonts w:hint="eastAsia" w:ascii="仿宋_GB2312" w:hAnsi="仿宋_GB2312" w:cs="仿宋_GB2312"/>
          <w:szCs w:val="32"/>
        </w:rPr>
        <w:t>预决算公开合规性方面：202</w:t>
      </w:r>
      <w:r>
        <w:rPr>
          <w:rFonts w:hint="eastAsia" w:ascii="仿宋_GB2312" w:hAnsi="仿宋_GB2312" w:cs="仿宋_GB2312"/>
          <w:szCs w:val="32"/>
          <w:lang w:val="en-US" w:eastAsia="zh-CN"/>
        </w:rPr>
        <w:t>5</w:t>
      </w:r>
      <w:r>
        <w:rPr>
          <w:rFonts w:hint="eastAsia" w:ascii="仿宋_GB2312" w:hAnsi="仿宋_GB2312" w:cs="仿宋_GB2312"/>
          <w:szCs w:val="32"/>
        </w:rPr>
        <w:t>年，我局按时按质公开了预算及决算信息。绩效信息公开方面：202</w:t>
      </w:r>
      <w:r>
        <w:rPr>
          <w:rFonts w:hint="eastAsia" w:ascii="仿宋_GB2312" w:hAnsi="仿宋_GB2312" w:cs="仿宋_GB2312"/>
          <w:szCs w:val="32"/>
          <w:lang w:val="en-US" w:eastAsia="zh-CN"/>
        </w:rPr>
        <w:t>5</w:t>
      </w:r>
      <w:r>
        <w:rPr>
          <w:rFonts w:hint="eastAsia" w:ascii="仿宋_GB2312" w:hAnsi="仿宋_GB2312" w:cs="仿宋_GB2312"/>
          <w:szCs w:val="32"/>
        </w:rPr>
        <w:t>年，我局及时公开预算绩效目标及绩效完成自评情况等，绩效信息公开执行到位。</w:t>
      </w:r>
    </w:p>
    <w:p w14:paraId="2C52FA08">
      <w:pPr>
        <w:spacing w:line="540" w:lineRule="exact"/>
        <w:ind w:firstLine="616" w:firstLineChars="200"/>
        <w:rPr>
          <w:rFonts w:hint="eastAsia" w:ascii="仿宋_GB2312" w:hAnsi="仿宋_GB2312" w:eastAsia="仿宋_GB2312" w:cs="仿宋_GB2312"/>
          <w:szCs w:val="32"/>
          <w:lang w:eastAsia="zh-CN"/>
        </w:rPr>
      </w:pPr>
      <w:r>
        <w:rPr>
          <w:rFonts w:hint="eastAsia" w:cs="仿宋_GB2312"/>
          <w:b/>
          <w:bCs/>
          <w:szCs w:val="32"/>
        </w:rPr>
        <w:t>4</w:t>
      </w:r>
      <w:r>
        <w:rPr>
          <w:rFonts w:hint="eastAsia" w:ascii="仿宋_GB2312" w:hAnsi="仿宋_GB2312" w:cs="仿宋_GB2312"/>
          <w:b/>
          <w:bCs/>
          <w:szCs w:val="32"/>
        </w:rPr>
        <w:t>.</w:t>
      </w:r>
      <w:r>
        <w:rPr>
          <w:rFonts w:hint="eastAsia" w:ascii="仿宋_GB2312" w:hAnsi="仿宋_GB2312" w:cs="仿宋_GB2312"/>
          <w:b/>
          <w:bCs/>
          <w:szCs w:val="32"/>
          <w:lang w:eastAsia="zh-CN"/>
        </w:rPr>
        <w:t>绩效</w:t>
      </w:r>
      <w:r>
        <w:rPr>
          <w:rFonts w:hint="eastAsia" w:ascii="仿宋_GB2312" w:hAnsi="仿宋_GB2312" w:cs="仿宋_GB2312"/>
          <w:b/>
          <w:bCs/>
          <w:szCs w:val="32"/>
        </w:rPr>
        <w:t>管理。</w:t>
      </w:r>
      <w:bookmarkEnd w:id="26"/>
      <w:r>
        <w:rPr>
          <w:rFonts w:hint="eastAsia" w:ascii="仿宋_GB2312" w:hAnsi="仿宋_GB2312" w:cs="仿宋_GB2312"/>
          <w:szCs w:val="32"/>
        </w:rPr>
        <w:t>绩效管理制度建设方面：我局制定了《关于印发阳江市人力资源和社会保障局预算绩效管理制度的通知》《关于印发阳江市人力资源和社会保障局预算管理等六项内控管理制度的通知》。绩效管理执行方面：202</w:t>
      </w:r>
      <w:r>
        <w:rPr>
          <w:rFonts w:hint="eastAsia" w:ascii="仿宋_GB2312" w:hAnsi="仿宋_GB2312" w:cs="仿宋_GB2312"/>
          <w:szCs w:val="32"/>
          <w:lang w:val="en-US" w:eastAsia="zh-CN"/>
        </w:rPr>
        <w:t>5</w:t>
      </w:r>
      <w:r>
        <w:rPr>
          <w:rFonts w:hint="eastAsia" w:ascii="仿宋_GB2312" w:hAnsi="仿宋_GB2312" w:cs="仿宋_GB2312"/>
          <w:szCs w:val="32"/>
        </w:rPr>
        <w:t>年，我局分别于预算一上、二上均填报了202</w:t>
      </w:r>
      <w:r>
        <w:rPr>
          <w:rFonts w:hint="eastAsia" w:ascii="仿宋_GB2312" w:hAnsi="仿宋_GB2312" w:cs="仿宋_GB2312"/>
          <w:szCs w:val="32"/>
          <w:lang w:val="en-US" w:eastAsia="zh-CN"/>
        </w:rPr>
        <w:t>5</w:t>
      </w:r>
      <w:r>
        <w:rPr>
          <w:rFonts w:hint="eastAsia" w:ascii="仿宋_GB2312" w:hAnsi="仿宋_GB2312" w:cs="仿宋_GB2312"/>
          <w:szCs w:val="32"/>
        </w:rPr>
        <w:t>年度项目支出绩效目标并通过审核，二上制定了202</w:t>
      </w:r>
      <w:r>
        <w:rPr>
          <w:rFonts w:hint="eastAsia" w:ascii="仿宋_GB2312" w:hAnsi="仿宋_GB2312" w:cs="仿宋_GB2312"/>
          <w:szCs w:val="32"/>
          <w:lang w:val="en-US" w:eastAsia="zh-CN"/>
        </w:rPr>
        <w:t>5</w:t>
      </w:r>
      <w:r>
        <w:rPr>
          <w:rFonts w:hint="eastAsia" w:ascii="仿宋_GB2312" w:hAnsi="仿宋_GB2312" w:cs="仿宋_GB2312"/>
          <w:szCs w:val="32"/>
        </w:rPr>
        <w:t>年度整体支出绩效目标，同时也对202</w:t>
      </w:r>
      <w:r>
        <w:rPr>
          <w:rFonts w:hint="eastAsia" w:ascii="仿宋_GB2312" w:hAnsi="仿宋_GB2312" w:cs="仿宋_GB2312"/>
          <w:szCs w:val="32"/>
          <w:lang w:val="en-US" w:eastAsia="zh-CN"/>
        </w:rPr>
        <w:t>4</w:t>
      </w:r>
      <w:r>
        <w:rPr>
          <w:rFonts w:hint="eastAsia" w:ascii="仿宋_GB2312" w:hAnsi="仿宋_GB2312" w:cs="仿宋_GB2312"/>
          <w:szCs w:val="32"/>
        </w:rPr>
        <w:t>年度的整体绩效自评进行了复核。我局对照绩效目标、工作计划，有效利用绩效管理结果应用，开展多项工作推进会，在数字财政系统上我局无预警提醒</w:t>
      </w:r>
      <w:r>
        <w:rPr>
          <w:rFonts w:hint="eastAsia" w:ascii="仿宋_GB2312" w:hAnsi="仿宋_GB2312" w:cs="仿宋_GB2312"/>
          <w:szCs w:val="32"/>
          <w:lang w:eastAsia="zh-CN"/>
        </w:rPr>
        <w:t>。</w:t>
      </w:r>
    </w:p>
    <w:p w14:paraId="78239D64">
      <w:pPr>
        <w:spacing w:line="540" w:lineRule="exact"/>
        <w:ind w:firstLine="616" w:firstLineChars="200"/>
        <w:rPr>
          <w:szCs w:val="32"/>
        </w:rPr>
      </w:pPr>
      <w:r>
        <w:rPr>
          <w:rFonts w:hint="default" w:ascii="Times New Roman" w:hAnsi="Times New Roman" w:cs="Times New Roman"/>
          <w:b/>
          <w:bCs/>
          <w:szCs w:val="32"/>
          <w:lang w:val="en-US" w:eastAsia="zh-CN"/>
        </w:rPr>
        <w:t>5.采购管理。</w:t>
      </w:r>
      <w:r>
        <w:rPr>
          <w:rFonts w:hint="eastAsia"/>
          <w:szCs w:val="32"/>
        </w:rPr>
        <w:t>我局制定并严格执行《关于印发阳江市人力资源和社会保障局预算管理等六项内控管理制度的通知》，购需求合规、完整、明确，采购需求书面提交事前审批，层层审批后方可购买，采购需求无违反公平竞争原则。我局及时签订政府采购合同，无采购投诉，政府采购活动合法合规。我局严格按照合同约定及时履约，需要验收的，按规定组织了项目验收并出具验收证明，采验分离，有经办人和经见人在发票后签名确认。我局于预算公开中及时公开我部门政府采购预算信息。通过政府采购网实施的采购，也及时在采购网备案公开。</w:t>
      </w:r>
    </w:p>
    <w:p w14:paraId="14BE62A7">
      <w:pPr>
        <w:spacing w:line="540" w:lineRule="exact"/>
        <w:ind w:firstLine="616" w:firstLineChars="200"/>
        <w:rPr>
          <w:szCs w:val="32"/>
        </w:rPr>
      </w:pPr>
      <w:r>
        <w:rPr>
          <w:rFonts w:hint="default" w:ascii="Times New Roman" w:hAnsi="Times New Roman" w:cs="Times New Roman"/>
          <w:b/>
          <w:bCs/>
          <w:szCs w:val="32"/>
          <w:lang w:val="en-US" w:eastAsia="zh-CN"/>
        </w:rPr>
        <w:t>6.资产管理。</w:t>
      </w:r>
      <w:r>
        <w:rPr>
          <w:rFonts w:hint="eastAsia"/>
          <w:szCs w:val="32"/>
        </w:rPr>
        <w:t>我局制定并严格执行《关于印发阳江市人力资源和社会保障局预算管理等六项内控管理制度的通知》，办公室面积和办公设备配置无超过规定标准，资产数据完整准确，账实、账账相符。</w:t>
      </w:r>
    </w:p>
    <w:p w14:paraId="5C1BB145">
      <w:pPr>
        <w:spacing w:line="540" w:lineRule="exact"/>
        <w:ind w:firstLine="616" w:firstLineChars="200"/>
        <w:rPr>
          <w:rFonts w:hint="default" w:ascii="Times New Roman" w:hAnsi="Times New Roman" w:cs="Times New Roman"/>
          <w:szCs w:val="32"/>
          <w:lang w:val="en-US" w:eastAsia="zh-CN"/>
        </w:rPr>
      </w:pPr>
      <w:r>
        <w:rPr>
          <w:rFonts w:hint="default" w:ascii="Times New Roman" w:hAnsi="Times New Roman" w:cs="Times New Roman"/>
          <w:b/>
          <w:bCs/>
          <w:szCs w:val="32"/>
          <w:lang w:val="en-US" w:eastAsia="zh-CN"/>
        </w:rPr>
        <w:t>7.运行成本。</w:t>
      </w:r>
      <w:r>
        <w:rPr>
          <w:rFonts w:hint="eastAsia"/>
          <w:szCs w:val="32"/>
        </w:rPr>
        <w:t>202</w:t>
      </w:r>
      <w:r>
        <w:rPr>
          <w:rFonts w:hint="eastAsia"/>
          <w:szCs w:val="32"/>
          <w:lang w:val="en-US" w:eastAsia="zh-CN"/>
        </w:rPr>
        <w:t>5</w:t>
      </w:r>
      <w:r>
        <w:rPr>
          <w:rFonts w:hint="eastAsia"/>
          <w:szCs w:val="32"/>
        </w:rPr>
        <w:t>年，我局“三公”经费</w:t>
      </w:r>
      <w:r>
        <w:rPr>
          <w:rFonts w:hint="eastAsia"/>
          <w:szCs w:val="32"/>
          <w:lang w:eastAsia="zh-CN"/>
        </w:rPr>
        <w:t>全年预算</w:t>
      </w:r>
      <w:r>
        <w:rPr>
          <w:rFonts w:hint="eastAsia"/>
          <w:szCs w:val="32"/>
          <w:lang w:val="en-US" w:eastAsia="zh-CN"/>
        </w:rPr>
        <w:t>54.49</w:t>
      </w:r>
      <w:r>
        <w:rPr>
          <w:rFonts w:hint="eastAsia"/>
          <w:szCs w:val="32"/>
        </w:rPr>
        <w:t>万元，实际支出“三公”经费</w:t>
      </w:r>
      <w:r>
        <w:rPr>
          <w:rFonts w:hint="eastAsia"/>
          <w:szCs w:val="32"/>
          <w:lang w:val="en-US" w:eastAsia="zh-CN"/>
        </w:rPr>
        <w:t>54.49</w:t>
      </w:r>
      <w:r>
        <w:rPr>
          <w:rFonts w:hint="eastAsia"/>
          <w:szCs w:val="32"/>
        </w:rPr>
        <w:t>万元，无超预算安排。</w:t>
      </w:r>
    </w:p>
    <w:p w14:paraId="162E8B41">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rPr>
          <w:rFonts w:ascii="方正小标宋简体" w:eastAsia="方正小标宋简体"/>
        </w:rPr>
      </w:pPr>
      <w:bookmarkStart w:id="27" w:name="_Toc18975"/>
      <w:r>
        <w:rPr>
          <w:rFonts w:hint="eastAsia" w:ascii="方正小标宋简体" w:eastAsia="方正小标宋简体"/>
          <w:lang w:eastAsia="zh-CN"/>
        </w:rPr>
        <w:t>五</w:t>
      </w:r>
      <w:r>
        <w:rPr>
          <w:rFonts w:hint="eastAsia" w:ascii="方正小标宋简体" w:eastAsia="方正小标宋简体"/>
        </w:rPr>
        <w:t>、存在的问题、原因分析及改进措施</w:t>
      </w:r>
    </w:p>
    <w:p w14:paraId="201AD465">
      <w:pPr>
        <w:spacing w:line="540" w:lineRule="exact"/>
        <w:ind w:firstLine="616" w:firstLineChars="200"/>
        <w:rPr>
          <w:rFonts w:hint="eastAsia"/>
          <w:lang w:eastAsia="zh-CN"/>
        </w:rPr>
      </w:pPr>
      <w:r>
        <w:rPr>
          <w:rFonts w:hint="eastAsia"/>
        </w:rPr>
        <w:t>存在的问题</w:t>
      </w:r>
      <w:r>
        <w:rPr>
          <w:rFonts w:hint="eastAsia"/>
          <w:lang w:eastAsia="zh-CN"/>
        </w:rPr>
        <w:t>：国有资产实物盘点工作略滞后；绩效目标设置仍有提升空间。</w:t>
      </w:r>
    </w:p>
    <w:p w14:paraId="52388C21">
      <w:pPr>
        <w:spacing w:line="540" w:lineRule="exact"/>
        <w:ind w:firstLine="616" w:firstLineChars="200"/>
        <w:rPr>
          <w:rFonts w:hint="eastAsia" w:eastAsia="仿宋_GB2312"/>
          <w:lang w:eastAsia="zh-CN"/>
        </w:rPr>
      </w:pPr>
      <w:r>
        <w:rPr>
          <w:rFonts w:hint="eastAsia"/>
        </w:rPr>
        <w:t>下来，我局将继续落实政府过紧日子的要求，高度重视预算编制和审核工作，严格执行新预算法和预算法实施条例，确保部门预算编报的准确性、规范性和合理性，切实履行主体责任。同时将强化部门管理，全面提高项目预算编报质量。加强系统内业务培训及审核把关，规范项目预算编报的具体要求，科学测算项目活动支出明细，设置项目绩效目标，量化项目绩效指标。</w:t>
      </w:r>
      <w:r>
        <w:rPr>
          <w:rFonts w:hint="eastAsia"/>
          <w:lang w:eastAsia="zh-CN"/>
        </w:rPr>
        <w:t>同时，进一步开展国有资产实物盘点工作，提升资产利用率。</w:t>
      </w:r>
    </w:p>
    <w:p w14:paraId="030DF9DD">
      <w:pPr>
        <w:keepNext w:val="0"/>
        <w:keepLines w:val="0"/>
        <w:pageBreakBefore w:val="0"/>
        <w:widowControl w:val="0"/>
        <w:kinsoku/>
        <w:wordWrap/>
        <w:overflowPunct/>
        <w:topLinePunct w:val="0"/>
        <w:autoSpaceDE/>
        <w:autoSpaceDN/>
        <w:bidi w:val="0"/>
        <w:adjustRightInd/>
        <w:spacing w:line="540" w:lineRule="exact"/>
        <w:ind w:firstLine="616" w:firstLineChars="200"/>
        <w:textAlignment w:val="auto"/>
        <w:outlineLvl w:val="9"/>
      </w:pPr>
    </w:p>
    <w:bookmarkEnd w:id="27"/>
    <w:p w14:paraId="7D09525D"/>
    <w:sectPr>
      <w:headerReference r:id="rId3" w:type="default"/>
      <w:footerReference r:id="rId4" w:type="default"/>
      <w:pgSz w:w="11906" w:h="16838"/>
      <w:pgMar w:top="1701" w:right="1588" w:bottom="1644" w:left="1701" w:header="851" w:footer="992" w:gutter="0"/>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Noto Sans Mono CJK JP Bold">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CC3E1">
    <w:pPr>
      <w:pStyle w:val="4"/>
      <w:jc w:val="center"/>
    </w:pPr>
    <w:r>
      <w:fldChar w:fldCharType="begin"/>
    </w:r>
    <w:r>
      <w:instrText xml:space="preserve">PAGE   \* MERGEFORMAT</w:instrText>
    </w:r>
    <w:r>
      <w:fldChar w:fldCharType="separate"/>
    </w:r>
    <w:r>
      <w:rPr>
        <w:lang w:val="zh-CN"/>
      </w:rP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2508">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3350E"/>
    <w:multiLevelType w:val="multilevel"/>
    <w:tmpl w:val="4203350E"/>
    <w:lvl w:ilvl="0" w:tentative="0">
      <w:start w:val="1"/>
      <w:numFmt w:val="chineseCountingThousand"/>
      <w:lvlText w:val="（%1）"/>
      <w:lvlJc w:val="left"/>
      <w:pPr>
        <w:ind w:left="9087" w:hanging="440"/>
      </w:pPr>
      <w:rPr>
        <w:rFonts w:hint="eastAsia"/>
        <w:sz w:val="32"/>
        <w:szCs w:val="32"/>
      </w:rPr>
    </w:lvl>
    <w:lvl w:ilvl="1" w:tentative="0">
      <w:start w:val="1"/>
      <w:numFmt w:val="decimal"/>
      <w:lvlText w:val="(%2)"/>
      <w:lvlJc w:val="left"/>
      <w:pPr>
        <w:ind w:left="9447" w:hanging="360"/>
      </w:pPr>
      <w:rPr>
        <w:rFonts w:hint="default"/>
      </w:rPr>
    </w:lvl>
    <w:lvl w:ilvl="2" w:tentative="0">
      <w:start w:val="1"/>
      <w:numFmt w:val="lowerRoman"/>
      <w:lvlText w:val="%3."/>
      <w:lvlJc w:val="right"/>
      <w:pPr>
        <w:ind w:left="9967" w:hanging="440"/>
      </w:pPr>
    </w:lvl>
    <w:lvl w:ilvl="3" w:tentative="0">
      <w:start w:val="1"/>
      <w:numFmt w:val="decimal"/>
      <w:lvlText w:val="%4."/>
      <w:lvlJc w:val="left"/>
      <w:pPr>
        <w:ind w:left="10407" w:hanging="440"/>
      </w:pPr>
    </w:lvl>
    <w:lvl w:ilvl="4" w:tentative="0">
      <w:start w:val="1"/>
      <w:numFmt w:val="lowerLetter"/>
      <w:lvlText w:val="%5)"/>
      <w:lvlJc w:val="left"/>
      <w:pPr>
        <w:ind w:left="10847" w:hanging="440"/>
      </w:pPr>
    </w:lvl>
    <w:lvl w:ilvl="5" w:tentative="0">
      <w:start w:val="1"/>
      <w:numFmt w:val="lowerRoman"/>
      <w:lvlText w:val="%6."/>
      <w:lvlJc w:val="right"/>
      <w:pPr>
        <w:ind w:left="11287" w:hanging="440"/>
      </w:pPr>
    </w:lvl>
    <w:lvl w:ilvl="6" w:tentative="0">
      <w:start w:val="1"/>
      <w:numFmt w:val="decimal"/>
      <w:lvlText w:val="%7."/>
      <w:lvlJc w:val="left"/>
      <w:pPr>
        <w:ind w:left="11727" w:hanging="440"/>
      </w:pPr>
    </w:lvl>
    <w:lvl w:ilvl="7" w:tentative="0">
      <w:start w:val="1"/>
      <w:numFmt w:val="lowerLetter"/>
      <w:lvlText w:val="%8)"/>
      <w:lvlJc w:val="left"/>
      <w:pPr>
        <w:ind w:left="12167" w:hanging="440"/>
      </w:pPr>
    </w:lvl>
    <w:lvl w:ilvl="8" w:tentative="0">
      <w:start w:val="1"/>
      <w:numFmt w:val="lowerRoman"/>
      <w:lvlText w:val="%9."/>
      <w:lvlJc w:val="right"/>
      <w:pPr>
        <w:ind w:left="12607"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A04CD"/>
    <w:rsid w:val="00000560"/>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7DA"/>
    <w:rsid w:val="001F096B"/>
    <w:rsid w:val="0023428B"/>
    <w:rsid w:val="00235EDE"/>
    <w:rsid w:val="00267E35"/>
    <w:rsid w:val="002A7F8F"/>
    <w:rsid w:val="002C4D92"/>
    <w:rsid w:val="002D7EDF"/>
    <w:rsid w:val="002E516E"/>
    <w:rsid w:val="002E5CB6"/>
    <w:rsid w:val="002F1311"/>
    <w:rsid w:val="00314DC0"/>
    <w:rsid w:val="00331AA1"/>
    <w:rsid w:val="00347820"/>
    <w:rsid w:val="00347914"/>
    <w:rsid w:val="00395359"/>
    <w:rsid w:val="003B7E05"/>
    <w:rsid w:val="003D4D40"/>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2A0D"/>
    <w:rsid w:val="00574D73"/>
    <w:rsid w:val="005B06B5"/>
    <w:rsid w:val="005B07DD"/>
    <w:rsid w:val="005B6EB7"/>
    <w:rsid w:val="005C28C3"/>
    <w:rsid w:val="005D4C3F"/>
    <w:rsid w:val="005E6FE2"/>
    <w:rsid w:val="00606F30"/>
    <w:rsid w:val="00620700"/>
    <w:rsid w:val="0062264E"/>
    <w:rsid w:val="006265B7"/>
    <w:rsid w:val="006317C3"/>
    <w:rsid w:val="00665117"/>
    <w:rsid w:val="00675A9A"/>
    <w:rsid w:val="006B0F8D"/>
    <w:rsid w:val="006D4795"/>
    <w:rsid w:val="00736CB1"/>
    <w:rsid w:val="0074594E"/>
    <w:rsid w:val="0075049C"/>
    <w:rsid w:val="00754811"/>
    <w:rsid w:val="007705F1"/>
    <w:rsid w:val="00781B6C"/>
    <w:rsid w:val="0078264B"/>
    <w:rsid w:val="007A1F56"/>
    <w:rsid w:val="007A7399"/>
    <w:rsid w:val="00804DCB"/>
    <w:rsid w:val="00816A2A"/>
    <w:rsid w:val="008428B2"/>
    <w:rsid w:val="0084340E"/>
    <w:rsid w:val="0086235A"/>
    <w:rsid w:val="00876A57"/>
    <w:rsid w:val="00880F2C"/>
    <w:rsid w:val="008B525A"/>
    <w:rsid w:val="008C30AE"/>
    <w:rsid w:val="008E75C3"/>
    <w:rsid w:val="0090022C"/>
    <w:rsid w:val="00982492"/>
    <w:rsid w:val="009D75F0"/>
    <w:rsid w:val="00A66BD5"/>
    <w:rsid w:val="00A813BE"/>
    <w:rsid w:val="00A8644D"/>
    <w:rsid w:val="00A91495"/>
    <w:rsid w:val="00AC5B70"/>
    <w:rsid w:val="00AF7207"/>
    <w:rsid w:val="00B05F42"/>
    <w:rsid w:val="00B12D08"/>
    <w:rsid w:val="00B32B1B"/>
    <w:rsid w:val="00B55F8F"/>
    <w:rsid w:val="00B857D8"/>
    <w:rsid w:val="00B953DC"/>
    <w:rsid w:val="00BA5204"/>
    <w:rsid w:val="00BF3EFE"/>
    <w:rsid w:val="00BF4502"/>
    <w:rsid w:val="00C005AF"/>
    <w:rsid w:val="00C10A76"/>
    <w:rsid w:val="00C112EA"/>
    <w:rsid w:val="00C13943"/>
    <w:rsid w:val="00C65605"/>
    <w:rsid w:val="00C8769E"/>
    <w:rsid w:val="00CD5F4B"/>
    <w:rsid w:val="00D24C0F"/>
    <w:rsid w:val="00D41CC7"/>
    <w:rsid w:val="00D45282"/>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EF1D42"/>
    <w:rsid w:val="00F04107"/>
    <w:rsid w:val="00F14CD1"/>
    <w:rsid w:val="00F43167"/>
    <w:rsid w:val="00F43EA4"/>
    <w:rsid w:val="00F57915"/>
    <w:rsid w:val="00FF40BF"/>
    <w:rsid w:val="04C238BE"/>
    <w:rsid w:val="05852631"/>
    <w:rsid w:val="05F37C3D"/>
    <w:rsid w:val="07DE427B"/>
    <w:rsid w:val="0A982E07"/>
    <w:rsid w:val="0CAD24F6"/>
    <w:rsid w:val="0E084399"/>
    <w:rsid w:val="10A67D57"/>
    <w:rsid w:val="12252338"/>
    <w:rsid w:val="17AF79E2"/>
    <w:rsid w:val="19D11E91"/>
    <w:rsid w:val="1B193AF0"/>
    <w:rsid w:val="1BBD409D"/>
    <w:rsid w:val="1BCA6A50"/>
    <w:rsid w:val="1DF83068"/>
    <w:rsid w:val="1E82375A"/>
    <w:rsid w:val="1ED85A70"/>
    <w:rsid w:val="1EF6633E"/>
    <w:rsid w:val="221072CF"/>
    <w:rsid w:val="2320096A"/>
    <w:rsid w:val="23EA5155"/>
    <w:rsid w:val="244F4FEC"/>
    <w:rsid w:val="25330EC5"/>
    <w:rsid w:val="25A927F6"/>
    <w:rsid w:val="264D464E"/>
    <w:rsid w:val="27893DAB"/>
    <w:rsid w:val="279F4671"/>
    <w:rsid w:val="2867652F"/>
    <w:rsid w:val="2C496873"/>
    <w:rsid w:val="2CA36A90"/>
    <w:rsid w:val="31BD2380"/>
    <w:rsid w:val="32396FAE"/>
    <w:rsid w:val="328C0BF4"/>
    <w:rsid w:val="3B3F1DAA"/>
    <w:rsid w:val="3C616C4D"/>
    <w:rsid w:val="3DFC546C"/>
    <w:rsid w:val="40694DC0"/>
    <w:rsid w:val="40E203D3"/>
    <w:rsid w:val="411E4D53"/>
    <w:rsid w:val="414478E0"/>
    <w:rsid w:val="4597570B"/>
    <w:rsid w:val="483E2094"/>
    <w:rsid w:val="48410E0A"/>
    <w:rsid w:val="4890686D"/>
    <w:rsid w:val="49BE123B"/>
    <w:rsid w:val="4B4A046A"/>
    <w:rsid w:val="4E054177"/>
    <w:rsid w:val="5163582E"/>
    <w:rsid w:val="531405EC"/>
    <w:rsid w:val="538A03E0"/>
    <w:rsid w:val="578D647B"/>
    <w:rsid w:val="58AA1B0C"/>
    <w:rsid w:val="59A42175"/>
    <w:rsid w:val="59CC3500"/>
    <w:rsid w:val="5BD5175C"/>
    <w:rsid w:val="5C642116"/>
    <w:rsid w:val="5DD76917"/>
    <w:rsid w:val="5E102850"/>
    <w:rsid w:val="5E666DE2"/>
    <w:rsid w:val="600128AE"/>
    <w:rsid w:val="619F5BD5"/>
    <w:rsid w:val="64437109"/>
    <w:rsid w:val="64616F3B"/>
    <w:rsid w:val="64BE25DF"/>
    <w:rsid w:val="64C91D3B"/>
    <w:rsid w:val="657704D8"/>
    <w:rsid w:val="65C125D9"/>
    <w:rsid w:val="67E72878"/>
    <w:rsid w:val="6A3401EC"/>
    <w:rsid w:val="6E0C7681"/>
    <w:rsid w:val="6E0D40C6"/>
    <w:rsid w:val="6E796721"/>
    <w:rsid w:val="700C488E"/>
    <w:rsid w:val="703C0DD0"/>
    <w:rsid w:val="717107DF"/>
    <w:rsid w:val="74350750"/>
    <w:rsid w:val="74BF5CE3"/>
    <w:rsid w:val="7565081C"/>
    <w:rsid w:val="76BE1C0E"/>
    <w:rsid w:val="79A50E6D"/>
    <w:rsid w:val="7A3A405E"/>
    <w:rsid w:val="7DAF71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spacing w:before="277" w:line="219" w:lineRule="auto"/>
      <w:ind w:left="420" w:leftChars="200"/>
    </w:pPr>
    <w:rPr>
      <w:rFonts w:ascii="宋体" w:hAnsi="宋体" w:eastAsia="宋体" w:cs="宋体"/>
      <w:sz w:val="24"/>
      <w:szCs w:val="24"/>
    </w:rPr>
  </w:style>
  <w:style w:type="paragraph" w:styleId="3">
    <w:name w:val="Body Text"/>
    <w:basedOn w:val="1"/>
    <w:next w:val="4"/>
    <w:qFormat/>
    <w:uiPriority w:val="0"/>
    <w:rPr>
      <w:rFonts w:ascii="Calibri" w:hAnsi="Calibri" w:eastAsia="宋体"/>
      <w:sz w:val="21"/>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Balloon Text"/>
    <w:basedOn w:val="1"/>
    <w:semiHidden/>
    <w:qFormat/>
    <w:uiPriority w:val="0"/>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0">
    <w:name w:val="正文首行缩进 21"/>
    <w:basedOn w:val="1"/>
    <w:qFormat/>
    <w:uiPriority w:val="0"/>
    <w:pPr>
      <w:spacing w:line="360" w:lineRule="auto"/>
      <w:ind w:firstLine="420" w:firstLineChars="200"/>
      <w:textAlignment w:val="baseline"/>
    </w:pPr>
    <w:rPr>
      <w:rFonts w:eastAsia="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12</Pages>
  <Words>981</Words>
  <Characters>1001</Characters>
  <Lines>21</Lines>
  <Paragraphs>10</Paragraphs>
  <TotalTime>0</TotalTime>
  <ScaleCrop>false</ScaleCrop>
  <LinksUpToDate>false</LinksUpToDate>
  <CharactersWithSpaces>1046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2020-07-14T08:14:00Z</dcterms:created>
  <dc:creator>shx</dc:creator>
  <cp:lastModifiedBy>尤洛dh </cp:lastModifiedBy>
  <cp:lastPrinted>2026-05-18T08:13:00Z</cp:lastPrinted>
  <dcterms:modified xsi:type="dcterms:W3CDTF">2026-06-04T08:42:41Z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eyJoZGlkIjoiNTJkZDQ1N2ZjYWJkNzA5ZDRiZDUzYTA0OTQwYWY2MWEiLCJ1c2VySWQiOiIzMTA5NzA3OTEifQ==</vt:lpwstr>
  </property>
  <property fmtid="{D5CDD505-2E9C-101B-9397-08002B2CF9AE}" pid="4" name="ICV">
    <vt:lpwstr>41AA184B9A43441798F4C84E798108E5_12</vt:lpwstr>
  </property>
</Properties>
</file>