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spacing w:line="600" w:lineRule="exact"/>
        <w:jc w:val="center"/>
        <w:rPr>
          <w:rFonts w:asci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项目支出绩效自评报告</w:t>
      </w:r>
    </w:p>
    <w:p>
      <w:pPr>
        <w:jc w:val="center"/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ind w:firstLine="1823" w:firstLineChars="592"/>
        <w:rPr>
          <w:color w:val="auto"/>
        </w:rPr>
      </w:pPr>
      <w:r>
        <w:rPr>
          <w:rFonts w:hint="eastAsia"/>
          <w:color w:val="auto"/>
        </w:rPr>
        <w:t>项目名称：公务员及事业编人员招考经费</w:t>
      </w:r>
    </w:p>
    <w:p>
      <w:pPr>
        <w:ind w:firstLine="1823" w:firstLineChars="592"/>
        <w:rPr>
          <w:color w:val="auto"/>
        </w:rPr>
      </w:pPr>
      <w:r>
        <w:rPr>
          <w:rFonts w:hint="eastAsia"/>
          <w:color w:val="auto"/>
        </w:rPr>
        <w:t>项目主管部门（单位）：阳江市人事考试中心（公章）</w:t>
      </w:r>
    </w:p>
    <w:p>
      <w:pPr>
        <w:ind w:firstLine="1823" w:firstLineChars="592"/>
        <w:rPr>
          <w:rFonts w:hint="default" w:eastAsia="仿宋_GB2312"/>
          <w:color w:val="auto"/>
          <w:lang w:val="en-US" w:eastAsia="zh-CN"/>
        </w:rPr>
      </w:pPr>
      <w:r>
        <w:rPr>
          <w:rFonts w:hint="default"/>
          <w:color w:val="auto"/>
        </w:rPr>
        <w:t>固定</w:t>
      </w:r>
      <w:r>
        <w:rPr>
          <w:rFonts w:hint="eastAsia"/>
          <w:color w:val="auto"/>
        </w:rPr>
        <w:t>电话：</w:t>
      </w:r>
      <w:r>
        <w:rPr>
          <w:rFonts w:hint="eastAsia"/>
          <w:color w:val="auto"/>
          <w:lang w:val="en-US" w:eastAsia="zh-CN"/>
        </w:rPr>
        <w:t>0662-2235616</w:t>
      </w:r>
    </w:p>
    <w:p>
      <w:pPr>
        <w:ind w:firstLine="1823" w:firstLineChars="592"/>
        <w:rPr>
          <w:color w:val="auto"/>
        </w:rPr>
      </w:pPr>
      <w:r>
        <w:rPr>
          <w:rFonts w:hint="eastAsia"/>
          <w:color w:val="auto"/>
        </w:rPr>
        <w:t>填报日期：202</w:t>
      </w:r>
      <w:r>
        <w:rPr>
          <w:rFonts w:hint="eastAsia"/>
          <w:color w:val="auto"/>
          <w:lang w:val="en-US" w:eastAsia="zh-CN"/>
        </w:rPr>
        <w:t>6</w:t>
      </w:r>
      <w:r>
        <w:rPr>
          <w:rFonts w:hint="eastAsia"/>
          <w:color w:val="auto"/>
        </w:rPr>
        <w:t>年</w:t>
      </w:r>
      <w:r>
        <w:rPr>
          <w:rFonts w:hint="eastAsia"/>
          <w:color w:val="auto"/>
          <w:lang w:val="en-US" w:eastAsia="zh-CN"/>
        </w:rPr>
        <w:t>5</w:t>
      </w:r>
      <w:r>
        <w:rPr>
          <w:rFonts w:hint="eastAsia"/>
          <w:color w:val="auto"/>
        </w:rPr>
        <w:t>月2</w:t>
      </w:r>
      <w:r>
        <w:rPr>
          <w:rFonts w:hint="eastAsia"/>
          <w:color w:val="auto"/>
          <w:lang w:val="en-US" w:eastAsia="zh-CN"/>
        </w:rPr>
        <w:t>5</w:t>
      </w:r>
      <w:r>
        <w:rPr>
          <w:rFonts w:hint="eastAsia"/>
          <w:color w:val="auto"/>
        </w:rPr>
        <w:t>日</w:t>
      </w: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rFonts w:hint="eastAsia"/>
          <w:color w:val="auto"/>
        </w:rPr>
      </w:pPr>
      <w:r>
        <w:rPr>
          <w:rFonts w:hint="eastAsia"/>
          <w:color w:val="auto"/>
        </w:rPr>
        <w:t xml:space="preserve">                     </w:t>
      </w:r>
    </w:p>
    <w:p>
      <w:pPr>
        <w:rPr>
          <w:rFonts w:hint="eastAsia"/>
          <w:color w:val="auto"/>
        </w:rPr>
      </w:pPr>
    </w:p>
    <w:p>
      <w:pPr>
        <w:rPr>
          <w:color w:val="auto"/>
        </w:rPr>
      </w:pPr>
      <w:r>
        <w:rPr>
          <w:rFonts w:hint="eastAsia"/>
          <w:color w:val="auto"/>
        </w:rPr>
        <w:t xml:space="preserve">                     阳江市财政局制</w:t>
      </w:r>
    </w:p>
    <w:p>
      <w:pPr>
        <w:rPr>
          <w:color w:val="auto"/>
        </w:rPr>
      </w:pPr>
      <w:r>
        <w:rPr>
          <w:rFonts w:hint="eastAsia"/>
          <w:color w:val="auto"/>
        </w:rPr>
        <w:t xml:space="preserve">                         202</w:t>
      </w:r>
      <w:r>
        <w:rPr>
          <w:rFonts w:hint="eastAsia"/>
          <w:color w:val="auto"/>
          <w:lang w:val="en-US" w:eastAsia="zh-CN"/>
        </w:rPr>
        <w:t>6</w:t>
      </w:r>
      <w:r>
        <w:rPr>
          <w:rFonts w:hint="eastAsia"/>
          <w:color w:val="auto"/>
        </w:rPr>
        <w:t>年</w:t>
      </w:r>
    </w:p>
    <w:p>
      <w:pPr>
        <w:rPr>
          <w:color w:val="auto"/>
        </w:rPr>
      </w:pPr>
    </w:p>
    <w:p>
      <w:pPr>
        <w:rPr>
          <w:color w:val="auto"/>
        </w:rPr>
      </w:pPr>
      <w:bookmarkStart w:id="0" w:name="_GoBack"/>
      <w:bookmarkEnd w:id="0"/>
    </w:p>
    <w:p>
      <w:pPr>
        <w:ind w:firstLine="616" w:firstLineChars="200"/>
        <w:rPr>
          <w:rFonts w:ascii="方正小标宋简体" w:eastAsia="方正小标宋简体"/>
          <w:color w:val="auto"/>
        </w:rPr>
      </w:pPr>
      <w:r>
        <w:rPr>
          <w:rFonts w:hint="eastAsia" w:ascii="方正小标宋简体" w:eastAsia="方正小标宋简体"/>
          <w:color w:val="auto"/>
        </w:rPr>
        <w:t>一、项目基本情况</w:t>
      </w:r>
    </w:p>
    <w:p>
      <w:pPr>
        <w:ind w:firstLine="616" w:firstLineChars="200"/>
        <w:rPr>
          <w:rFonts w:hint="eastAsia"/>
          <w:color w:val="auto"/>
        </w:rPr>
      </w:pPr>
      <w:r>
        <w:rPr>
          <w:rFonts w:hint="eastAsia"/>
          <w:color w:val="auto"/>
        </w:rPr>
        <w:t>202</w:t>
      </w:r>
      <w:r>
        <w:rPr>
          <w:rFonts w:hint="eastAsia"/>
          <w:color w:val="auto"/>
          <w:lang w:val="en-US" w:eastAsia="zh-CN"/>
        </w:rPr>
        <w:t>5</w:t>
      </w:r>
      <w:r>
        <w:rPr>
          <w:rFonts w:hint="eastAsia"/>
          <w:color w:val="auto"/>
        </w:rPr>
        <w:t>年度基本完成公务员及事业编人员招考工作各项绩效目标，服务考生共</w:t>
      </w:r>
      <w:r>
        <w:rPr>
          <w:rFonts w:hint="eastAsia"/>
          <w:color w:val="auto"/>
          <w:lang w:val="en-US" w:eastAsia="zh-CN"/>
        </w:rPr>
        <w:t>37851</w:t>
      </w:r>
      <w:r>
        <w:rPr>
          <w:rFonts w:hint="eastAsia"/>
          <w:color w:val="auto"/>
        </w:rPr>
        <w:t>人次，资金投入共</w:t>
      </w:r>
      <w:r>
        <w:rPr>
          <w:rFonts w:hint="eastAsia"/>
          <w:color w:val="auto"/>
          <w:lang w:val="en-US" w:eastAsia="zh-CN"/>
        </w:rPr>
        <w:t>150</w:t>
      </w:r>
      <w:r>
        <w:rPr>
          <w:rFonts w:hint="eastAsia"/>
          <w:color w:val="auto"/>
        </w:rPr>
        <w:t>万，主要用于支付劳务费、场租费、考务用品采购费、广告费、工作误餐费、培训费等考试费用。</w:t>
      </w:r>
    </w:p>
    <w:p>
      <w:pPr>
        <w:ind w:firstLine="616" w:firstLineChars="200"/>
        <w:rPr>
          <w:rFonts w:hint="eastAsia" w:ascii="方正小标宋简体" w:eastAsia="方正小标宋简体"/>
          <w:color w:val="auto"/>
        </w:rPr>
      </w:pPr>
      <w:r>
        <w:rPr>
          <w:rFonts w:hint="eastAsia" w:ascii="方正小标宋简体" w:eastAsia="方正小标宋简体"/>
          <w:color w:val="auto"/>
          <w:lang w:eastAsia="zh-CN"/>
        </w:rPr>
        <w:t>二</w:t>
      </w:r>
      <w:r>
        <w:rPr>
          <w:rFonts w:hint="eastAsia" w:ascii="方正小标宋简体" w:eastAsia="方正小标宋简体"/>
          <w:color w:val="auto"/>
        </w:rPr>
        <w:t>、绩效指标分析情况</w:t>
      </w:r>
    </w:p>
    <w:p>
      <w:pPr>
        <w:ind w:firstLine="616" w:firstLineChars="200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（一）自评分数。</w:t>
      </w:r>
    </w:p>
    <w:p>
      <w:pPr>
        <w:ind w:firstLine="616" w:firstLineChars="200"/>
        <w:rPr>
          <w:rFonts w:hint="eastAsia"/>
          <w:color w:val="auto"/>
        </w:rPr>
      </w:pPr>
      <w:r>
        <w:rPr>
          <w:rFonts w:hint="eastAsia"/>
          <w:color w:val="auto"/>
        </w:rPr>
        <w:t>通过对我市公务员及事业编人员招考资金使用情况、管理情况、绩效情况等方面的自查自评，基本做到了资金管理的规范性和资金使用的有效性。自评总分为9</w:t>
      </w:r>
      <w:r>
        <w:rPr>
          <w:rFonts w:hint="eastAsia"/>
          <w:color w:val="auto"/>
          <w:lang w:val="en-US" w:eastAsia="zh-CN"/>
        </w:rPr>
        <w:t>9.8</w:t>
      </w:r>
      <w:r>
        <w:rPr>
          <w:rFonts w:hint="eastAsia"/>
          <w:color w:val="auto"/>
        </w:rPr>
        <w:t>分。</w:t>
      </w:r>
    </w:p>
    <w:p>
      <w:pPr>
        <w:ind w:firstLine="616" w:firstLineChars="200"/>
        <w:rPr>
          <w:rFonts w:hint="default" w:ascii="Times New Roman" w:hAnsi="Times New Roman" w:cs="Times New Roman"/>
          <w:b w:val="0"/>
          <w:bCs w:val="0"/>
          <w:color w:val="auto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highlight w:val="none"/>
        </w:rPr>
        <w:t>（二）评价指标分析。</w:t>
      </w:r>
    </w:p>
    <w:p>
      <w:pPr>
        <w:ind w:firstLine="616" w:firstLineChars="200"/>
        <w:rPr>
          <w:rFonts w:hint="default" w:ascii="Times New Roman" w:hAnsi="Times New Roman" w:cs="Times New Roman"/>
          <w:color w:val="auto"/>
          <w:lang w:val="en-US" w:eastAsia="zh-CN"/>
        </w:rPr>
      </w:pPr>
      <w:r>
        <w:rPr>
          <w:rFonts w:hint="eastAsia" w:cs="Times New Roman"/>
          <w:color w:val="auto"/>
          <w:lang w:val="en-US" w:eastAsia="zh-CN"/>
        </w:rPr>
        <w:t>1.</w:t>
      </w:r>
      <w:r>
        <w:rPr>
          <w:rFonts w:hint="default" w:ascii="Times New Roman" w:hAnsi="Times New Roman" w:cs="Times New Roman"/>
          <w:color w:val="auto"/>
          <w:lang w:val="en-US" w:eastAsia="zh-CN"/>
        </w:rPr>
        <w:t>决策</w:t>
      </w:r>
      <w:r>
        <w:rPr>
          <w:rFonts w:hint="eastAsia" w:cs="Times New Roman"/>
          <w:color w:val="auto"/>
          <w:lang w:val="en-US" w:eastAsia="zh-CN"/>
        </w:rPr>
        <w:t>。</w:t>
      </w:r>
    </w:p>
    <w:p>
      <w:pPr>
        <w:ind w:firstLine="616" w:firstLineChars="200"/>
        <w:rPr>
          <w:rFonts w:hint="eastAsia" w:cs="Times New Roman"/>
          <w:color w:val="auto"/>
          <w:lang w:val="en-US" w:eastAsia="zh-CN"/>
        </w:rPr>
      </w:pPr>
      <w:r>
        <w:rPr>
          <w:rFonts w:hint="eastAsia" w:cs="Times New Roman"/>
          <w:color w:val="auto"/>
          <w:lang w:val="en-US" w:eastAsia="zh-CN"/>
        </w:rPr>
        <w:t>（1）</w:t>
      </w:r>
      <w:r>
        <w:rPr>
          <w:rFonts w:hint="default" w:ascii="Times New Roman" w:hAnsi="Times New Roman" w:cs="Times New Roman"/>
          <w:color w:val="auto"/>
          <w:lang w:val="en-US" w:eastAsia="zh-CN"/>
        </w:rPr>
        <w:t>项目立项</w:t>
      </w:r>
      <w:r>
        <w:rPr>
          <w:rFonts w:hint="eastAsia" w:cs="Times New Roman"/>
          <w:color w:val="auto"/>
          <w:lang w:val="en-US" w:eastAsia="zh-CN"/>
        </w:rPr>
        <w:t>。</w:t>
      </w:r>
    </w:p>
    <w:p>
      <w:pPr>
        <w:ind w:firstLine="616" w:firstLineChars="200"/>
        <w:rPr>
          <w:rFonts w:hint="eastAsia" w:cs="Times New Roman"/>
          <w:color w:val="auto"/>
          <w:lang w:val="en-US" w:eastAsia="zh-CN"/>
        </w:rPr>
      </w:pPr>
      <w:r>
        <w:rPr>
          <w:rFonts w:hint="eastAsia"/>
          <w:color w:val="auto"/>
        </w:rPr>
        <w:t>我们严格按照年度绩效自评相关文件要求，积极进行该项费用的绩效自评，结合上一年度发现问题及时采取整改措施，以确保公务员及事业编人员招考费用的合理使用和有效管理。</w:t>
      </w:r>
    </w:p>
    <w:p>
      <w:pPr>
        <w:ind w:firstLine="616" w:firstLineChars="200"/>
        <w:rPr>
          <w:rFonts w:hint="eastAsia" w:cs="Times New Roman"/>
          <w:color w:val="auto"/>
          <w:lang w:val="en-US" w:eastAsia="zh-CN"/>
        </w:rPr>
      </w:pPr>
      <w:r>
        <w:rPr>
          <w:rFonts w:hint="eastAsia" w:cs="Times New Roman"/>
          <w:color w:val="auto"/>
          <w:lang w:val="en-US" w:eastAsia="zh-CN"/>
        </w:rPr>
        <w:t>（2）</w:t>
      </w:r>
      <w:r>
        <w:rPr>
          <w:rFonts w:hint="default" w:ascii="Times New Roman" w:hAnsi="Times New Roman" w:cs="Times New Roman"/>
          <w:color w:val="auto"/>
          <w:lang w:val="en-US" w:eastAsia="zh-CN"/>
        </w:rPr>
        <w:t>资金落实</w:t>
      </w:r>
      <w:r>
        <w:rPr>
          <w:rFonts w:hint="eastAsia" w:cs="Times New Roman"/>
          <w:color w:val="auto"/>
          <w:lang w:val="en-US" w:eastAsia="zh-CN"/>
        </w:rPr>
        <w:t>。</w:t>
      </w:r>
    </w:p>
    <w:p>
      <w:pPr>
        <w:ind w:firstLine="616" w:firstLineChars="200"/>
        <w:rPr>
          <w:rFonts w:hint="eastAsia" w:eastAsia="仿宋_GB2312" w:cs="Times New Roman"/>
          <w:color w:val="auto"/>
          <w:lang w:val="en-US" w:eastAsia="zh-CN"/>
        </w:rPr>
      </w:pPr>
      <w:r>
        <w:rPr>
          <w:rFonts w:hint="eastAsia"/>
          <w:color w:val="auto"/>
          <w:lang w:eastAsia="zh-CN"/>
        </w:rPr>
        <w:t>本专项资金财政已下拨，并已下发到位，</w:t>
      </w:r>
      <w:r>
        <w:rPr>
          <w:rFonts w:hint="eastAsia"/>
          <w:color w:val="auto"/>
        </w:rPr>
        <w:t>为考试的顺利进行提供</w:t>
      </w:r>
      <w:r>
        <w:rPr>
          <w:rFonts w:hint="eastAsia"/>
          <w:color w:val="auto"/>
          <w:lang w:eastAsia="zh-CN"/>
        </w:rPr>
        <w:t>了</w:t>
      </w:r>
      <w:r>
        <w:rPr>
          <w:rFonts w:hint="eastAsia"/>
          <w:color w:val="auto"/>
        </w:rPr>
        <w:t>有力保障</w:t>
      </w:r>
      <w:r>
        <w:rPr>
          <w:rFonts w:hint="eastAsia"/>
          <w:color w:val="auto"/>
          <w:lang w:eastAsia="zh-CN"/>
        </w:rPr>
        <w:t>。</w:t>
      </w:r>
    </w:p>
    <w:p>
      <w:pPr>
        <w:ind w:firstLine="616" w:firstLineChars="200"/>
        <w:rPr>
          <w:rFonts w:hint="default" w:ascii="Times New Roman" w:hAnsi="Times New Roman" w:cs="Times New Roman"/>
          <w:color w:val="auto"/>
          <w:lang w:val="en-US" w:eastAsia="zh-CN"/>
        </w:rPr>
      </w:pPr>
      <w:r>
        <w:rPr>
          <w:rFonts w:hint="eastAsia" w:cs="Times New Roman"/>
          <w:color w:val="auto"/>
          <w:lang w:val="en-US" w:eastAsia="zh-CN"/>
        </w:rPr>
        <w:t>2.</w:t>
      </w:r>
      <w:r>
        <w:rPr>
          <w:rFonts w:hint="default" w:ascii="Times New Roman" w:hAnsi="Times New Roman" w:cs="Times New Roman"/>
          <w:color w:val="auto"/>
          <w:lang w:val="en-US" w:eastAsia="zh-CN"/>
        </w:rPr>
        <w:t>过程</w:t>
      </w:r>
      <w:r>
        <w:rPr>
          <w:rFonts w:hint="eastAsia" w:cs="Times New Roman"/>
          <w:color w:val="auto"/>
          <w:lang w:val="en-US" w:eastAsia="zh-CN"/>
        </w:rPr>
        <w:t>。</w:t>
      </w:r>
    </w:p>
    <w:p>
      <w:pPr>
        <w:ind w:firstLine="616" w:firstLineChars="200"/>
        <w:rPr>
          <w:rFonts w:hint="eastAsia" w:cs="Times New Roman"/>
          <w:color w:val="auto"/>
          <w:lang w:val="en-US" w:eastAsia="zh-CN"/>
        </w:rPr>
      </w:pPr>
      <w:r>
        <w:rPr>
          <w:rFonts w:hint="eastAsia" w:cs="Times New Roman"/>
          <w:color w:val="auto"/>
          <w:lang w:val="en-US" w:eastAsia="zh-CN"/>
        </w:rPr>
        <w:t>（1）</w:t>
      </w:r>
      <w:r>
        <w:rPr>
          <w:rFonts w:hint="default" w:ascii="Times New Roman" w:hAnsi="Times New Roman" w:cs="Times New Roman"/>
          <w:color w:val="auto"/>
          <w:lang w:val="en-US" w:eastAsia="zh-CN"/>
        </w:rPr>
        <w:t>资金管理</w:t>
      </w:r>
      <w:r>
        <w:rPr>
          <w:rFonts w:hint="eastAsia" w:cs="Times New Roman"/>
          <w:color w:val="auto"/>
          <w:lang w:val="en-US" w:eastAsia="zh-CN"/>
        </w:rPr>
        <w:t>。</w:t>
      </w:r>
    </w:p>
    <w:p>
      <w:pPr>
        <w:ind w:firstLine="616" w:firstLineChars="200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</w:rPr>
        <w:t>本年度过程指标中，事项管理指标达标；资金管理指标中，本年度我市公务员及事业编人员招考实际费用支出为</w:t>
      </w:r>
      <w:r>
        <w:rPr>
          <w:rFonts w:hint="eastAsia"/>
          <w:color w:val="auto"/>
          <w:highlight w:val="none"/>
          <w:lang w:val="en-US" w:eastAsia="zh-CN"/>
        </w:rPr>
        <w:t>150</w:t>
      </w:r>
      <w:r>
        <w:rPr>
          <w:rFonts w:hint="eastAsia"/>
          <w:color w:val="auto"/>
          <w:highlight w:val="none"/>
        </w:rPr>
        <w:t>万，其中用“公务员及事业编考试经费”支出了</w:t>
      </w:r>
      <w:r>
        <w:rPr>
          <w:rFonts w:hint="eastAsia"/>
          <w:color w:val="auto"/>
          <w:highlight w:val="none"/>
          <w:lang w:val="en-US" w:eastAsia="zh-CN"/>
        </w:rPr>
        <w:t>150</w:t>
      </w:r>
      <w:r>
        <w:rPr>
          <w:rFonts w:hint="eastAsia"/>
          <w:color w:val="auto"/>
          <w:highlight w:val="none"/>
        </w:rPr>
        <w:t>万元，完成预算指标的</w:t>
      </w:r>
      <w:r>
        <w:rPr>
          <w:rFonts w:hint="eastAsia"/>
          <w:color w:val="auto"/>
          <w:highlight w:val="none"/>
          <w:lang w:val="en-US" w:eastAsia="zh-CN"/>
        </w:rPr>
        <w:t>100</w:t>
      </w:r>
      <w:r>
        <w:rPr>
          <w:rFonts w:hint="eastAsia"/>
          <w:color w:val="auto"/>
          <w:highlight w:val="none"/>
        </w:rPr>
        <w:t>%。</w:t>
      </w:r>
    </w:p>
    <w:p>
      <w:pPr>
        <w:ind w:firstLine="616" w:firstLineChars="200"/>
        <w:rPr>
          <w:rFonts w:hint="default" w:ascii="Times New Roman" w:hAnsi="Times New Roman" w:cs="Times New Roman"/>
          <w:color w:val="auto"/>
          <w:lang w:val="en-US" w:eastAsia="zh-CN"/>
        </w:rPr>
      </w:pPr>
      <w:r>
        <w:rPr>
          <w:rFonts w:hint="eastAsia" w:cs="Times New Roman"/>
          <w:color w:val="auto"/>
          <w:lang w:val="en-US" w:eastAsia="zh-CN"/>
        </w:rPr>
        <w:t>（2）</w:t>
      </w:r>
      <w:r>
        <w:rPr>
          <w:rFonts w:hint="default" w:ascii="Times New Roman" w:hAnsi="Times New Roman" w:cs="Times New Roman"/>
          <w:color w:val="auto"/>
          <w:lang w:val="en-US" w:eastAsia="zh-CN"/>
        </w:rPr>
        <w:t>事项管理</w:t>
      </w:r>
      <w:r>
        <w:rPr>
          <w:rFonts w:hint="eastAsia" w:cs="Times New Roman"/>
          <w:color w:val="auto"/>
          <w:lang w:val="en-US" w:eastAsia="zh-CN"/>
        </w:rPr>
        <w:t>。</w:t>
      </w:r>
    </w:p>
    <w:p>
      <w:pPr>
        <w:ind w:firstLine="616" w:firstLineChars="200"/>
        <w:rPr>
          <w:rFonts w:hint="eastAsia" w:cs="Times New Roman"/>
          <w:color w:val="auto"/>
          <w:lang w:val="en-US" w:eastAsia="zh-CN"/>
        </w:rPr>
      </w:pPr>
      <w:r>
        <w:rPr>
          <w:rFonts w:hint="eastAsia" w:cs="Times New Roman"/>
          <w:color w:val="auto"/>
          <w:lang w:val="en-US" w:eastAsia="zh-CN"/>
        </w:rPr>
        <w:t>1.</w:t>
      </w:r>
      <w:r>
        <w:rPr>
          <w:rFonts w:hint="default" w:ascii="Times New Roman" w:hAnsi="Times New Roman" w:cs="Times New Roman"/>
          <w:color w:val="auto"/>
          <w:lang w:val="en-US" w:eastAsia="zh-CN"/>
        </w:rPr>
        <w:t>成本</w:t>
      </w:r>
      <w:r>
        <w:rPr>
          <w:rFonts w:hint="eastAsia" w:cs="Times New Roman"/>
          <w:color w:val="auto"/>
          <w:lang w:val="en-US" w:eastAsia="zh-CN"/>
        </w:rPr>
        <w:t>。</w:t>
      </w:r>
      <w:r>
        <w:rPr>
          <w:rFonts w:hint="default" w:ascii="Times New Roman" w:hAnsi="Times New Roman" w:cs="Times New Roman"/>
          <w:color w:val="auto"/>
          <w:lang w:val="en-US" w:eastAsia="zh-CN"/>
        </w:rPr>
        <w:t>根据《项目绩效自评指标评分表》</w:t>
      </w:r>
      <w:r>
        <w:rPr>
          <w:rFonts w:hint="eastAsia" w:cs="Times New Roman"/>
          <w:color w:val="auto"/>
          <w:lang w:val="en-US" w:eastAsia="zh-CN"/>
        </w:rPr>
        <w:t>重点的经济成本指标，做到了严格按照考务津贴</w:t>
      </w:r>
      <w:r>
        <w:rPr>
          <w:rFonts w:hint="default" w:ascii="Times New Roman" w:hAnsi="Times New Roman" w:cs="Times New Roman"/>
          <w:color w:val="auto"/>
          <w:lang w:val="en-US" w:eastAsia="zh-CN"/>
        </w:rPr>
        <w:t>不超300元/人/半天</w:t>
      </w:r>
      <w:r>
        <w:rPr>
          <w:rFonts w:hint="eastAsia" w:cs="Times New Roman"/>
          <w:color w:val="auto"/>
          <w:lang w:val="en-US" w:eastAsia="zh-CN"/>
        </w:rPr>
        <w:t>的标准。</w:t>
      </w:r>
    </w:p>
    <w:p>
      <w:pPr>
        <w:ind w:firstLine="616" w:firstLineChars="200"/>
        <w:rPr>
          <w:rFonts w:hint="eastAsia"/>
          <w:color w:val="auto"/>
        </w:rPr>
      </w:pPr>
      <w:r>
        <w:rPr>
          <w:rFonts w:hint="eastAsia" w:cs="Times New Roman"/>
          <w:color w:val="auto"/>
          <w:lang w:val="en-US" w:eastAsia="zh-CN"/>
        </w:rPr>
        <w:t>2.</w:t>
      </w:r>
      <w:r>
        <w:rPr>
          <w:rFonts w:hint="default" w:ascii="Times New Roman" w:hAnsi="Times New Roman" w:cs="Times New Roman"/>
          <w:color w:val="auto"/>
          <w:lang w:val="en-US" w:eastAsia="zh-CN"/>
        </w:rPr>
        <w:t>产出</w:t>
      </w:r>
      <w:r>
        <w:rPr>
          <w:rFonts w:hint="eastAsia" w:cs="Times New Roman"/>
          <w:color w:val="auto"/>
          <w:lang w:val="en-US" w:eastAsia="zh-CN"/>
        </w:rPr>
        <w:t>。</w:t>
      </w:r>
      <w:r>
        <w:rPr>
          <w:rFonts w:hint="eastAsia"/>
          <w:color w:val="auto"/>
        </w:rPr>
        <w:t>本年度产出分数量、质量、时效、成本四类指标和9项分指标均已达标。</w:t>
      </w:r>
    </w:p>
    <w:p>
      <w:pPr>
        <w:ind w:firstLine="616" w:firstLineChars="200"/>
        <w:rPr>
          <w:color w:val="auto"/>
        </w:rPr>
      </w:pPr>
      <w:r>
        <w:rPr>
          <w:rFonts w:hint="eastAsia" w:cs="Times New Roman"/>
          <w:color w:val="auto"/>
          <w:lang w:val="en-US" w:eastAsia="zh-CN"/>
        </w:rPr>
        <w:t>3.</w:t>
      </w:r>
      <w:r>
        <w:rPr>
          <w:rFonts w:hint="default" w:ascii="Times New Roman" w:hAnsi="Times New Roman" w:cs="Times New Roman"/>
          <w:color w:val="auto"/>
          <w:lang w:val="en-US" w:eastAsia="zh-CN"/>
        </w:rPr>
        <w:t>效益</w:t>
      </w:r>
      <w:r>
        <w:rPr>
          <w:rFonts w:hint="eastAsia" w:cs="Times New Roman"/>
          <w:color w:val="auto"/>
          <w:lang w:val="en-US" w:eastAsia="zh-CN"/>
        </w:rPr>
        <w:t>。</w:t>
      </w:r>
      <w:r>
        <w:rPr>
          <w:rFonts w:hint="eastAsia"/>
          <w:color w:val="auto"/>
        </w:rPr>
        <w:t>本年度效益指标分社会效益和满意度两类指标和4项分指标，其中3项分指标均已达标，分指标“考生满意度”基本达标。</w:t>
      </w:r>
    </w:p>
    <w:p>
      <w:pPr>
        <w:ind w:firstLine="616" w:firstLineChars="200"/>
        <w:rPr>
          <w:rFonts w:ascii="方正小标宋简体" w:eastAsia="方正小标宋简体"/>
          <w:color w:val="auto"/>
        </w:rPr>
      </w:pPr>
      <w:r>
        <w:rPr>
          <w:rFonts w:hint="eastAsia" w:ascii="方正小标宋简体" w:eastAsia="方正小标宋简体"/>
          <w:color w:val="auto"/>
          <w:lang w:eastAsia="zh-CN"/>
        </w:rPr>
        <w:t>三</w:t>
      </w:r>
      <w:r>
        <w:rPr>
          <w:rFonts w:hint="eastAsia" w:ascii="方正小标宋简体" w:eastAsia="方正小标宋简体"/>
          <w:color w:val="auto"/>
        </w:rPr>
        <w:t>、存在的问题、原因分析及改进措施</w:t>
      </w:r>
    </w:p>
    <w:p>
      <w:pPr>
        <w:ind w:firstLine="616" w:firstLineChars="200"/>
        <w:rPr>
          <w:color w:val="auto"/>
        </w:rPr>
      </w:pPr>
      <w:r>
        <w:rPr>
          <w:rFonts w:hint="eastAsia"/>
          <w:color w:val="auto"/>
        </w:rPr>
        <w:t>目前存在的主要问题是公务员及事业编人员招考实际费用支出较大，远超出本项目资金安排，一定程度上影响了款项的支付、考务筹备工作的开展和考务工作人员的工作积极性。针对这一问题，下一步的工作中将主要从以下方面着手改善：</w:t>
      </w:r>
    </w:p>
    <w:p>
      <w:pPr>
        <w:ind w:firstLine="616" w:firstLineChars="200"/>
        <w:rPr>
          <w:color w:val="auto"/>
        </w:rPr>
      </w:pPr>
      <w:r>
        <w:rPr>
          <w:rFonts w:hint="eastAsia"/>
          <w:color w:val="auto"/>
        </w:rPr>
        <w:t>一是进一步完善公务员及事业编人员招考经费管理，进一步做到资金使用的有效性和资源的优化配置，做到在不影响考务工作正常开展的前提下，做到资金的减支节流。</w:t>
      </w:r>
    </w:p>
    <w:p>
      <w:pPr>
        <w:ind w:firstLine="616" w:firstLineChars="200"/>
        <w:rPr>
          <w:color w:val="auto"/>
        </w:rPr>
      </w:pPr>
      <w:r>
        <w:rPr>
          <w:rFonts w:hint="eastAsia"/>
          <w:color w:val="auto"/>
        </w:rPr>
        <w:t>二是积极与市财政局对接沟通，根据实际开支需要，争取增加项目资金预算。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16" w:firstLineChars="200"/>
        <w:textAlignment w:val="auto"/>
        <w:outlineLvl w:val="9"/>
        <w:rPr>
          <w:rFonts w:hint="eastAsia" w:ascii="方正小标宋简体" w:eastAsia="方正小标宋简体"/>
          <w:color w:val="auto"/>
          <w:lang w:eastAsia="zh-CN"/>
        </w:rPr>
      </w:pPr>
      <w:r>
        <w:rPr>
          <w:rFonts w:hint="eastAsia" w:ascii="方正小标宋简体" w:eastAsia="方正小标宋简体"/>
          <w:color w:val="auto"/>
          <w:lang w:eastAsia="zh-CN"/>
        </w:rPr>
        <w:t>四、上一年度绩效评价整改情况</w:t>
      </w:r>
    </w:p>
    <w:p>
      <w:pPr>
        <w:ind w:firstLine="616" w:firstLineChars="200"/>
        <w:rPr>
          <w:rFonts w:hint="eastAsia" w:ascii="仿宋_GB2312" w:hAnsi="华文仿宋" w:cs="仿宋_GB2312"/>
          <w:color w:val="auto"/>
          <w:szCs w:val="32"/>
          <w:lang w:eastAsia="zh-CN"/>
        </w:rPr>
      </w:pPr>
      <w:r>
        <w:rPr>
          <w:rFonts w:hint="eastAsia" w:ascii="仿宋_GB2312" w:hAnsi="华文仿宋" w:cs="仿宋_GB2312"/>
          <w:color w:val="auto"/>
          <w:szCs w:val="32"/>
          <w:lang w:eastAsia="zh-CN"/>
        </w:rPr>
        <w:t>无</w:t>
      </w:r>
    </w:p>
    <w:p>
      <w:pPr>
        <w:ind w:firstLine="616" w:firstLineChars="200"/>
        <w:rPr>
          <w:rFonts w:ascii="方正小标宋简体" w:eastAsia="方正小标宋简体"/>
          <w:color w:val="auto"/>
        </w:rPr>
      </w:pPr>
      <w:r>
        <w:rPr>
          <w:rFonts w:hint="eastAsia" w:ascii="方正小标宋简体" w:eastAsia="方正小标宋简体"/>
          <w:color w:val="auto"/>
          <w:lang w:eastAsia="zh-CN"/>
        </w:rPr>
        <w:t>五</w:t>
      </w:r>
      <w:r>
        <w:rPr>
          <w:rFonts w:hint="eastAsia" w:ascii="方正小标宋简体" w:eastAsia="方正小标宋简体"/>
          <w:color w:val="auto"/>
        </w:rPr>
        <w:t>、其他需要说明的情况</w:t>
      </w:r>
    </w:p>
    <w:p>
      <w:pPr>
        <w:ind w:firstLine="616" w:firstLineChars="200"/>
        <w:rPr>
          <w:rFonts w:hint="eastAsia" w:eastAsia="仿宋_GB2312"/>
          <w:color w:val="auto"/>
          <w:lang w:eastAsia="zh-CN"/>
        </w:rPr>
      </w:pPr>
      <w:r>
        <w:rPr>
          <w:rFonts w:hint="eastAsia"/>
          <w:color w:val="auto"/>
          <w:lang w:eastAsia="zh-CN"/>
        </w:rPr>
        <w:t>无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701" w:right="1588" w:bottom="1644" w:left="1701" w:header="851" w:footer="992" w:gutter="0"/>
      <w:pgNumType w:fmt="decimal"/>
      <w:cols w:space="425" w:num="1"/>
      <w:docGrid w:type="linesAndChars" w:linePitch="610" w:charSpace="-25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rPr>
                    <w:rFonts w:hint="eastAsia" w:eastAsia="仿宋_GB2312"/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1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true"/>
  <w:bordersDoNotSurroundHeader w:val="true"/>
  <w:bordersDoNotSurroundFooter w:val="true"/>
  <w:documentProtection w:enforcement="0"/>
  <w:defaultTabStop w:val="420"/>
  <w:drawingGridHorizontalSpacing w:val="154"/>
  <w:drawingGridVerticalSpacing w:val="305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A04CD"/>
    <w:rsid w:val="00007A67"/>
    <w:rsid w:val="00022542"/>
    <w:rsid w:val="000240EE"/>
    <w:rsid w:val="000258AA"/>
    <w:rsid w:val="000C0184"/>
    <w:rsid w:val="000D1E99"/>
    <w:rsid w:val="00145B76"/>
    <w:rsid w:val="001A455A"/>
    <w:rsid w:val="001C65A3"/>
    <w:rsid w:val="00235EDE"/>
    <w:rsid w:val="00283EB6"/>
    <w:rsid w:val="002D40EC"/>
    <w:rsid w:val="002D7EDF"/>
    <w:rsid w:val="002E516E"/>
    <w:rsid w:val="002E5CB6"/>
    <w:rsid w:val="002F0587"/>
    <w:rsid w:val="00322A7D"/>
    <w:rsid w:val="00325DE1"/>
    <w:rsid w:val="00331AA1"/>
    <w:rsid w:val="00347820"/>
    <w:rsid w:val="00347914"/>
    <w:rsid w:val="00395359"/>
    <w:rsid w:val="004078CE"/>
    <w:rsid w:val="00410146"/>
    <w:rsid w:val="00413B2F"/>
    <w:rsid w:val="00432296"/>
    <w:rsid w:val="004531CF"/>
    <w:rsid w:val="004749F5"/>
    <w:rsid w:val="00486009"/>
    <w:rsid w:val="004B2E77"/>
    <w:rsid w:val="004B3572"/>
    <w:rsid w:val="0053790D"/>
    <w:rsid w:val="00537F7E"/>
    <w:rsid w:val="00566EB1"/>
    <w:rsid w:val="0059798E"/>
    <w:rsid w:val="005B06B5"/>
    <w:rsid w:val="005C28C3"/>
    <w:rsid w:val="005D4C3F"/>
    <w:rsid w:val="005E6FE2"/>
    <w:rsid w:val="00606F30"/>
    <w:rsid w:val="00620700"/>
    <w:rsid w:val="0062264E"/>
    <w:rsid w:val="006265B7"/>
    <w:rsid w:val="006317C3"/>
    <w:rsid w:val="00675A9A"/>
    <w:rsid w:val="00683EA8"/>
    <w:rsid w:val="006D4795"/>
    <w:rsid w:val="00754811"/>
    <w:rsid w:val="00756360"/>
    <w:rsid w:val="00781B6C"/>
    <w:rsid w:val="0078264B"/>
    <w:rsid w:val="007A7399"/>
    <w:rsid w:val="007B2E55"/>
    <w:rsid w:val="007D2DD9"/>
    <w:rsid w:val="008428B2"/>
    <w:rsid w:val="0084340E"/>
    <w:rsid w:val="00880F2C"/>
    <w:rsid w:val="008B525A"/>
    <w:rsid w:val="008C30AE"/>
    <w:rsid w:val="008D3371"/>
    <w:rsid w:val="008E75C3"/>
    <w:rsid w:val="0090022C"/>
    <w:rsid w:val="00A1401A"/>
    <w:rsid w:val="00A3720F"/>
    <w:rsid w:val="00A70279"/>
    <w:rsid w:val="00A8644D"/>
    <w:rsid w:val="00A91495"/>
    <w:rsid w:val="00AC53BB"/>
    <w:rsid w:val="00AF5FB9"/>
    <w:rsid w:val="00B05F42"/>
    <w:rsid w:val="00B12D08"/>
    <w:rsid w:val="00B55F8F"/>
    <w:rsid w:val="00BA5204"/>
    <w:rsid w:val="00C005AF"/>
    <w:rsid w:val="00C10A76"/>
    <w:rsid w:val="00CB17DD"/>
    <w:rsid w:val="00CD313A"/>
    <w:rsid w:val="00CD5F4B"/>
    <w:rsid w:val="00D45282"/>
    <w:rsid w:val="00D73EB4"/>
    <w:rsid w:val="00D74AD4"/>
    <w:rsid w:val="00D82FAA"/>
    <w:rsid w:val="00DA04CD"/>
    <w:rsid w:val="00DA43A7"/>
    <w:rsid w:val="00DA5CEB"/>
    <w:rsid w:val="00DC37C4"/>
    <w:rsid w:val="00DC4199"/>
    <w:rsid w:val="00DF7A41"/>
    <w:rsid w:val="00E03302"/>
    <w:rsid w:val="00E23CAC"/>
    <w:rsid w:val="00E71A39"/>
    <w:rsid w:val="00E75090"/>
    <w:rsid w:val="00E82D5B"/>
    <w:rsid w:val="00EA3F40"/>
    <w:rsid w:val="00EA4E69"/>
    <w:rsid w:val="00EC4520"/>
    <w:rsid w:val="00ED3E32"/>
    <w:rsid w:val="00EF18C9"/>
    <w:rsid w:val="00F04107"/>
    <w:rsid w:val="00F43167"/>
    <w:rsid w:val="00F43EA4"/>
    <w:rsid w:val="00F60DBF"/>
    <w:rsid w:val="00F726D7"/>
    <w:rsid w:val="00FF548F"/>
    <w:rsid w:val="02BC0F7A"/>
    <w:rsid w:val="03AC0299"/>
    <w:rsid w:val="09F1221F"/>
    <w:rsid w:val="137D44A4"/>
    <w:rsid w:val="15C76328"/>
    <w:rsid w:val="18943E28"/>
    <w:rsid w:val="1B7E66C0"/>
    <w:rsid w:val="2F6D73DB"/>
    <w:rsid w:val="320812F2"/>
    <w:rsid w:val="3333611F"/>
    <w:rsid w:val="374813F3"/>
    <w:rsid w:val="3E7F194A"/>
    <w:rsid w:val="3FEAF42D"/>
    <w:rsid w:val="44DF0C37"/>
    <w:rsid w:val="4B0D7533"/>
    <w:rsid w:val="596549B4"/>
    <w:rsid w:val="66B838CD"/>
    <w:rsid w:val="692152FD"/>
    <w:rsid w:val="692418FD"/>
    <w:rsid w:val="6A8A0155"/>
    <w:rsid w:val="6E123544"/>
    <w:rsid w:val="73396EFC"/>
    <w:rsid w:val="74F83A68"/>
    <w:rsid w:val="757601D1"/>
    <w:rsid w:val="7B9E485C"/>
    <w:rsid w:val="7CBD1F84"/>
    <w:rsid w:val="B97F1439"/>
    <w:rsid w:val="DD7F0D98"/>
    <w:rsid w:val="FBFFEC50"/>
    <w:rsid w:val="FF7F011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67</Words>
  <Characters>382</Characters>
  <Lines>3</Lines>
  <Paragraphs>1</Paragraphs>
  <TotalTime>49</TotalTime>
  <ScaleCrop>false</ScaleCrop>
  <LinksUpToDate>false</LinksUpToDate>
  <CharactersWithSpaces>448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2023-03-24T16:31:00Z</dcterms:created>
  <dc:creator>梁莉瑶</dc:creator>
  <cp:lastModifiedBy>uos</cp:lastModifiedBy>
  <cp:lastPrinted>2026-06-12T00:58:00Z</cp:lastPrinted>
  <dcterms:modified xsi:type="dcterms:W3CDTF">2026-06-22T15:42:40Z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