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F7469">
      <w:pPr>
        <w:keepNext w:val="0"/>
        <w:keepLines w:val="0"/>
        <w:pageBreakBefore w:val="0"/>
        <w:widowControl w:val="0"/>
        <w:tabs>
          <w:tab w:val="left" w:pos="5394"/>
        </w:tabs>
        <w:kinsoku/>
        <w:wordWrap/>
        <w:overflowPunct/>
        <w:topLinePunct w:val="0"/>
        <w:autoSpaceDE/>
        <w:autoSpaceDN/>
        <w:bidi w:val="0"/>
        <w:adjustRightInd/>
        <w:snapToGrid/>
        <w:spacing w:line="500" w:lineRule="exact"/>
        <w:jc w:val="both"/>
        <w:textAlignment w:val="auto"/>
        <w:rPr>
          <w:rFonts w:hint="default" w:ascii="Times New Roman" w:hAnsi="Times New Roman" w:eastAsia="黑体" w:cs="Times New Roman"/>
          <w:snapToGrid/>
          <w:kern w:val="2"/>
          <w:sz w:val="32"/>
          <w:szCs w:val="32"/>
          <w:lang w:val="en-US" w:eastAsia="zh-CN"/>
        </w:rPr>
      </w:pPr>
      <w:r>
        <w:rPr>
          <w:rFonts w:hint="default" w:ascii="Times New Roman" w:hAnsi="Times New Roman" w:eastAsia="黑体" w:cs="Times New Roman"/>
          <w:snapToGrid/>
          <w:kern w:val="2"/>
          <w:sz w:val="32"/>
          <w:szCs w:val="32"/>
          <w:lang w:val="en-US" w:eastAsia="zh-CN"/>
        </w:rPr>
        <w:t>附件2</w:t>
      </w:r>
    </w:p>
    <w:p w14:paraId="3A05E030">
      <w:pPr>
        <w:keepNext w:val="0"/>
        <w:keepLines w:val="0"/>
        <w:pageBreakBefore w:val="0"/>
        <w:widowControl w:val="0"/>
        <w:tabs>
          <w:tab w:val="left" w:pos="5394"/>
        </w:tabs>
        <w:kinsoku/>
        <w:wordWrap/>
        <w:overflowPunct/>
        <w:topLinePunct w:val="0"/>
        <w:autoSpaceDE/>
        <w:autoSpaceDN/>
        <w:bidi w:val="0"/>
        <w:adjustRightInd/>
        <w:snapToGrid/>
        <w:spacing w:line="300" w:lineRule="exact"/>
        <w:jc w:val="both"/>
        <w:textAlignment w:val="auto"/>
        <w:rPr>
          <w:rFonts w:hint="eastAsia" w:ascii="Times New Roman" w:hAnsi="Times New Roman" w:eastAsia="黑体" w:cs="Times New Roman"/>
          <w:snapToGrid/>
          <w:kern w:val="2"/>
          <w:sz w:val="32"/>
          <w:szCs w:val="32"/>
          <w:lang w:val="en-US" w:eastAsia="zh-CN"/>
        </w:rPr>
      </w:pPr>
    </w:p>
    <w:p w14:paraId="1595DC34">
      <w:pPr>
        <w:keepNext w:val="0"/>
        <w:keepLines w:val="0"/>
        <w:pageBreakBefore w:val="0"/>
        <w:widowControl w:val="0"/>
        <w:tabs>
          <w:tab w:val="left" w:pos="5394"/>
        </w:tabs>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napToGrid/>
          <w:kern w:val="2"/>
          <w:sz w:val="44"/>
          <w:szCs w:val="44"/>
          <w:lang w:eastAsia="zh-CN"/>
        </w:rPr>
      </w:pPr>
      <w:r>
        <w:rPr>
          <w:rFonts w:hint="eastAsia" w:ascii="方正小标宋简体" w:hAnsi="方正小标宋简体" w:eastAsia="方正小标宋简体" w:cs="方正小标宋简体"/>
          <w:snapToGrid/>
          <w:kern w:val="2"/>
          <w:sz w:val="44"/>
          <w:szCs w:val="44"/>
          <w:lang w:eastAsia="zh-CN"/>
        </w:rPr>
        <w:t>2026年阳江市科技支撑“百千万工程”</w:t>
      </w:r>
      <w:r>
        <w:rPr>
          <w:rFonts w:hint="eastAsia" w:ascii="方正小标宋简体" w:hAnsi="方正小标宋简体" w:eastAsia="方正小标宋简体" w:cs="方正小标宋简体"/>
          <w:snapToGrid/>
          <w:kern w:val="2"/>
          <w:sz w:val="44"/>
          <w:szCs w:val="44"/>
          <w:lang w:val="en-US" w:eastAsia="zh-CN"/>
        </w:rPr>
        <w:t>专项</w:t>
      </w:r>
      <w:r>
        <w:rPr>
          <w:rFonts w:hint="eastAsia" w:ascii="方正小标宋简体" w:hAnsi="方正小标宋简体" w:eastAsia="方正小标宋简体" w:cs="方正小标宋简体"/>
          <w:snapToGrid/>
          <w:kern w:val="2"/>
          <w:sz w:val="44"/>
          <w:szCs w:val="44"/>
          <w:lang w:eastAsia="zh-CN"/>
        </w:rPr>
        <w:t>拟推荐入库项目清单</w:t>
      </w:r>
    </w:p>
    <w:tbl>
      <w:tblPr>
        <w:tblStyle w:val="5"/>
        <w:tblpPr w:leftFromText="180" w:rightFromText="180" w:vertAnchor="text" w:horzAnchor="page" w:tblpX="749" w:tblpY="356"/>
        <w:tblOverlap w:val="never"/>
        <w:tblW w:w="1081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0"/>
        <w:gridCol w:w="4725"/>
        <w:gridCol w:w="1530"/>
        <w:gridCol w:w="3810"/>
      </w:tblGrid>
      <w:tr w14:paraId="76720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750" w:type="dxa"/>
            <w:noWrap w:val="0"/>
            <w:vAlign w:val="center"/>
          </w:tcPr>
          <w:p w14:paraId="7C22E709">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pacing w:val="-3"/>
                <w:sz w:val="28"/>
                <w:szCs w:val="28"/>
              </w:rPr>
              <w:t>序号</w:t>
            </w:r>
          </w:p>
        </w:tc>
        <w:tc>
          <w:tcPr>
            <w:tcW w:w="4725" w:type="dxa"/>
            <w:noWrap w:val="0"/>
            <w:vAlign w:val="center"/>
          </w:tcPr>
          <w:p w14:paraId="6908D3F0">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pacing w:val="-18"/>
                <w:sz w:val="28"/>
                <w:szCs w:val="28"/>
              </w:rPr>
              <w:t>项目名称</w:t>
            </w:r>
          </w:p>
        </w:tc>
        <w:tc>
          <w:tcPr>
            <w:tcW w:w="1530" w:type="dxa"/>
            <w:noWrap w:val="0"/>
            <w:vAlign w:val="center"/>
          </w:tcPr>
          <w:p w14:paraId="24492A6E">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pacing w:val="-2"/>
                <w:sz w:val="28"/>
                <w:szCs w:val="28"/>
              </w:rPr>
              <w:t>项目负责人</w:t>
            </w:r>
          </w:p>
        </w:tc>
        <w:tc>
          <w:tcPr>
            <w:tcW w:w="3810" w:type="dxa"/>
            <w:noWrap w:val="0"/>
            <w:vAlign w:val="center"/>
          </w:tcPr>
          <w:p w14:paraId="71360AB6">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pacing w:val="-3"/>
                <w:sz w:val="28"/>
                <w:szCs w:val="28"/>
              </w:rPr>
              <w:t>承担单位</w:t>
            </w:r>
          </w:p>
        </w:tc>
      </w:tr>
      <w:tr w14:paraId="1787D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750" w:type="dxa"/>
            <w:noWrap w:val="0"/>
            <w:vAlign w:val="center"/>
          </w:tcPr>
          <w:p w14:paraId="5CD608A1">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bidi="ar-SA"/>
              </w:rPr>
              <w:t>1</w:t>
            </w:r>
          </w:p>
        </w:tc>
        <w:tc>
          <w:tcPr>
            <w:tcW w:w="4725" w:type="dxa"/>
            <w:noWrap w:val="0"/>
            <w:vAlign w:val="center"/>
          </w:tcPr>
          <w:p w14:paraId="6CC892DC">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bidi="ar-SA"/>
              </w:rPr>
              <w:t>智能海上风电运维保障舱研发及示范应用</w:t>
            </w:r>
          </w:p>
        </w:tc>
        <w:tc>
          <w:tcPr>
            <w:tcW w:w="1530" w:type="dxa"/>
            <w:noWrap w:val="0"/>
            <w:vAlign w:val="center"/>
          </w:tcPr>
          <w:p w14:paraId="444D5900">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bidi="ar-SA"/>
              </w:rPr>
              <w:t>张美阳</w:t>
            </w:r>
          </w:p>
        </w:tc>
        <w:tc>
          <w:tcPr>
            <w:tcW w:w="3810" w:type="dxa"/>
            <w:noWrap w:val="0"/>
            <w:vAlign w:val="center"/>
          </w:tcPr>
          <w:p w14:paraId="296F998B">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bidi="ar-SA"/>
              </w:rPr>
              <w:t>阳江海上风电实验室</w:t>
            </w:r>
          </w:p>
        </w:tc>
      </w:tr>
      <w:tr w14:paraId="74B00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750" w:type="dxa"/>
            <w:noWrap w:val="0"/>
            <w:vAlign w:val="center"/>
          </w:tcPr>
          <w:p w14:paraId="1988F663">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bidi="ar-SA"/>
              </w:rPr>
              <w:t>2</w:t>
            </w:r>
          </w:p>
        </w:tc>
        <w:tc>
          <w:tcPr>
            <w:tcW w:w="4725" w:type="dxa"/>
            <w:noWrap w:val="0"/>
            <w:vAlign w:val="center"/>
          </w:tcPr>
          <w:p w14:paraId="31A33C84">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bidi="ar-SA"/>
              </w:rPr>
              <w:t>轻质耐蚀高端“钛/钢”复合新材料海洋牧场应用</w:t>
            </w:r>
          </w:p>
        </w:tc>
        <w:tc>
          <w:tcPr>
            <w:tcW w:w="1530" w:type="dxa"/>
            <w:noWrap w:val="0"/>
            <w:vAlign w:val="center"/>
          </w:tcPr>
          <w:p w14:paraId="0BF738D7">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bidi="ar-SA"/>
              </w:rPr>
              <w:t>袁胜福</w:t>
            </w:r>
          </w:p>
        </w:tc>
        <w:tc>
          <w:tcPr>
            <w:tcW w:w="3810" w:type="dxa"/>
            <w:noWrap w:val="0"/>
            <w:vAlign w:val="center"/>
          </w:tcPr>
          <w:p w14:paraId="421DAA8A">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bidi="ar-SA"/>
              </w:rPr>
              <w:t>阳江合金材料实验室</w:t>
            </w:r>
          </w:p>
        </w:tc>
      </w:tr>
      <w:tr w14:paraId="6610DB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750" w:type="dxa"/>
            <w:noWrap w:val="0"/>
            <w:vAlign w:val="center"/>
          </w:tcPr>
          <w:p w14:paraId="14E601BB">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bidi="ar-SA"/>
              </w:rPr>
              <w:t>3</w:t>
            </w:r>
          </w:p>
        </w:tc>
        <w:tc>
          <w:tcPr>
            <w:tcW w:w="4725" w:type="dxa"/>
            <w:noWrap w:val="0"/>
            <w:vAlign w:val="center"/>
          </w:tcPr>
          <w:p w14:paraId="714C4DDE">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bidi="ar-SA"/>
              </w:rPr>
              <w:t>面向刀剪柔性制造的视觉引导机器人智能磨削关键技术研究与应用</w:t>
            </w:r>
          </w:p>
        </w:tc>
        <w:tc>
          <w:tcPr>
            <w:tcW w:w="1530" w:type="dxa"/>
            <w:noWrap w:val="0"/>
            <w:vAlign w:val="center"/>
          </w:tcPr>
          <w:p w14:paraId="2809E793">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bidi="ar-SA"/>
              </w:rPr>
              <w:t>邹涛</w:t>
            </w:r>
          </w:p>
        </w:tc>
        <w:tc>
          <w:tcPr>
            <w:tcW w:w="3810" w:type="dxa"/>
            <w:noWrap w:val="0"/>
            <w:vAlign w:val="center"/>
          </w:tcPr>
          <w:p w14:paraId="37E9DD81">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bidi="ar-SA"/>
              </w:rPr>
              <w:t>阳江十八子刀剪制品有限公司</w:t>
            </w:r>
          </w:p>
        </w:tc>
      </w:tr>
      <w:tr w14:paraId="46781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750" w:type="dxa"/>
            <w:noWrap w:val="0"/>
            <w:vAlign w:val="center"/>
          </w:tcPr>
          <w:p w14:paraId="1884DD79">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pacing w:val="-17"/>
                <w:sz w:val="28"/>
                <w:szCs w:val="28"/>
                <w:lang w:val="en-US" w:eastAsia="zh-CN"/>
              </w:rPr>
              <w:t>4</w:t>
            </w:r>
          </w:p>
        </w:tc>
        <w:tc>
          <w:tcPr>
            <w:tcW w:w="4725" w:type="dxa"/>
            <w:noWrap w:val="0"/>
            <w:vAlign w:val="center"/>
          </w:tcPr>
          <w:p w14:paraId="361067A0">
            <w:pPr>
              <w:pStyle w:val="6"/>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海水鱼苗工厂化培育及强化驯养技术研究与示范</w:t>
            </w:r>
          </w:p>
        </w:tc>
        <w:tc>
          <w:tcPr>
            <w:tcW w:w="1530" w:type="dxa"/>
            <w:noWrap w:val="0"/>
            <w:vAlign w:val="center"/>
          </w:tcPr>
          <w:p w14:paraId="504973B3">
            <w:pPr>
              <w:pStyle w:val="6"/>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董宏标</w:t>
            </w:r>
          </w:p>
        </w:tc>
        <w:tc>
          <w:tcPr>
            <w:tcW w:w="3810" w:type="dxa"/>
            <w:noWrap w:val="0"/>
            <w:vAlign w:val="center"/>
          </w:tcPr>
          <w:p w14:paraId="1627860E">
            <w:pPr>
              <w:pStyle w:val="6"/>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广东南湾水产有限公司</w:t>
            </w:r>
          </w:p>
        </w:tc>
      </w:tr>
      <w:tr w14:paraId="0EC23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trPr>
        <w:tc>
          <w:tcPr>
            <w:tcW w:w="750" w:type="dxa"/>
            <w:noWrap w:val="0"/>
            <w:vAlign w:val="center"/>
          </w:tcPr>
          <w:p w14:paraId="21286934">
            <w:pPr>
              <w:pStyle w:val="7"/>
              <w:keepNext w:val="0"/>
              <w:keepLines w:val="0"/>
              <w:pageBreakBefore w:val="0"/>
              <w:widowControl w:val="0"/>
              <w:wordWrap/>
              <w:overflowPunct/>
              <w:topLinePunct w:val="0"/>
              <w:bidi w:val="0"/>
              <w:spacing w:after="0" w:line="350" w:lineRule="exact"/>
              <w:ind w:left="0" w:leftChars="0" w:firstLine="0" w:firstLineChars="0"/>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5</w:t>
            </w:r>
          </w:p>
        </w:tc>
        <w:tc>
          <w:tcPr>
            <w:tcW w:w="4725" w:type="dxa"/>
            <w:noWrap w:val="0"/>
            <w:vAlign w:val="center"/>
          </w:tcPr>
          <w:p w14:paraId="68D3C886">
            <w:pPr>
              <w:pStyle w:val="6"/>
              <w:keepNext w:val="0"/>
              <w:keepLines w:val="0"/>
              <w:pageBreakBefore w:val="0"/>
              <w:widowControl w:val="0"/>
              <w:kinsoku w:val="0"/>
              <w:wordWrap/>
              <w:overflowPunct/>
              <w:topLinePunct w:val="0"/>
              <w:autoSpaceDE w:val="0"/>
              <w:autoSpaceDN w:val="0"/>
              <w:bidi w:val="0"/>
              <w:adjustRightInd w:val="0"/>
              <w:snapToGrid w:val="0"/>
              <w:spacing w:line="350" w:lineRule="exact"/>
              <w:jc w:val="center"/>
              <w:textAlignment w:val="baseline"/>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基于呈味肽挖掘与脉冲电场调控的罗非鱼下脚料高值化利用及调味品开发</w:t>
            </w:r>
          </w:p>
        </w:tc>
        <w:tc>
          <w:tcPr>
            <w:tcW w:w="1530" w:type="dxa"/>
            <w:noWrap w:val="0"/>
            <w:vAlign w:val="center"/>
          </w:tcPr>
          <w:p w14:paraId="7D041BE7">
            <w:pPr>
              <w:pStyle w:val="6"/>
              <w:keepNext w:val="0"/>
              <w:keepLines w:val="0"/>
              <w:pageBreakBefore w:val="0"/>
              <w:widowControl w:val="0"/>
              <w:kinsoku w:val="0"/>
              <w:wordWrap/>
              <w:overflowPunct/>
              <w:topLinePunct w:val="0"/>
              <w:autoSpaceDE w:val="0"/>
              <w:autoSpaceDN w:val="0"/>
              <w:bidi w:val="0"/>
              <w:adjustRightInd w:val="0"/>
              <w:snapToGrid w:val="0"/>
              <w:spacing w:line="350" w:lineRule="exact"/>
              <w:jc w:val="center"/>
              <w:textAlignment w:val="baseline"/>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唐忠盛</w:t>
            </w:r>
          </w:p>
        </w:tc>
        <w:tc>
          <w:tcPr>
            <w:tcW w:w="3810" w:type="dxa"/>
            <w:noWrap w:val="0"/>
            <w:vAlign w:val="center"/>
          </w:tcPr>
          <w:p w14:paraId="59989F4D">
            <w:pPr>
              <w:pStyle w:val="6"/>
              <w:keepNext w:val="0"/>
              <w:keepLines w:val="0"/>
              <w:pageBreakBefore w:val="0"/>
              <w:widowControl w:val="0"/>
              <w:kinsoku w:val="0"/>
              <w:wordWrap/>
              <w:overflowPunct/>
              <w:topLinePunct w:val="0"/>
              <w:autoSpaceDE w:val="0"/>
              <w:autoSpaceDN w:val="0"/>
              <w:bidi w:val="0"/>
              <w:adjustRightInd w:val="0"/>
              <w:snapToGrid w:val="0"/>
              <w:spacing w:line="350" w:lineRule="exact"/>
              <w:jc w:val="center"/>
              <w:textAlignment w:val="baseline"/>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广东汇味康生物科技有限公司</w:t>
            </w:r>
          </w:p>
        </w:tc>
      </w:tr>
      <w:tr w14:paraId="23101F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50" w:type="dxa"/>
            <w:noWrap w:val="0"/>
            <w:vAlign w:val="center"/>
          </w:tcPr>
          <w:p w14:paraId="2F482E9C">
            <w:pPr>
              <w:pStyle w:val="6"/>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6</w:t>
            </w:r>
          </w:p>
        </w:tc>
        <w:tc>
          <w:tcPr>
            <w:tcW w:w="4725" w:type="dxa"/>
            <w:noWrap w:val="0"/>
            <w:vAlign w:val="top"/>
          </w:tcPr>
          <w:p w14:paraId="33775392">
            <w:pPr>
              <w:pStyle w:val="6"/>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仿宋" w:hAnsi="仿宋" w:eastAsia="仿宋" w:cs="仿宋"/>
                <w:kern w:val="2"/>
                <w:sz w:val="28"/>
                <w:szCs w:val="28"/>
                <w:lang w:val="zh-CN" w:eastAsia="zh-CN" w:bidi="ar-SA"/>
              </w:rPr>
            </w:pPr>
            <w:r>
              <w:rPr>
                <w:rFonts w:hint="eastAsia" w:ascii="仿宋" w:hAnsi="仿宋" w:eastAsia="仿宋" w:cs="仿宋"/>
                <w:kern w:val="2"/>
                <w:sz w:val="28"/>
                <w:szCs w:val="28"/>
                <w:lang w:val="en-US" w:eastAsia="zh-CN" w:bidi="ar-SA"/>
              </w:rPr>
              <w:t>阳江市南药何首乌高效栽培技术示范与推广项目</w:t>
            </w:r>
          </w:p>
        </w:tc>
        <w:tc>
          <w:tcPr>
            <w:tcW w:w="1530" w:type="dxa"/>
            <w:noWrap w:val="0"/>
            <w:vAlign w:val="center"/>
          </w:tcPr>
          <w:p w14:paraId="07C2D1B6">
            <w:pPr>
              <w:pStyle w:val="6"/>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黄婷婷</w:t>
            </w:r>
          </w:p>
        </w:tc>
        <w:tc>
          <w:tcPr>
            <w:tcW w:w="3810" w:type="dxa"/>
            <w:noWrap w:val="0"/>
            <w:vAlign w:val="center"/>
          </w:tcPr>
          <w:p w14:paraId="6AAFC2FA">
            <w:pPr>
              <w:pStyle w:val="6"/>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仿宋" w:hAnsi="仿宋" w:eastAsia="仿宋" w:cs="仿宋"/>
                <w:kern w:val="2"/>
                <w:sz w:val="28"/>
                <w:szCs w:val="28"/>
                <w:lang w:val="zh-CN" w:eastAsia="zh-CN" w:bidi="ar-SA"/>
              </w:rPr>
            </w:pPr>
            <w:r>
              <w:rPr>
                <w:rFonts w:hint="eastAsia" w:ascii="仿宋" w:hAnsi="仿宋" w:eastAsia="仿宋" w:cs="仿宋"/>
                <w:kern w:val="2"/>
                <w:sz w:val="28"/>
                <w:szCs w:val="28"/>
                <w:lang w:val="en-US" w:eastAsia="zh-CN" w:bidi="ar-SA"/>
              </w:rPr>
              <w:t>广东正然中草药基地有限公司</w:t>
            </w:r>
          </w:p>
        </w:tc>
      </w:tr>
      <w:tr w14:paraId="3C2D2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750" w:type="dxa"/>
            <w:noWrap w:val="0"/>
            <w:vAlign w:val="center"/>
          </w:tcPr>
          <w:p w14:paraId="5F2C99F8">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7</w:t>
            </w:r>
          </w:p>
        </w:tc>
        <w:tc>
          <w:tcPr>
            <w:tcW w:w="4725" w:type="dxa"/>
            <w:noWrap w:val="0"/>
            <w:vAlign w:val="center"/>
          </w:tcPr>
          <w:p w14:paraId="09B8B892">
            <w:pPr>
              <w:pStyle w:val="6"/>
              <w:keepNext w:val="0"/>
              <w:keepLines w:val="0"/>
              <w:pageBreakBefore w:val="0"/>
              <w:widowControl w:val="0"/>
              <w:kinsoku w:val="0"/>
              <w:wordWrap/>
              <w:overflowPunct/>
              <w:topLinePunct w:val="0"/>
              <w:autoSpaceDE w:val="0"/>
              <w:autoSpaceDN w:val="0"/>
              <w:bidi w:val="0"/>
              <w:adjustRightInd w:val="0"/>
              <w:snapToGrid w:val="0"/>
              <w:spacing w:line="350" w:lineRule="exact"/>
              <w:jc w:val="center"/>
              <w:textAlignment w:val="baseline"/>
              <w:rPr>
                <w:rFonts w:hint="eastAsia" w:ascii="仿宋" w:hAnsi="仿宋" w:eastAsia="仿宋" w:cs="仿宋"/>
                <w:color w:val="auto"/>
                <w:kern w:val="2"/>
                <w:sz w:val="28"/>
                <w:szCs w:val="28"/>
                <w:lang w:val="en-US" w:eastAsia="en-US" w:bidi="ar-SA"/>
              </w:rPr>
            </w:pPr>
            <w:r>
              <w:rPr>
                <w:rFonts w:hint="eastAsia" w:ascii="仿宋" w:hAnsi="仿宋" w:eastAsia="仿宋" w:cs="仿宋"/>
                <w:color w:val="auto"/>
                <w:sz w:val="28"/>
                <w:szCs w:val="28"/>
                <w:lang w:val="en-US" w:eastAsia="zh-CN"/>
              </w:rPr>
              <w:t>电磁场微晶冷冻保鲜荔枝技术集成研究与示范</w:t>
            </w:r>
          </w:p>
        </w:tc>
        <w:tc>
          <w:tcPr>
            <w:tcW w:w="1530" w:type="dxa"/>
            <w:noWrap w:val="0"/>
            <w:vAlign w:val="center"/>
          </w:tcPr>
          <w:p w14:paraId="44D06990">
            <w:pPr>
              <w:pStyle w:val="6"/>
              <w:keepNext w:val="0"/>
              <w:keepLines w:val="0"/>
              <w:pageBreakBefore w:val="0"/>
              <w:widowControl w:val="0"/>
              <w:kinsoku w:val="0"/>
              <w:wordWrap/>
              <w:overflowPunct/>
              <w:topLinePunct w:val="0"/>
              <w:autoSpaceDE w:val="0"/>
              <w:autoSpaceDN w:val="0"/>
              <w:bidi w:val="0"/>
              <w:adjustRightInd w:val="0"/>
              <w:snapToGrid w:val="0"/>
              <w:spacing w:line="350" w:lineRule="exact"/>
              <w:jc w:val="center"/>
              <w:textAlignment w:val="baseline"/>
              <w:rPr>
                <w:rFonts w:hint="eastAsia" w:ascii="仿宋" w:hAnsi="仿宋" w:eastAsia="仿宋" w:cs="仿宋"/>
                <w:color w:val="auto"/>
                <w:kern w:val="2"/>
                <w:sz w:val="28"/>
                <w:szCs w:val="28"/>
                <w:lang w:val="en-US" w:eastAsia="en-US" w:bidi="ar-SA"/>
              </w:rPr>
            </w:pPr>
            <w:r>
              <w:rPr>
                <w:rFonts w:hint="eastAsia" w:ascii="仿宋" w:hAnsi="仿宋" w:eastAsia="仿宋" w:cs="仿宋"/>
                <w:color w:val="auto"/>
                <w:sz w:val="28"/>
                <w:szCs w:val="28"/>
                <w:lang w:val="en-US" w:eastAsia="zh-CN"/>
              </w:rPr>
              <w:t>余铭</w:t>
            </w:r>
          </w:p>
        </w:tc>
        <w:tc>
          <w:tcPr>
            <w:tcW w:w="3810" w:type="dxa"/>
            <w:noWrap w:val="0"/>
            <w:vAlign w:val="center"/>
          </w:tcPr>
          <w:p w14:paraId="1509D348">
            <w:pPr>
              <w:pStyle w:val="6"/>
              <w:keepNext w:val="0"/>
              <w:keepLines w:val="0"/>
              <w:pageBreakBefore w:val="0"/>
              <w:widowControl w:val="0"/>
              <w:kinsoku w:val="0"/>
              <w:wordWrap/>
              <w:overflowPunct/>
              <w:topLinePunct w:val="0"/>
              <w:autoSpaceDE w:val="0"/>
              <w:autoSpaceDN w:val="0"/>
              <w:bidi w:val="0"/>
              <w:adjustRightInd w:val="0"/>
              <w:snapToGrid w:val="0"/>
              <w:spacing w:line="350" w:lineRule="exact"/>
              <w:jc w:val="center"/>
              <w:textAlignment w:val="baseline"/>
              <w:rPr>
                <w:rFonts w:hint="eastAsia" w:ascii="仿宋" w:hAnsi="仿宋" w:eastAsia="仿宋" w:cs="仿宋"/>
                <w:color w:val="auto"/>
                <w:kern w:val="2"/>
                <w:sz w:val="28"/>
                <w:szCs w:val="28"/>
                <w:lang w:val="en-US" w:eastAsia="en-US" w:bidi="ar-SA"/>
              </w:rPr>
            </w:pPr>
            <w:r>
              <w:rPr>
                <w:rFonts w:hint="eastAsia" w:ascii="仿宋" w:hAnsi="仿宋" w:eastAsia="仿宋" w:cs="仿宋"/>
                <w:color w:val="auto"/>
                <w:sz w:val="28"/>
                <w:szCs w:val="28"/>
                <w:lang w:val="en-US" w:eastAsia="zh-CN"/>
              </w:rPr>
              <w:t>广东海洋大学阳江研究院</w:t>
            </w:r>
          </w:p>
        </w:tc>
      </w:tr>
      <w:tr w14:paraId="17726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50" w:type="dxa"/>
            <w:noWrap w:val="0"/>
            <w:vAlign w:val="center"/>
          </w:tcPr>
          <w:p w14:paraId="36F6D86B">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8</w:t>
            </w:r>
          </w:p>
        </w:tc>
        <w:tc>
          <w:tcPr>
            <w:tcW w:w="4725" w:type="dxa"/>
            <w:noWrap w:val="0"/>
            <w:vAlign w:val="center"/>
          </w:tcPr>
          <w:p w14:paraId="1CBA98ED">
            <w:pPr>
              <w:pStyle w:val="6"/>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仿宋" w:hAnsi="仿宋" w:eastAsia="仿宋" w:cs="仿宋"/>
                <w:color w:val="auto"/>
                <w:kern w:val="2"/>
                <w:sz w:val="28"/>
                <w:szCs w:val="28"/>
                <w:lang w:val="zh-CN" w:eastAsia="zh-CN" w:bidi="ar-SA"/>
              </w:rPr>
            </w:pPr>
            <w:r>
              <w:rPr>
                <w:rFonts w:hint="eastAsia" w:ascii="仿宋" w:hAnsi="仿宋" w:eastAsia="仿宋" w:cs="仿宋"/>
                <w:color w:val="auto"/>
                <w:kern w:val="2"/>
                <w:sz w:val="28"/>
                <w:szCs w:val="28"/>
                <w:lang w:val="zh-CN" w:eastAsia="zh-CN" w:bidi="ar-SA"/>
              </w:rPr>
              <w:t>澳洲坚果规模化种植技术推广与农户增收示范项目</w:t>
            </w:r>
          </w:p>
        </w:tc>
        <w:tc>
          <w:tcPr>
            <w:tcW w:w="1530" w:type="dxa"/>
            <w:noWrap w:val="0"/>
            <w:vAlign w:val="center"/>
          </w:tcPr>
          <w:p w14:paraId="169F7BC6">
            <w:pPr>
              <w:keepNext w:val="0"/>
              <w:keepLines w:val="0"/>
              <w:pageBreakBefore w:val="0"/>
              <w:widowControl w:val="0"/>
              <w:wordWrap/>
              <w:overflowPunct/>
              <w:topLinePunct w:val="0"/>
              <w:bidi w:val="0"/>
              <w:spacing w:line="350" w:lineRule="exact"/>
              <w:jc w:val="center"/>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朱其钦</w:t>
            </w:r>
          </w:p>
        </w:tc>
        <w:tc>
          <w:tcPr>
            <w:tcW w:w="3810" w:type="dxa"/>
            <w:noWrap w:val="0"/>
            <w:vAlign w:val="center"/>
          </w:tcPr>
          <w:p w14:paraId="7C0F3BAA">
            <w:pPr>
              <w:pStyle w:val="6"/>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仿宋" w:hAnsi="仿宋" w:eastAsia="仿宋" w:cs="仿宋"/>
                <w:color w:val="auto"/>
                <w:kern w:val="2"/>
                <w:sz w:val="28"/>
                <w:szCs w:val="28"/>
                <w:lang w:val="zh-CN" w:eastAsia="zh-CN" w:bidi="ar-SA"/>
              </w:rPr>
            </w:pPr>
            <w:r>
              <w:rPr>
                <w:rFonts w:hint="eastAsia" w:ascii="仿宋" w:hAnsi="仿宋" w:eastAsia="仿宋" w:cs="仿宋"/>
                <w:color w:val="auto"/>
                <w:kern w:val="2"/>
                <w:sz w:val="28"/>
                <w:szCs w:val="28"/>
                <w:lang w:val="en-US" w:eastAsia="zh-CN" w:bidi="ar-SA"/>
              </w:rPr>
              <w:t>阳春市星宝坚果发展有限公司</w:t>
            </w:r>
          </w:p>
        </w:tc>
      </w:tr>
      <w:tr w14:paraId="0E0CAD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 w:hRule="atLeast"/>
        </w:trPr>
        <w:tc>
          <w:tcPr>
            <w:tcW w:w="750" w:type="dxa"/>
            <w:noWrap w:val="0"/>
            <w:vAlign w:val="center"/>
          </w:tcPr>
          <w:p w14:paraId="034D4035">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9</w:t>
            </w:r>
          </w:p>
        </w:tc>
        <w:tc>
          <w:tcPr>
            <w:tcW w:w="4725" w:type="dxa"/>
            <w:noWrap w:val="0"/>
            <w:vAlign w:val="center"/>
          </w:tcPr>
          <w:p w14:paraId="0F9968F8">
            <w:pPr>
              <w:pStyle w:val="6"/>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海陵岛珍珠马蹄标准化栽培技术示范及推广</w:t>
            </w:r>
          </w:p>
        </w:tc>
        <w:tc>
          <w:tcPr>
            <w:tcW w:w="1530" w:type="dxa"/>
            <w:noWrap w:val="0"/>
            <w:vAlign w:val="center"/>
          </w:tcPr>
          <w:p w14:paraId="153E896D">
            <w:pPr>
              <w:pStyle w:val="6"/>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黄有基</w:t>
            </w:r>
          </w:p>
        </w:tc>
        <w:tc>
          <w:tcPr>
            <w:tcW w:w="3810" w:type="dxa"/>
            <w:noWrap w:val="0"/>
            <w:vAlign w:val="center"/>
          </w:tcPr>
          <w:p w14:paraId="3C4AAA34">
            <w:pPr>
              <w:pStyle w:val="6"/>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阳江市广益田农业发展有限公司</w:t>
            </w:r>
          </w:p>
        </w:tc>
      </w:tr>
      <w:tr w14:paraId="22D13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 w:hRule="atLeast"/>
        </w:trPr>
        <w:tc>
          <w:tcPr>
            <w:tcW w:w="750" w:type="dxa"/>
            <w:noWrap w:val="0"/>
            <w:vAlign w:val="center"/>
          </w:tcPr>
          <w:p w14:paraId="3B8BB6D0">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w:t>
            </w:r>
          </w:p>
        </w:tc>
        <w:tc>
          <w:tcPr>
            <w:tcW w:w="4725" w:type="dxa"/>
            <w:noWrap w:val="0"/>
            <w:vAlign w:val="center"/>
          </w:tcPr>
          <w:p w14:paraId="0078AE98">
            <w:pPr>
              <w:pStyle w:val="6"/>
              <w:keepNext w:val="0"/>
              <w:keepLines w:val="0"/>
              <w:pageBreakBefore w:val="0"/>
              <w:widowControl w:val="0"/>
              <w:wordWrap/>
              <w:overflowPunct/>
              <w:topLinePunct w:val="0"/>
              <w:bidi w:val="0"/>
              <w:spacing w:line="350" w:lineRule="exact"/>
              <w:jc w:val="center"/>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eastAsia="zh-CN"/>
              </w:rPr>
              <w:t>“石斑1号”育种芯片应用与推广</w:t>
            </w:r>
          </w:p>
        </w:tc>
        <w:tc>
          <w:tcPr>
            <w:tcW w:w="1530" w:type="dxa"/>
            <w:noWrap w:val="0"/>
            <w:vAlign w:val="center"/>
          </w:tcPr>
          <w:p w14:paraId="10DFDD6C">
            <w:pPr>
              <w:pStyle w:val="6"/>
              <w:keepNext w:val="0"/>
              <w:keepLines w:val="0"/>
              <w:pageBreakBefore w:val="0"/>
              <w:widowControl w:val="0"/>
              <w:wordWrap/>
              <w:overflowPunct/>
              <w:topLinePunct w:val="0"/>
              <w:bidi w:val="0"/>
              <w:spacing w:line="350" w:lineRule="exact"/>
              <w:jc w:val="center"/>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eastAsia="zh-CN"/>
              </w:rPr>
              <w:t>张晋</w:t>
            </w:r>
          </w:p>
        </w:tc>
        <w:tc>
          <w:tcPr>
            <w:tcW w:w="3810" w:type="dxa"/>
            <w:noWrap w:val="0"/>
            <w:vAlign w:val="center"/>
          </w:tcPr>
          <w:p w14:paraId="3FA7415D">
            <w:pPr>
              <w:pStyle w:val="6"/>
              <w:keepNext w:val="0"/>
              <w:keepLines w:val="0"/>
              <w:pageBreakBefore w:val="0"/>
              <w:widowControl w:val="0"/>
              <w:wordWrap/>
              <w:overflowPunct/>
              <w:topLinePunct w:val="0"/>
              <w:bidi w:val="0"/>
              <w:spacing w:line="350" w:lineRule="exact"/>
              <w:jc w:val="center"/>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eastAsia="zh-CN"/>
              </w:rPr>
              <w:t>阳江市鸿运海水种苗繁育有限公司</w:t>
            </w:r>
          </w:p>
        </w:tc>
      </w:tr>
      <w:tr w14:paraId="2B0D8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50" w:type="dxa"/>
            <w:noWrap w:val="0"/>
            <w:vAlign w:val="center"/>
          </w:tcPr>
          <w:p w14:paraId="307E89A0">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仿宋" w:hAnsi="仿宋" w:eastAsia="仿宋" w:cs="仿宋"/>
                <w:color w:val="FF0000"/>
                <w:sz w:val="28"/>
                <w:szCs w:val="28"/>
                <w:lang w:val="en-US" w:eastAsia="zh-CN"/>
              </w:rPr>
            </w:pPr>
            <w:r>
              <w:rPr>
                <w:rFonts w:hint="eastAsia" w:ascii="仿宋" w:hAnsi="仿宋" w:eastAsia="仿宋" w:cs="仿宋"/>
                <w:color w:val="auto"/>
                <w:sz w:val="28"/>
                <w:szCs w:val="28"/>
                <w:lang w:val="en-US" w:eastAsia="zh-CN"/>
              </w:rPr>
              <w:t>11</w:t>
            </w:r>
          </w:p>
        </w:tc>
        <w:tc>
          <w:tcPr>
            <w:tcW w:w="4725" w:type="dxa"/>
            <w:noWrap w:val="0"/>
            <w:vAlign w:val="top"/>
          </w:tcPr>
          <w:p w14:paraId="0B56411D">
            <w:pPr>
              <w:pStyle w:val="6"/>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仿宋" w:hAnsi="仿宋" w:eastAsia="仿宋" w:cs="仿宋"/>
                <w:color w:val="FF0000"/>
                <w:kern w:val="2"/>
                <w:sz w:val="28"/>
                <w:szCs w:val="28"/>
                <w:lang w:val="en-US" w:eastAsia="en-US" w:bidi="ar-SA"/>
              </w:rPr>
            </w:pPr>
            <w:r>
              <w:rPr>
                <w:rFonts w:hint="eastAsia" w:ascii="仿宋" w:hAnsi="仿宋" w:eastAsia="仿宋" w:cs="仿宋"/>
                <w:kern w:val="2"/>
                <w:sz w:val="28"/>
                <w:szCs w:val="28"/>
                <w:lang w:val="en-US" w:eastAsia="zh-CN" w:bidi="ar-SA"/>
              </w:rPr>
              <w:t>广东鹅绿色健康养殖技术推广与应用项目</w:t>
            </w:r>
          </w:p>
        </w:tc>
        <w:tc>
          <w:tcPr>
            <w:tcW w:w="1530" w:type="dxa"/>
            <w:noWrap w:val="0"/>
            <w:vAlign w:val="center"/>
          </w:tcPr>
          <w:p w14:paraId="24D7FD98">
            <w:pPr>
              <w:pStyle w:val="6"/>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仿宋" w:hAnsi="仿宋" w:eastAsia="仿宋" w:cs="仿宋"/>
                <w:color w:val="FF0000"/>
                <w:kern w:val="2"/>
                <w:sz w:val="28"/>
                <w:szCs w:val="28"/>
                <w:lang w:val="en-US" w:eastAsia="en-US" w:bidi="ar-SA"/>
              </w:rPr>
            </w:pPr>
            <w:r>
              <w:rPr>
                <w:rFonts w:hint="eastAsia" w:ascii="仿宋" w:hAnsi="仿宋" w:eastAsia="仿宋" w:cs="仿宋"/>
                <w:kern w:val="2"/>
                <w:sz w:val="28"/>
                <w:szCs w:val="28"/>
                <w:lang w:val="en-US" w:eastAsia="zh-CN" w:bidi="ar-SA"/>
              </w:rPr>
              <w:t>岑禄益</w:t>
            </w:r>
          </w:p>
        </w:tc>
        <w:tc>
          <w:tcPr>
            <w:tcW w:w="3810" w:type="dxa"/>
            <w:noWrap w:val="0"/>
            <w:vAlign w:val="center"/>
          </w:tcPr>
          <w:p w14:paraId="7EF0BC83">
            <w:pPr>
              <w:pStyle w:val="6"/>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eastAsia" w:ascii="仿宋" w:hAnsi="仿宋" w:eastAsia="仿宋" w:cs="仿宋"/>
                <w:color w:val="FF0000"/>
                <w:kern w:val="2"/>
                <w:sz w:val="28"/>
                <w:szCs w:val="28"/>
                <w:lang w:val="en-US" w:eastAsia="zh-CN" w:bidi="ar-SA"/>
              </w:rPr>
            </w:pPr>
            <w:r>
              <w:rPr>
                <w:rFonts w:hint="eastAsia" w:ascii="仿宋" w:hAnsi="仿宋" w:eastAsia="仿宋" w:cs="仿宋"/>
                <w:kern w:val="2"/>
                <w:sz w:val="28"/>
                <w:szCs w:val="28"/>
                <w:lang w:val="en-US" w:eastAsia="zh-CN" w:bidi="ar-SA"/>
              </w:rPr>
              <w:t>阳江市阳东区恒方农业发展有限公司</w:t>
            </w:r>
          </w:p>
        </w:tc>
      </w:tr>
      <w:tr w14:paraId="74E5F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50" w:type="dxa"/>
            <w:noWrap w:val="0"/>
            <w:vAlign w:val="center"/>
          </w:tcPr>
          <w:p w14:paraId="79BCE46C">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12</w:t>
            </w:r>
          </w:p>
        </w:tc>
        <w:tc>
          <w:tcPr>
            <w:tcW w:w="4725" w:type="dxa"/>
            <w:noWrap w:val="0"/>
            <w:vAlign w:val="center"/>
          </w:tcPr>
          <w:p w14:paraId="2B227F00">
            <w:pPr>
              <w:keepNext w:val="0"/>
              <w:keepLines w:val="0"/>
              <w:pageBreakBefore w:val="0"/>
              <w:widowControl w:val="0"/>
              <w:kinsoku w:val="0"/>
              <w:wordWrap/>
              <w:overflowPunct/>
              <w:topLinePunct w:val="0"/>
              <w:autoSpaceDE w:val="0"/>
              <w:autoSpaceDN w:val="0"/>
              <w:bidi w:val="0"/>
              <w:adjustRightInd w:val="0"/>
              <w:snapToGrid w:val="0"/>
              <w:spacing w:line="350" w:lineRule="exact"/>
              <w:jc w:val="center"/>
              <w:textAlignment w:val="baseline"/>
              <w:rPr>
                <w:rFonts w:hint="eastAsia" w:ascii="仿宋" w:hAnsi="仿宋" w:eastAsia="仿宋" w:cs="仿宋"/>
                <w:snapToGrid w:val="0"/>
                <w:color w:val="000000"/>
                <w:kern w:val="0"/>
                <w:sz w:val="28"/>
                <w:szCs w:val="28"/>
                <w:lang w:val="en-US" w:eastAsia="en-US" w:bidi="ar-SA"/>
              </w:rPr>
            </w:pPr>
            <w:r>
              <w:rPr>
                <w:rFonts w:hint="eastAsia" w:ascii="仿宋" w:hAnsi="仿宋" w:eastAsia="仿宋" w:cs="仿宋"/>
                <w:snapToGrid w:val="0"/>
                <w:color w:val="000000"/>
                <w:kern w:val="0"/>
                <w:sz w:val="28"/>
                <w:szCs w:val="28"/>
                <w:lang w:val="en-US" w:eastAsia="zh-CN" w:bidi="ar-SA"/>
              </w:rPr>
              <w:t>冰冻法海水产养殖尾水资源利用规模化生产示范项目</w:t>
            </w:r>
          </w:p>
        </w:tc>
        <w:tc>
          <w:tcPr>
            <w:tcW w:w="1530" w:type="dxa"/>
            <w:noWrap w:val="0"/>
            <w:vAlign w:val="center"/>
          </w:tcPr>
          <w:p w14:paraId="7E8C1B1F">
            <w:pPr>
              <w:keepNext w:val="0"/>
              <w:keepLines w:val="0"/>
              <w:pageBreakBefore w:val="0"/>
              <w:widowControl w:val="0"/>
              <w:kinsoku w:val="0"/>
              <w:wordWrap/>
              <w:overflowPunct/>
              <w:topLinePunct w:val="0"/>
              <w:autoSpaceDE w:val="0"/>
              <w:autoSpaceDN w:val="0"/>
              <w:bidi w:val="0"/>
              <w:adjustRightInd w:val="0"/>
              <w:snapToGrid w:val="0"/>
              <w:spacing w:line="350" w:lineRule="exact"/>
              <w:jc w:val="center"/>
              <w:textAlignment w:val="baseline"/>
              <w:rPr>
                <w:rFonts w:hint="eastAsia" w:ascii="仿宋" w:hAnsi="仿宋" w:eastAsia="仿宋" w:cs="仿宋"/>
                <w:snapToGrid w:val="0"/>
                <w:color w:val="000000"/>
                <w:kern w:val="0"/>
                <w:sz w:val="28"/>
                <w:szCs w:val="28"/>
                <w:lang w:val="en-US" w:eastAsia="zh-CN" w:bidi="ar-SA"/>
              </w:rPr>
            </w:pPr>
            <w:r>
              <w:rPr>
                <w:rFonts w:hint="eastAsia" w:ascii="仿宋" w:hAnsi="仿宋" w:eastAsia="仿宋" w:cs="仿宋"/>
                <w:snapToGrid w:val="0"/>
                <w:color w:val="000000"/>
                <w:kern w:val="0"/>
                <w:sz w:val="28"/>
                <w:szCs w:val="28"/>
                <w:lang w:val="en-US" w:eastAsia="zh-CN" w:bidi="ar-SA"/>
              </w:rPr>
              <w:t>陈栋</w:t>
            </w:r>
          </w:p>
        </w:tc>
        <w:tc>
          <w:tcPr>
            <w:tcW w:w="3810" w:type="dxa"/>
            <w:noWrap w:val="0"/>
            <w:vAlign w:val="center"/>
          </w:tcPr>
          <w:p w14:paraId="4C33E16C">
            <w:pPr>
              <w:keepNext w:val="0"/>
              <w:keepLines w:val="0"/>
              <w:pageBreakBefore w:val="0"/>
              <w:widowControl w:val="0"/>
              <w:kinsoku w:val="0"/>
              <w:wordWrap/>
              <w:overflowPunct/>
              <w:topLinePunct w:val="0"/>
              <w:autoSpaceDE w:val="0"/>
              <w:autoSpaceDN w:val="0"/>
              <w:bidi w:val="0"/>
              <w:adjustRightInd w:val="0"/>
              <w:snapToGrid w:val="0"/>
              <w:spacing w:line="350" w:lineRule="exact"/>
              <w:jc w:val="center"/>
              <w:textAlignment w:val="baseline"/>
              <w:rPr>
                <w:rFonts w:hint="eastAsia" w:ascii="仿宋" w:hAnsi="仿宋" w:eastAsia="仿宋" w:cs="仿宋"/>
                <w:snapToGrid w:val="0"/>
                <w:color w:val="000000"/>
                <w:kern w:val="0"/>
                <w:sz w:val="28"/>
                <w:szCs w:val="28"/>
                <w:lang w:val="en-US" w:eastAsia="zh-CN" w:bidi="ar-SA"/>
              </w:rPr>
            </w:pPr>
            <w:r>
              <w:rPr>
                <w:rFonts w:hint="eastAsia" w:ascii="仿宋" w:hAnsi="仿宋" w:eastAsia="仿宋" w:cs="仿宋"/>
                <w:snapToGrid w:val="0"/>
                <w:color w:val="000000"/>
                <w:kern w:val="0"/>
                <w:sz w:val="28"/>
                <w:szCs w:val="28"/>
                <w:lang w:val="en-US" w:eastAsia="zh-CN" w:bidi="ar-SA"/>
              </w:rPr>
              <w:t>阳江市阳东区众富水产养殖专业合作社</w:t>
            </w:r>
          </w:p>
        </w:tc>
      </w:tr>
      <w:tr w14:paraId="34938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50" w:type="dxa"/>
            <w:noWrap w:val="0"/>
            <w:vAlign w:val="center"/>
          </w:tcPr>
          <w:p w14:paraId="2E2AF8E6">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13</w:t>
            </w:r>
          </w:p>
        </w:tc>
        <w:tc>
          <w:tcPr>
            <w:tcW w:w="4725" w:type="dxa"/>
            <w:noWrap w:val="0"/>
            <w:vAlign w:val="center"/>
          </w:tcPr>
          <w:p w14:paraId="4289E962">
            <w:pPr>
              <w:pStyle w:val="9"/>
              <w:keepNext w:val="0"/>
              <w:keepLines w:val="0"/>
              <w:pageBreakBefore w:val="0"/>
              <w:widowControl w:val="0"/>
              <w:wordWrap/>
              <w:overflowPunct/>
              <w:topLinePunct w:val="0"/>
              <w:bidi w:val="0"/>
              <w:spacing w:line="350" w:lineRule="exact"/>
              <w:ind w:right="0" w:rightChars="0"/>
              <w:jc w:val="center"/>
              <w:rPr>
                <w:rFonts w:hint="eastAsia" w:ascii="仿宋" w:hAnsi="仿宋" w:eastAsia="仿宋" w:cs="仿宋"/>
                <w:kern w:val="2"/>
                <w:sz w:val="28"/>
                <w:szCs w:val="28"/>
                <w:lang w:val="en-US" w:eastAsia="zh-CN" w:bidi="ar-SA"/>
              </w:rPr>
            </w:pPr>
            <w:r>
              <w:rPr>
                <w:rFonts w:hint="eastAsia" w:ascii="仿宋" w:hAnsi="仿宋" w:eastAsia="仿宋" w:cs="仿宋"/>
                <w:sz w:val="28"/>
                <w:szCs w:val="28"/>
              </w:rPr>
              <w:t>绿能驱动AI+稻虫共作智控技术集成研究与推广</w:t>
            </w:r>
          </w:p>
        </w:tc>
        <w:tc>
          <w:tcPr>
            <w:tcW w:w="1530" w:type="dxa"/>
            <w:noWrap w:val="0"/>
            <w:vAlign w:val="center"/>
          </w:tcPr>
          <w:p w14:paraId="113B28C6">
            <w:pPr>
              <w:pStyle w:val="9"/>
              <w:keepNext w:val="0"/>
              <w:keepLines w:val="0"/>
              <w:pageBreakBefore w:val="0"/>
              <w:widowControl w:val="0"/>
              <w:wordWrap/>
              <w:overflowPunct/>
              <w:topLinePunct w:val="0"/>
              <w:bidi w:val="0"/>
              <w:spacing w:line="350" w:lineRule="exact"/>
              <w:ind w:right="0" w:rightChars="0"/>
              <w:jc w:val="center"/>
              <w:rPr>
                <w:rFonts w:hint="eastAsia" w:ascii="仿宋" w:hAnsi="仿宋" w:eastAsia="仿宋" w:cs="仿宋"/>
                <w:kern w:val="2"/>
                <w:sz w:val="28"/>
                <w:szCs w:val="28"/>
                <w:lang w:val="en-US" w:eastAsia="zh-CN" w:bidi="ar-SA"/>
              </w:rPr>
            </w:pPr>
            <w:r>
              <w:rPr>
                <w:rFonts w:hint="eastAsia" w:ascii="仿宋" w:hAnsi="仿宋" w:eastAsia="仿宋" w:cs="仿宋"/>
                <w:sz w:val="28"/>
                <w:szCs w:val="28"/>
                <w:lang w:eastAsia="zh-CN"/>
              </w:rPr>
              <w:t>梁启用</w:t>
            </w:r>
          </w:p>
        </w:tc>
        <w:tc>
          <w:tcPr>
            <w:tcW w:w="3810" w:type="dxa"/>
            <w:noWrap w:val="0"/>
            <w:vAlign w:val="center"/>
          </w:tcPr>
          <w:p w14:paraId="43336696">
            <w:pPr>
              <w:keepNext w:val="0"/>
              <w:keepLines w:val="0"/>
              <w:pageBreakBefore w:val="0"/>
              <w:widowControl w:val="0"/>
              <w:wordWrap/>
              <w:overflowPunct/>
              <w:topLinePunct w:val="0"/>
              <w:bidi w:val="0"/>
              <w:spacing w:line="350" w:lineRule="exact"/>
              <w:jc w:val="center"/>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阳江职业技术学院</w:t>
            </w:r>
          </w:p>
        </w:tc>
      </w:tr>
      <w:tr w14:paraId="6B529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50" w:type="dxa"/>
            <w:noWrap w:val="0"/>
            <w:vAlign w:val="center"/>
          </w:tcPr>
          <w:p w14:paraId="00D2FC20">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仿宋" w:hAnsi="仿宋" w:eastAsia="仿宋" w:cs="仿宋"/>
                <w:color w:val="FF0000"/>
                <w:sz w:val="28"/>
                <w:szCs w:val="28"/>
                <w:lang w:val="en-US" w:eastAsia="zh-CN"/>
              </w:rPr>
            </w:pPr>
            <w:r>
              <w:rPr>
                <w:rFonts w:hint="eastAsia" w:ascii="仿宋" w:hAnsi="仿宋" w:eastAsia="仿宋" w:cs="仿宋"/>
                <w:color w:val="auto"/>
                <w:sz w:val="28"/>
                <w:szCs w:val="28"/>
                <w:lang w:val="en-US" w:eastAsia="zh-CN"/>
              </w:rPr>
              <w:t>14</w:t>
            </w:r>
          </w:p>
        </w:tc>
        <w:tc>
          <w:tcPr>
            <w:tcW w:w="4725" w:type="dxa"/>
            <w:noWrap w:val="0"/>
            <w:vAlign w:val="center"/>
          </w:tcPr>
          <w:p w14:paraId="41ACDCC9">
            <w:pPr>
              <w:pStyle w:val="6"/>
              <w:keepNext w:val="0"/>
              <w:keepLines w:val="0"/>
              <w:pageBreakBefore w:val="0"/>
              <w:widowControl w:val="0"/>
              <w:kinsoku w:val="0"/>
              <w:wordWrap/>
              <w:overflowPunct/>
              <w:topLinePunct w:val="0"/>
              <w:autoSpaceDE w:val="0"/>
              <w:autoSpaceDN w:val="0"/>
              <w:bidi w:val="0"/>
              <w:adjustRightInd w:val="0"/>
              <w:snapToGrid w:val="0"/>
              <w:spacing w:line="350" w:lineRule="exact"/>
              <w:jc w:val="center"/>
              <w:textAlignment w:val="baseline"/>
              <w:rPr>
                <w:rFonts w:hint="eastAsia" w:ascii="仿宋" w:hAnsi="仿宋" w:eastAsia="仿宋" w:cs="仿宋"/>
                <w:color w:val="FF0000"/>
                <w:kern w:val="2"/>
                <w:sz w:val="28"/>
                <w:szCs w:val="28"/>
                <w:lang w:val="en-US" w:eastAsia="zh-CN" w:bidi="ar-SA"/>
              </w:rPr>
            </w:pPr>
            <w:r>
              <w:rPr>
                <w:rFonts w:hint="eastAsia" w:ascii="仿宋" w:hAnsi="仿宋" w:eastAsia="仿宋" w:cs="仿宋"/>
                <w:sz w:val="28"/>
                <w:szCs w:val="28"/>
                <w:lang w:val="en-US" w:eastAsia="zh-CN"/>
              </w:rPr>
              <w:t>设施西瓜新优品种及轮作栽培模式示范推广</w:t>
            </w:r>
          </w:p>
        </w:tc>
        <w:tc>
          <w:tcPr>
            <w:tcW w:w="1530" w:type="dxa"/>
            <w:noWrap w:val="0"/>
            <w:vAlign w:val="center"/>
          </w:tcPr>
          <w:p w14:paraId="7FF8E2BC">
            <w:pPr>
              <w:pStyle w:val="6"/>
              <w:keepNext w:val="0"/>
              <w:keepLines w:val="0"/>
              <w:pageBreakBefore w:val="0"/>
              <w:widowControl w:val="0"/>
              <w:kinsoku w:val="0"/>
              <w:wordWrap/>
              <w:overflowPunct/>
              <w:topLinePunct w:val="0"/>
              <w:autoSpaceDE w:val="0"/>
              <w:autoSpaceDN w:val="0"/>
              <w:bidi w:val="0"/>
              <w:adjustRightInd w:val="0"/>
              <w:snapToGrid w:val="0"/>
              <w:spacing w:line="350" w:lineRule="exact"/>
              <w:jc w:val="center"/>
              <w:textAlignment w:val="baseline"/>
              <w:rPr>
                <w:rFonts w:hint="eastAsia" w:ascii="仿宋" w:hAnsi="仿宋" w:eastAsia="仿宋" w:cs="仿宋"/>
                <w:color w:val="FF0000"/>
                <w:kern w:val="2"/>
                <w:sz w:val="28"/>
                <w:szCs w:val="28"/>
                <w:lang w:val="en-US" w:eastAsia="zh-CN" w:bidi="ar-SA"/>
              </w:rPr>
            </w:pPr>
            <w:r>
              <w:rPr>
                <w:rFonts w:hint="eastAsia" w:ascii="仿宋" w:hAnsi="仿宋" w:eastAsia="仿宋" w:cs="仿宋"/>
                <w:sz w:val="28"/>
                <w:szCs w:val="28"/>
                <w:lang w:val="en-US" w:eastAsia="zh-CN"/>
              </w:rPr>
              <w:t>吴康</w:t>
            </w:r>
          </w:p>
        </w:tc>
        <w:tc>
          <w:tcPr>
            <w:tcW w:w="3810" w:type="dxa"/>
            <w:noWrap w:val="0"/>
            <w:vAlign w:val="center"/>
          </w:tcPr>
          <w:p w14:paraId="790BAC8D">
            <w:pPr>
              <w:pStyle w:val="6"/>
              <w:keepNext w:val="0"/>
              <w:keepLines w:val="0"/>
              <w:pageBreakBefore w:val="0"/>
              <w:widowControl w:val="0"/>
              <w:kinsoku w:val="0"/>
              <w:wordWrap/>
              <w:overflowPunct/>
              <w:topLinePunct w:val="0"/>
              <w:autoSpaceDE w:val="0"/>
              <w:autoSpaceDN w:val="0"/>
              <w:bidi w:val="0"/>
              <w:adjustRightInd w:val="0"/>
              <w:snapToGrid w:val="0"/>
              <w:spacing w:line="350" w:lineRule="exact"/>
              <w:jc w:val="center"/>
              <w:textAlignment w:val="baseline"/>
              <w:rPr>
                <w:rFonts w:hint="eastAsia" w:ascii="仿宋" w:hAnsi="仿宋" w:eastAsia="仿宋" w:cs="仿宋"/>
                <w:color w:val="FF0000"/>
                <w:kern w:val="2"/>
                <w:sz w:val="28"/>
                <w:szCs w:val="28"/>
                <w:lang w:val="en-US" w:eastAsia="zh-CN" w:bidi="ar-SA"/>
              </w:rPr>
            </w:pPr>
            <w:r>
              <w:rPr>
                <w:rFonts w:hint="eastAsia" w:ascii="仿宋" w:hAnsi="仿宋" w:eastAsia="仿宋" w:cs="仿宋"/>
                <w:sz w:val="28"/>
                <w:szCs w:val="28"/>
                <w:lang w:val="en-US" w:eastAsia="zh-CN"/>
              </w:rPr>
              <w:t>阳西县上洋镇惠农西瓜荔枝专业合作社</w:t>
            </w:r>
          </w:p>
        </w:tc>
      </w:tr>
    </w:tbl>
    <w:p w14:paraId="03C9B06A">
      <w:pPr>
        <w:rPr>
          <w:rFonts w:hint="default"/>
        </w:rPr>
      </w:pPr>
    </w:p>
    <w:p w14:paraId="3199F18C">
      <w:bookmarkStart w:id="0" w:name="_GoBack"/>
      <w:bookmarkEnd w:id="0"/>
    </w:p>
    <w:sectPr>
      <w:footerReference r:id="rId3" w:type="default"/>
      <w:pgSz w:w="11906" w:h="16838"/>
      <w:pgMar w:top="2098" w:right="1417"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5072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FA2071">
                          <w:pPr>
                            <w:pStyle w:val="2"/>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FFA2071">
                    <w:pPr>
                      <w:pStyle w:val="2"/>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F5A6C"/>
    <w:rsid w:val="44EF5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customStyle="1" w:styleId="5">
    <w:name w:val="Table Normal"/>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 w:type="paragraph" w:customStyle="1" w:styleId="7">
    <w:name w:val="BodyText1I"/>
    <w:basedOn w:val="8"/>
    <w:qFormat/>
    <w:uiPriority w:val="0"/>
    <w:pPr>
      <w:spacing w:after="120" w:line="240" w:lineRule="auto"/>
      <w:ind w:firstLine="420" w:firstLineChars="100"/>
      <w:jc w:val="both"/>
      <w:textAlignment w:val="baseline"/>
    </w:pPr>
    <w:rPr>
      <w:szCs w:val="24"/>
    </w:rPr>
  </w:style>
  <w:style w:type="paragraph" w:customStyle="1" w:styleId="8">
    <w:name w:val="BodyText"/>
    <w:basedOn w:val="1"/>
    <w:next w:val="1"/>
    <w:qFormat/>
    <w:uiPriority w:val="0"/>
    <w:pPr>
      <w:spacing w:after="120"/>
      <w:jc w:val="both"/>
      <w:textAlignment w:val="baseline"/>
    </w:pPr>
  </w:style>
  <w:style w:type="paragraph" w:customStyle="1" w:styleId="9">
    <w:name w:val="Table Paragraph"/>
    <w:basedOn w:val="1"/>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2026-06-22T02:19:00Z</dcterms:created>
  <dc:creator>柠檬仔</dc:creator>
  <cp:lastModifiedBy>柠檬仔</cp:lastModifiedBy>
  <dcterms:modified xsi:type="dcterms:W3CDTF">2026-06-22T02:20:20Z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E465BC6C30AC4D8B9754A73256877ADD_11</vt:lpwstr>
  </property>
  <property fmtid="{D5CDD505-2E9C-101B-9397-08002B2CF9AE}" pid="4" name="KSOTemplateDocerSaveRecord">
    <vt:lpwstr>eyJoZGlkIjoiZDc5Nzk3N2Q5OGJlYTg3ZTQ4NjhkODAzYmU2MWI1OWIiLCJ1c2VySWQiOiI0ODYzNzc3NjYifQ==</vt:lpwstr>
  </property>
</Properties>
</file>