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2022年阳江市合金材料与五金刀剪重点产业人才振兴计划专项资金项目（第二批）创新创业大赛专题拟立项项目及资金安排表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14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25"/>
        <w:gridCol w:w="5303"/>
        <w:gridCol w:w="1665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拟资助金额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阳江十八子刀剪制品有限公司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高端厨刀制备工艺优化及工业化生产试制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袁胜福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广东鼎宝科技有限公司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节能高效环保燃气烤炉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陈春勇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阳江鸿丰实业有限公司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基于智能交互的五金刀剪抛磨技术及装备产业化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陈世添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阳江市天骄家庭用品制造有限公司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粉末钢一体刀创新与智能制造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莫仕栋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广东凯利德科技有限公司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凯利德全球首创纯钛刀具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郑海发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阳春新钢铁有限责任公司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高强度热轧耐高温钢筋开发研究与应用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郝飞翔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广东科耐尔实业有限公司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新国风煅打菜刀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谭开运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广东新兴铸管有限公司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高强度高塑性薄壁离心球墨铸铁管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暴延强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阳江市森力实业有限公司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燃来味道网红炭烧铸铁燃烤炉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0F7743BE"/>
    <w:rsid w:val="0F7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2022-11-04T09:15:00Z</dcterms:created>
  <dc:creator>陈婉宁</dc:creator>
  <cp:lastModifiedBy>陈婉宁</cp:lastModifiedBy>
  <dcterms:modified xsi:type="dcterms:W3CDTF">2022-11-04T09:15:20Z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B277B5280BEE492A9FC44E70551E6968</vt:lpwstr>
  </property>
</Properties>
</file>