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04BC3E">
      <w:pPr>
        <w:spacing w:line="360" w:lineRule="auto"/>
        <w:jc w:val="center"/>
        <w:rPr>
          <w:rFonts w:ascii="Times New Roman" w:eastAsia="方正小标宋简体"/>
          <w:sz w:val="44"/>
          <w:szCs w:val="44"/>
        </w:rPr>
      </w:pPr>
      <w:r>
        <w:rPr>
          <w:rFonts w:hint="eastAsia" w:ascii="Times New Roman" w:eastAsia="方正小标宋简体"/>
          <w:sz w:val="44"/>
          <w:szCs w:val="44"/>
        </w:rPr>
        <w:t>部门整体支出绩效自评报告</w:t>
      </w:r>
    </w:p>
    <w:p w14:paraId="12AA06DB">
      <w:pPr>
        <w:spacing w:line="360" w:lineRule="auto"/>
        <w:jc w:val="center"/>
        <w:rPr>
          <w:rFonts w:ascii="Times New Roman"/>
          <w:szCs w:val="44"/>
        </w:rPr>
      </w:pPr>
    </w:p>
    <w:p w14:paraId="57A72075"/>
    <w:p w14:paraId="53ABCB24"/>
    <w:p w14:paraId="71E3A943"/>
    <w:p w14:paraId="5F7F8D51"/>
    <w:p w14:paraId="6AECAA82">
      <w:pPr>
        <w:ind w:firstLine="1823" w:firstLineChars="592"/>
      </w:pPr>
      <w:r>
        <w:rPr>
          <w:rFonts w:hint="eastAsia"/>
        </w:rPr>
        <w:t>部门名称（公章）：</w:t>
      </w:r>
      <w:r>
        <w:rPr>
          <w:rFonts w:hint="eastAsia" w:ascii="Times New Roman"/>
          <w:highlight w:val="none"/>
        </w:rPr>
        <w:t>阳江市教育局</w:t>
      </w:r>
    </w:p>
    <w:p w14:paraId="5AFD1471">
      <w:pPr>
        <w:ind w:firstLine="1823" w:firstLineChars="592"/>
      </w:pPr>
      <w:r>
        <w:rPr>
          <w:rFonts w:hint="eastAsia"/>
        </w:rPr>
        <w:t>填报人姓名：</w:t>
      </w:r>
      <w:r>
        <w:rPr>
          <w:rFonts w:hint="eastAsia"/>
          <w:lang w:eastAsia="zh-CN"/>
        </w:rPr>
        <w:t>张立飞</w:t>
      </w:r>
    </w:p>
    <w:p w14:paraId="210481E0">
      <w:pPr>
        <w:ind w:firstLine="1823" w:firstLineChars="592"/>
      </w:pPr>
      <w:r>
        <w:rPr>
          <w:rFonts w:hint="eastAsia"/>
        </w:rPr>
        <w:t>联系电话：</w:t>
      </w:r>
      <w:r>
        <w:rPr>
          <w:rFonts w:hint="eastAsia"/>
          <w:lang w:val="en-US" w:eastAsia="zh-CN"/>
        </w:rPr>
        <w:t>0662-3333501</w:t>
      </w:r>
    </w:p>
    <w:p w14:paraId="1E9FF3D0">
      <w:pPr>
        <w:ind w:firstLine="1823" w:firstLineChars="592"/>
      </w:pPr>
      <w:r>
        <w:rPr>
          <w:rFonts w:hint="eastAsia"/>
        </w:rPr>
        <w:t>填报日期：202</w:t>
      </w:r>
      <w:r>
        <w:rPr>
          <w:rFonts w:hint="eastAsia"/>
          <w:lang w:val="en-US" w:eastAsia="zh-CN"/>
        </w:rPr>
        <w:t>6</w:t>
      </w:r>
      <w:r>
        <w:rPr>
          <w:rFonts w:hint="eastAsia"/>
        </w:rPr>
        <w:t>年</w:t>
      </w:r>
      <w:r>
        <w:rPr>
          <w:rFonts w:hint="eastAsia"/>
          <w:lang w:val="en-US" w:eastAsia="zh-CN"/>
        </w:rPr>
        <w:t>6</w:t>
      </w:r>
      <w:r>
        <w:rPr>
          <w:rFonts w:hint="eastAsia"/>
        </w:rPr>
        <w:t>月</w:t>
      </w:r>
      <w:r>
        <w:rPr>
          <w:rFonts w:hint="eastAsia"/>
          <w:lang w:val="en-US" w:eastAsia="zh-CN"/>
        </w:rPr>
        <w:t>3</w:t>
      </w:r>
      <w:r>
        <w:rPr>
          <w:rFonts w:hint="eastAsia"/>
        </w:rPr>
        <w:t>日</w:t>
      </w:r>
    </w:p>
    <w:p w14:paraId="58117AA9"/>
    <w:p w14:paraId="45637ACB"/>
    <w:p w14:paraId="31021B9C"/>
    <w:p w14:paraId="0CFB4E04"/>
    <w:p w14:paraId="6727BD01">
      <w:pPr>
        <w:rPr>
          <w:rFonts w:hint="eastAsia"/>
        </w:rPr>
      </w:pPr>
      <w:r>
        <w:rPr>
          <w:rFonts w:hint="eastAsia"/>
        </w:rPr>
        <w:t xml:space="preserve">                    </w:t>
      </w:r>
    </w:p>
    <w:p w14:paraId="0D882D86">
      <w:pPr>
        <w:rPr>
          <w:rFonts w:hint="eastAsia"/>
        </w:rPr>
      </w:pPr>
    </w:p>
    <w:p w14:paraId="5E639CAD">
      <w:pPr>
        <w:rPr>
          <w:rFonts w:hint="eastAsia"/>
        </w:rPr>
      </w:pPr>
    </w:p>
    <w:p w14:paraId="02D36FCA">
      <w:pPr>
        <w:rPr>
          <w:rFonts w:hint="eastAsia"/>
        </w:rPr>
      </w:pPr>
    </w:p>
    <w:p w14:paraId="3BBECD20">
      <w:pPr>
        <w:jc w:val="center"/>
      </w:pPr>
      <w:r>
        <w:rPr>
          <w:rFonts w:hint="eastAsia"/>
        </w:rPr>
        <w:t>阳江市财政局制</w:t>
      </w:r>
    </w:p>
    <w:p w14:paraId="3A4B1A8F">
      <w:r>
        <w:rPr>
          <w:rFonts w:hint="eastAsia"/>
        </w:rPr>
        <w:t xml:space="preserve">                         </w:t>
      </w:r>
      <w:r>
        <w:rPr>
          <w:rFonts w:hint="eastAsia"/>
          <w:lang w:eastAsia="zh-CN"/>
        </w:rPr>
        <w:t>2026</w:t>
      </w:r>
      <w:r>
        <w:rPr>
          <w:rFonts w:hint="eastAsia"/>
        </w:rPr>
        <w:t>年</w:t>
      </w:r>
    </w:p>
    <w:p w14:paraId="51B6696D">
      <w:pPr>
        <w:keepNext w:val="0"/>
        <w:keepLines w:val="0"/>
        <w:pageBreakBefore w:val="0"/>
        <w:widowControl w:val="0"/>
        <w:kinsoku/>
        <w:wordWrap/>
        <w:overflowPunct/>
        <w:topLinePunct w:val="0"/>
        <w:autoSpaceDE/>
        <w:autoSpaceDN/>
        <w:bidi w:val="0"/>
        <w:adjustRightInd/>
        <w:snapToGrid/>
        <w:spacing w:line="540" w:lineRule="exact"/>
        <w:ind w:firstLine="616" w:firstLineChars="200"/>
        <w:textAlignment w:val="auto"/>
        <w:outlineLvl w:val="9"/>
        <w:rPr>
          <w:rFonts w:hint="eastAsia" w:ascii="Times New Roman" w:eastAsia="方正小标宋简体"/>
        </w:rPr>
      </w:pPr>
      <w:bookmarkStart w:id="0" w:name="_Toc8021_WPSOffice_Level2"/>
      <w:bookmarkStart w:id="1" w:name="_Toc28838"/>
    </w:p>
    <w:p w14:paraId="3640DB73">
      <w:pPr>
        <w:keepNext w:val="0"/>
        <w:keepLines w:val="0"/>
        <w:pageBreakBefore w:val="0"/>
        <w:widowControl w:val="0"/>
        <w:kinsoku/>
        <w:wordWrap/>
        <w:overflowPunct/>
        <w:topLinePunct w:val="0"/>
        <w:autoSpaceDE/>
        <w:autoSpaceDN/>
        <w:bidi w:val="0"/>
        <w:adjustRightInd/>
        <w:snapToGrid/>
        <w:spacing w:line="540" w:lineRule="exact"/>
        <w:ind w:firstLine="616" w:firstLineChars="200"/>
        <w:textAlignment w:val="auto"/>
        <w:outlineLvl w:val="9"/>
        <w:rPr>
          <w:ins w:id="0" w:author="yang" w:date="2026-06-11T11:20:53Z"/>
          <w:rFonts w:hint="eastAsia" w:ascii="Times New Roman" w:eastAsia="方正小标宋简体"/>
        </w:rPr>
      </w:pPr>
    </w:p>
    <w:p w14:paraId="3BEA92C9">
      <w:pPr>
        <w:keepNext w:val="0"/>
        <w:keepLines w:val="0"/>
        <w:pageBreakBefore w:val="0"/>
        <w:widowControl w:val="0"/>
        <w:kinsoku/>
        <w:wordWrap/>
        <w:overflowPunct/>
        <w:topLinePunct w:val="0"/>
        <w:autoSpaceDE/>
        <w:autoSpaceDN/>
        <w:bidi w:val="0"/>
        <w:adjustRightInd/>
        <w:snapToGrid/>
        <w:spacing w:line="540" w:lineRule="exact"/>
        <w:ind w:firstLine="616" w:firstLineChars="200"/>
        <w:textAlignment w:val="auto"/>
        <w:outlineLvl w:val="9"/>
        <w:rPr>
          <w:rFonts w:ascii="Times New Roman" w:eastAsia="方正小标宋简体"/>
        </w:rPr>
      </w:pPr>
      <w:bookmarkStart w:id="31" w:name="_GoBack"/>
      <w:bookmarkEnd w:id="31"/>
      <w:r>
        <w:rPr>
          <w:rFonts w:hint="eastAsia" w:ascii="Times New Roman" w:eastAsia="方正小标宋简体"/>
        </w:rPr>
        <w:t>一、部门基本情况</w:t>
      </w:r>
      <w:bookmarkEnd w:id="0"/>
      <w:bookmarkEnd w:id="1"/>
    </w:p>
    <w:p w14:paraId="5866FF2D">
      <w:pPr>
        <w:keepNext w:val="0"/>
        <w:keepLines w:val="0"/>
        <w:pageBreakBefore w:val="0"/>
        <w:widowControl w:val="0"/>
        <w:kinsoku/>
        <w:wordWrap/>
        <w:overflowPunct/>
        <w:topLinePunct w:val="0"/>
        <w:autoSpaceDE/>
        <w:autoSpaceDN/>
        <w:bidi w:val="0"/>
        <w:adjustRightInd/>
        <w:snapToGrid/>
        <w:spacing w:line="540" w:lineRule="exact"/>
        <w:ind w:firstLine="616" w:firstLineChars="200"/>
        <w:textAlignment w:val="auto"/>
        <w:outlineLvl w:val="9"/>
        <w:rPr>
          <w:rFonts w:ascii="Times New Roman" w:eastAsia="楷体_GB2312"/>
          <w:b/>
          <w:bCs/>
          <w:szCs w:val="32"/>
        </w:rPr>
      </w:pPr>
      <w:bookmarkStart w:id="2" w:name="_Toc30104"/>
      <w:bookmarkStart w:id="3" w:name="_Toc5988_WPSOffice_Level3"/>
      <w:bookmarkStart w:id="4" w:name="_Toc23683"/>
      <w:r>
        <w:rPr>
          <w:rFonts w:hint="eastAsia" w:ascii="Times New Roman" w:eastAsia="楷体_GB2312"/>
          <w:b/>
          <w:bCs/>
          <w:szCs w:val="32"/>
        </w:rPr>
        <w:t>（一）部门整体概况</w:t>
      </w:r>
      <w:bookmarkEnd w:id="2"/>
      <w:bookmarkEnd w:id="3"/>
      <w:bookmarkEnd w:id="4"/>
      <w:bookmarkStart w:id="5" w:name="_Toc18779"/>
    </w:p>
    <w:p w14:paraId="44C5C250">
      <w:pPr>
        <w:keepNext w:val="0"/>
        <w:keepLines w:val="0"/>
        <w:pageBreakBefore w:val="0"/>
        <w:widowControl w:val="0"/>
        <w:kinsoku/>
        <w:wordWrap/>
        <w:overflowPunct/>
        <w:topLinePunct w:val="0"/>
        <w:autoSpaceDE/>
        <w:autoSpaceDN/>
        <w:bidi w:val="0"/>
        <w:adjustRightInd/>
        <w:snapToGrid/>
        <w:spacing w:line="540" w:lineRule="exact"/>
        <w:ind w:firstLine="616" w:firstLineChars="200"/>
        <w:textAlignment w:val="auto"/>
        <w:outlineLvl w:val="9"/>
        <w:rPr>
          <w:rFonts w:hint="eastAsia" w:ascii="Times New Roman" w:hAnsi="Times New Roman" w:cs="仿宋_GB2312"/>
          <w:bCs/>
          <w:szCs w:val="32"/>
        </w:rPr>
      </w:pPr>
      <w:r>
        <w:rPr>
          <w:rFonts w:hint="eastAsia" w:ascii="Times New Roman" w:hAnsi="Times New Roman" w:cs="仿宋_GB2312"/>
          <w:bCs/>
          <w:szCs w:val="32"/>
        </w:rPr>
        <w:t>包括部门职能、</w:t>
      </w:r>
      <w:bookmarkEnd w:id="5"/>
      <w:r>
        <w:rPr>
          <w:rFonts w:hint="eastAsia" w:ascii="Times New Roman" w:hAnsi="Times New Roman" w:cs="仿宋_GB2312"/>
          <w:bCs/>
          <w:szCs w:val="32"/>
        </w:rPr>
        <w:t>内设机构构成、</w:t>
      </w:r>
      <w:bookmarkStart w:id="6" w:name="_Toc2082"/>
      <w:r>
        <w:rPr>
          <w:rFonts w:hint="eastAsia" w:ascii="Times New Roman" w:hAnsi="Times New Roman" w:cs="仿宋_GB2312"/>
          <w:bCs/>
          <w:szCs w:val="32"/>
        </w:rPr>
        <w:t>人员编制构成等基本情况。</w:t>
      </w:r>
      <w:bookmarkEnd w:id="6"/>
    </w:p>
    <w:p w14:paraId="6155C877">
      <w:pPr>
        <w:ind w:firstLine="616" w:firstLineChars="200"/>
        <w:rPr>
          <w:rFonts w:ascii="Times New Roman" w:hAnsi="Times New Roman" w:cs="仿宋_GB2312"/>
          <w:bCs/>
          <w:highlight w:val="none"/>
        </w:rPr>
      </w:pPr>
      <w:r>
        <w:rPr>
          <w:rFonts w:hint="eastAsia" w:ascii="Times New Roman" w:hAnsi="Times New Roman" w:cs="仿宋_GB2312"/>
          <w:bCs/>
          <w:highlight w:val="none"/>
        </w:rPr>
        <w:t>1. 部门职能</w:t>
      </w:r>
    </w:p>
    <w:p w14:paraId="23C908D3">
      <w:pPr>
        <w:ind w:firstLine="616" w:firstLineChars="200"/>
        <w:rPr>
          <w:rFonts w:ascii="Times New Roman" w:hAnsi="Times New Roman" w:cs="仿宋"/>
          <w:highlight w:val="none"/>
        </w:rPr>
      </w:pPr>
      <w:r>
        <w:rPr>
          <w:rFonts w:hint="eastAsia" w:ascii="Times New Roman" w:hAnsi="Times New Roman" w:cs="仿宋"/>
          <w:highlight w:val="none"/>
        </w:rPr>
        <w:t>（1）贯彻执行中央、省和市有关教育工作的方针政策和法律法规，起草有关地方性法规、规章草案和政策并组织实施。</w:t>
      </w:r>
    </w:p>
    <w:p w14:paraId="0243AC0A">
      <w:pPr>
        <w:ind w:firstLine="616" w:firstLineChars="200"/>
        <w:rPr>
          <w:rFonts w:ascii="Times New Roman" w:hAnsi="Times New Roman" w:cs="仿宋"/>
          <w:highlight w:val="none"/>
        </w:rPr>
      </w:pPr>
      <w:r>
        <w:rPr>
          <w:rFonts w:hint="eastAsia" w:ascii="Times New Roman" w:hAnsi="Times New Roman" w:cs="仿宋"/>
          <w:highlight w:val="none"/>
        </w:rPr>
        <w:t>（2）组织拟订教育改革与发展的规划和年度计划，提出教育体制改革的政策并组织实施，负责教育改革与发展的战略研究，会同有关部门规划、指导各级各类学校布局调整，负责教育事业相关数据的统计、分析和发布，指导教育系统审计工作。</w:t>
      </w:r>
    </w:p>
    <w:p w14:paraId="22FAF031">
      <w:pPr>
        <w:ind w:firstLine="616" w:firstLineChars="200"/>
        <w:rPr>
          <w:rFonts w:ascii="Times New Roman" w:hAnsi="Times New Roman" w:cs="仿宋"/>
          <w:highlight w:val="none"/>
        </w:rPr>
      </w:pPr>
      <w:r>
        <w:rPr>
          <w:rFonts w:hint="eastAsia" w:ascii="Times New Roman" w:hAnsi="Times New Roman" w:cs="仿宋"/>
          <w:highlight w:val="none"/>
        </w:rPr>
        <w:t>（3）负责市级教育经费的统筹管理，会同有关部门拟订筹措教育经费、教育拨款、教育基建投资、教育收费的政策，监督、统计各地教育财政拨款的投入、执行和使用情况，指导学校的基本建设和财务管理工作。</w:t>
      </w:r>
    </w:p>
    <w:p w14:paraId="71CC72D2">
      <w:pPr>
        <w:ind w:firstLine="616" w:firstLineChars="200"/>
        <w:rPr>
          <w:rFonts w:ascii="Times New Roman" w:hAnsi="Times New Roman" w:cs="仿宋"/>
          <w:highlight w:val="none"/>
        </w:rPr>
      </w:pPr>
      <w:r>
        <w:rPr>
          <w:rFonts w:hint="eastAsia" w:ascii="Times New Roman" w:hAnsi="Times New Roman" w:cs="仿宋"/>
          <w:highlight w:val="none"/>
        </w:rPr>
        <w:t>（4）综合管理义务教育、普通高中教育、学前教育和特殊教育、民族教育，负责推进义务教育均衡发展和促进教育公平，推进基础教育教学改革，全面实施素质教育。</w:t>
      </w:r>
    </w:p>
    <w:p w14:paraId="7CC176A7">
      <w:pPr>
        <w:ind w:firstLine="616" w:firstLineChars="200"/>
        <w:rPr>
          <w:rFonts w:ascii="Times New Roman" w:hAnsi="Times New Roman" w:cs="仿宋"/>
          <w:highlight w:val="none"/>
        </w:rPr>
      </w:pPr>
      <w:r>
        <w:rPr>
          <w:rFonts w:hint="eastAsia" w:ascii="Times New Roman" w:hAnsi="Times New Roman" w:cs="仿宋"/>
          <w:highlight w:val="none"/>
        </w:rPr>
        <w:t>（5）负责中等职业技术教育工作的统筹规划、综合协调和宏观管理，承担中等职业技术教育和成人教育相关管理工作，指导全市成人文化教育、社区教育、职工教育和农民文化技术教育工作。</w:t>
      </w:r>
    </w:p>
    <w:p w14:paraId="78448B83">
      <w:pPr>
        <w:ind w:firstLine="616" w:firstLineChars="200"/>
        <w:rPr>
          <w:rFonts w:ascii="Times New Roman" w:hAnsi="Times New Roman" w:cs="仿宋"/>
          <w:highlight w:val="none"/>
        </w:rPr>
      </w:pPr>
      <w:r>
        <w:rPr>
          <w:rFonts w:hint="eastAsia" w:ascii="Times New Roman" w:hAnsi="Times New Roman" w:cs="仿宋"/>
          <w:highlight w:val="none"/>
        </w:rPr>
        <w:t>（6）指导产学研结合等相关工作，指导学校开展奖学、助学和勤工俭学工作，指导学校后勤工作和校办产业工作。</w:t>
      </w:r>
    </w:p>
    <w:p w14:paraId="742689DB">
      <w:pPr>
        <w:ind w:firstLine="616" w:firstLineChars="200"/>
        <w:rPr>
          <w:rFonts w:ascii="Times New Roman" w:hAnsi="Times New Roman" w:cs="仿宋"/>
          <w:highlight w:val="none"/>
        </w:rPr>
      </w:pPr>
      <w:r>
        <w:rPr>
          <w:rFonts w:hint="eastAsia" w:ascii="Times New Roman" w:hAnsi="Times New Roman" w:cs="仿宋"/>
          <w:highlight w:val="none"/>
        </w:rPr>
        <w:t>（7）牵头负责监督检查各地和各级各类学校贯彻执行教育法律法规和方针政策的情况，负责督政、督学工作，依法组织教育执法，督导、检查各地履行教育职责和巩固提高“两基”工作，负责组织和指导对中等及中等以下教育的督导检查和验收工作，负责教育评估工作，对教育质量和办学水平进行检查、监测。</w:t>
      </w:r>
    </w:p>
    <w:p w14:paraId="315A8169">
      <w:pPr>
        <w:ind w:firstLine="616" w:firstLineChars="200"/>
        <w:rPr>
          <w:rFonts w:ascii="Times New Roman" w:hAnsi="Times New Roman" w:cs="仿宋"/>
          <w:highlight w:val="none"/>
        </w:rPr>
      </w:pPr>
      <w:r>
        <w:rPr>
          <w:rFonts w:hint="eastAsia" w:ascii="Times New Roman" w:hAnsi="Times New Roman" w:cs="仿宋"/>
          <w:highlight w:val="none"/>
        </w:rPr>
        <w:t>（8）指导各级各类学校教育教学研究和改革，指导各类学校专业建设、课程建设和教材建设，规划、指导教育信息化工作，指导学校电化教育、教育技术装备、实验室和图书馆建设，组织审定教材和教学用书及资料，负责教育系统政府采购监管工作。</w:t>
      </w:r>
    </w:p>
    <w:p w14:paraId="6823BC27">
      <w:pPr>
        <w:ind w:firstLine="647"/>
        <w:rPr>
          <w:rFonts w:ascii="Times New Roman" w:hAnsi="Times New Roman" w:cs="仿宋"/>
          <w:highlight w:val="none"/>
        </w:rPr>
      </w:pPr>
      <w:r>
        <w:rPr>
          <w:rFonts w:hint="eastAsia" w:ascii="Times New Roman" w:hAnsi="Times New Roman" w:cs="仿宋"/>
          <w:highlight w:val="none"/>
        </w:rPr>
        <w:t>（9）指导教育考试招生工作和各类学校学生学籍管理工作，参与拟订有关中等职业学校毕业生就业创业政策和计划工作。</w:t>
      </w:r>
    </w:p>
    <w:p w14:paraId="61549FA5">
      <w:pPr>
        <w:ind w:firstLine="647"/>
        <w:rPr>
          <w:rFonts w:ascii="Times New Roman" w:hAnsi="Times New Roman" w:cs="仿宋"/>
          <w:highlight w:val="none"/>
        </w:rPr>
      </w:pPr>
      <w:r>
        <w:rPr>
          <w:rFonts w:hint="eastAsia" w:ascii="Times New Roman" w:hAnsi="Times New Roman" w:cs="仿宋"/>
          <w:highlight w:val="none"/>
        </w:rPr>
        <w:t>（10）主管全省教师工作，指导实施各级各类教师资格制度，规划、指导各级各类学校教师和教育行政干部队伍建设工作，指导教育系统人事制度改革等工作。</w:t>
      </w:r>
    </w:p>
    <w:p w14:paraId="47BB0497">
      <w:pPr>
        <w:ind w:firstLine="616" w:firstLineChars="200"/>
        <w:rPr>
          <w:rFonts w:ascii="Times New Roman" w:hAnsi="Times New Roman" w:cs="仿宋"/>
          <w:highlight w:val="none"/>
        </w:rPr>
      </w:pPr>
      <w:r>
        <w:rPr>
          <w:rFonts w:hint="eastAsia" w:ascii="Times New Roman" w:hAnsi="Times New Roman" w:cs="仿宋"/>
          <w:highlight w:val="none"/>
        </w:rPr>
        <w:t>（11）统筹规划、综合协调和管理各级各类民办教育，规范民办教育办学秩序，促进民办教育事业健康发展。</w:t>
      </w:r>
    </w:p>
    <w:p w14:paraId="249AE294">
      <w:pPr>
        <w:ind w:firstLine="616" w:firstLineChars="200"/>
        <w:rPr>
          <w:rFonts w:ascii="Times New Roman" w:hAnsi="Times New Roman" w:cs="仿宋"/>
          <w:highlight w:val="none"/>
        </w:rPr>
      </w:pPr>
      <w:r>
        <w:rPr>
          <w:rFonts w:hint="eastAsia" w:ascii="Times New Roman" w:hAnsi="Times New Roman" w:cs="仿宋"/>
          <w:highlight w:val="none"/>
        </w:rPr>
        <w:t>（12）规划、指导、组织教育对外交流与合作。</w:t>
      </w:r>
    </w:p>
    <w:p w14:paraId="674177D2">
      <w:pPr>
        <w:ind w:firstLine="616" w:firstLineChars="200"/>
        <w:rPr>
          <w:rFonts w:ascii="Times New Roman" w:hAnsi="Times New Roman" w:cs="仿宋"/>
          <w:highlight w:val="none"/>
        </w:rPr>
      </w:pPr>
      <w:r>
        <w:rPr>
          <w:rFonts w:hint="eastAsia" w:ascii="Times New Roman" w:hAnsi="Times New Roman" w:cs="仿宋"/>
          <w:highlight w:val="none"/>
        </w:rPr>
        <w:t>（13）规划、指导推广普通话和文字规范工作。</w:t>
      </w:r>
    </w:p>
    <w:p w14:paraId="13B13A96">
      <w:pPr>
        <w:ind w:firstLine="616" w:firstLineChars="200"/>
        <w:rPr>
          <w:rFonts w:ascii="Times New Roman" w:hAnsi="Times New Roman" w:cs="仿宋"/>
          <w:highlight w:val="none"/>
        </w:rPr>
      </w:pPr>
      <w:r>
        <w:rPr>
          <w:rFonts w:hint="eastAsia" w:ascii="Times New Roman" w:hAnsi="Times New Roman" w:cs="仿宋"/>
          <w:highlight w:val="none"/>
        </w:rPr>
        <w:t>（14）规划、指导学校党的基层组织建设、党员教育管理等党建工作。</w:t>
      </w:r>
    </w:p>
    <w:p w14:paraId="2CE4A1E0">
      <w:pPr>
        <w:ind w:firstLine="616" w:firstLineChars="200"/>
        <w:rPr>
          <w:rFonts w:ascii="Times New Roman" w:hAnsi="Times New Roman" w:cs="仿宋"/>
          <w:highlight w:val="none"/>
        </w:rPr>
      </w:pPr>
      <w:r>
        <w:rPr>
          <w:rFonts w:hint="eastAsia" w:ascii="Times New Roman" w:hAnsi="Times New Roman" w:cs="仿宋"/>
          <w:highlight w:val="none"/>
        </w:rPr>
        <w:t>（15）指导各级各类学校的思想政治工作、德育教育、体育卫生与艺术教育、国防教育和宣传工作，指导学校的安全、稳定和保卫工作。</w:t>
      </w:r>
    </w:p>
    <w:p w14:paraId="1DC15839">
      <w:pPr>
        <w:ind w:firstLine="616" w:firstLineChars="200"/>
        <w:rPr>
          <w:rFonts w:ascii="Times New Roman" w:hAnsi="Times New Roman" w:cs="仿宋_GB2312"/>
          <w:bCs/>
          <w:highlight w:val="none"/>
        </w:rPr>
      </w:pPr>
      <w:r>
        <w:rPr>
          <w:rFonts w:hint="eastAsia" w:ascii="Times New Roman" w:hAnsi="Times New Roman" w:cs="仿宋"/>
          <w:highlight w:val="none"/>
        </w:rPr>
        <w:t>（16）承办市委、市政府和上级教育部门交办的其他事项。</w:t>
      </w:r>
    </w:p>
    <w:p w14:paraId="3B458637">
      <w:pPr>
        <w:ind w:firstLine="616" w:firstLineChars="200"/>
        <w:rPr>
          <w:rFonts w:ascii="Times New Roman" w:hAnsi="Times New Roman" w:cs="仿宋_GB2312"/>
          <w:bCs/>
          <w:highlight w:val="none"/>
        </w:rPr>
      </w:pPr>
      <w:r>
        <w:rPr>
          <w:rFonts w:hint="eastAsia" w:ascii="Times New Roman" w:hAnsi="Times New Roman" w:cs="仿宋_GB2312"/>
          <w:bCs/>
          <w:highlight w:val="none"/>
        </w:rPr>
        <w:t>2. 内设机构构成</w:t>
      </w:r>
    </w:p>
    <w:p w14:paraId="781258BA">
      <w:pPr>
        <w:ind w:firstLine="616" w:firstLineChars="200"/>
        <w:rPr>
          <w:rFonts w:ascii="Times New Roman" w:hAnsi="Times New Roman" w:cs="仿宋_GB2312"/>
          <w:bCs/>
          <w:highlight w:val="none"/>
        </w:rPr>
      </w:pPr>
      <w:r>
        <w:rPr>
          <w:rFonts w:hint="eastAsia" w:ascii="Times New Roman" w:hAnsi="Times New Roman" w:cs="仿宋"/>
          <w:highlight w:val="none"/>
        </w:rPr>
        <w:t>阳江市教育局（市委教育工作领导小组办公室、市委教育工作委员会）设</w:t>
      </w:r>
      <w:r>
        <w:rPr>
          <w:rFonts w:hint="eastAsia" w:ascii="Times New Roman" w:hAnsi="Times New Roman" w:cs="仿宋"/>
          <w:highlight w:val="none"/>
          <w:lang w:val="en-US" w:eastAsia="zh-CN"/>
        </w:rPr>
        <w:t>10</w:t>
      </w:r>
      <w:r>
        <w:rPr>
          <w:rFonts w:hint="eastAsia" w:ascii="Times New Roman" w:hAnsi="Times New Roman" w:cs="仿宋"/>
          <w:highlight w:val="none"/>
        </w:rPr>
        <w:t>个科室，分别是秘书科(秘书科不在市教育局内设机构排列序号，但计入市教育局科室总数，日常事务由市教育局代管)、办公室（市语言文字工作委员会办公室）、</w:t>
      </w:r>
      <w:r>
        <w:rPr>
          <w:rFonts w:hint="eastAsia" w:ascii="Times New Roman" w:hAnsi="Times New Roman" w:cs="仿宋"/>
          <w:highlight w:val="none"/>
          <w:lang w:eastAsia="zh-CN"/>
        </w:rPr>
        <w:t>计划</w:t>
      </w:r>
      <w:r>
        <w:rPr>
          <w:rFonts w:hint="eastAsia" w:ascii="Times New Roman" w:hAnsi="Times New Roman" w:cs="仿宋"/>
          <w:highlight w:val="none"/>
        </w:rPr>
        <w:t>财务科(加挂审计室和学生助学工作管理办公室)、基础教育科、职业与成人教育科</w:t>
      </w:r>
      <w:r>
        <w:rPr>
          <w:rFonts w:hint="eastAsia" w:ascii="Times New Roman" w:hAnsi="Times New Roman" w:cs="仿宋"/>
          <w:highlight w:val="none"/>
          <w:lang w:eastAsia="zh-CN"/>
        </w:rPr>
        <w:t>（加挂监管科）</w:t>
      </w:r>
      <w:r>
        <w:rPr>
          <w:rFonts w:hint="eastAsia" w:ascii="Times New Roman" w:hAnsi="Times New Roman" w:cs="仿宋"/>
          <w:highlight w:val="none"/>
        </w:rPr>
        <w:t>、思想政治教育科、安全保卫科</w:t>
      </w:r>
      <w:r>
        <w:rPr>
          <w:rFonts w:hint="eastAsia" w:ascii="Times New Roman" w:hAnsi="Times New Roman" w:cs="仿宋"/>
          <w:highlight w:val="none"/>
          <w:lang w:eastAsia="zh-CN"/>
        </w:rPr>
        <w:t>、</w:t>
      </w:r>
      <w:r>
        <w:rPr>
          <w:rFonts w:hint="eastAsia" w:ascii="Times New Roman" w:hAnsi="Times New Roman" w:cs="仿宋"/>
          <w:highlight w:val="none"/>
        </w:rPr>
        <w:t>体育卫生与艺术教育科、人事科（加挂行政审批科）、教育督导室（加挂市人民政府教育督导室）。</w:t>
      </w:r>
    </w:p>
    <w:p w14:paraId="03295B11">
      <w:pPr>
        <w:ind w:firstLine="616" w:firstLineChars="200"/>
        <w:rPr>
          <w:rFonts w:ascii="Times New Roman" w:hAnsi="Times New Roman" w:cs="仿宋_GB2312"/>
          <w:bCs/>
          <w:highlight w:val="none"/>
        </w:rPr>
      </w:pPr>
      <w:r>
        <w:rPr>
          <w:rFonts w:hint="eastAsia" w:ascii="Times New Roman" w:hAnsi="Times New Roman" w:cs="仿宋_GB2312"/>
          <w:bCs/>
          <w:highlight w:val="none"/>
        </w:rPr>
        <w:t>3.人员编制构成</w:t>
      </w:r>
    </w:p>
    <w:p w14:paraId="6E6B9EA6">
      <w:pPr>
        <w:keepNext w:val="0"/>
        <w:keepLines w:val="0"/>
        <w:pageBreakBefore w:val="0"/>
        <w:widowControl w:val="0"/>
        <w:kinsoku/>
        <w:wordWrap/>
        <w:overflowPunct/>
        <w:topLinePunct w:val="0"/>
        <w:autoSpaceDE/>
        <w:autoSpaceDN/>
        <w:bidi w:val="0"/>
        <w:adjustRightInd/>
        <w:snapToGrid/>
        <w:spacing w:line="540" w:lineRule="exact"/>
        <w:ind w:firstLine="616" w:firstLineChars="200"/>
        <w:textAlignment w:val="auto"/>
        <w:outlineLvl w:val="9"/>
        <w:rPr>
          <w:rFonts w:hint="eastAsia" w:ascii="Times New Roman" w:hAnsi="Times New Roman" w:cs="仿宋_GB2312"/>
          <w:bCs/>
          <w:szCs w:val="32"/>
        </w:rPr>
      </w:pPr>
      <w:r>
        <w:rPr>
          <w:rFonts w:hint="eastAsia" w:ascii="Times New Roman" w:hAnsi="Times New Roman" w:cs="仿宋"/>
          <w:highlight w:val="none"/>
        </w:rPr>
        <w:t>阳江市教育局</w:t>
      </w:r>
      <w:r>
        <w:rPr>
          <w:rFonts w:hint="eastAsia" w:ascii="Times New Roman" w:hAnsi="Times New Roman" w:cs="仿宋"/>
          <w:highlight w:val="none"/>
          <w:lang w:eastAsia="zh-CN"/>
        </w:rPr>
        <w:t>公务员</w:t>
      </w:r>
      <w:r>
        <w:rPr>
          <w:rFonts w:hint="eastAsia" w:ascii="Times New Roman" w:hAnsi="Times New Roman" w:cs="仿宋"/>
          <w:highlight w:val="none"/>
        </w:rPr>
        <w:t>编制2</w:t>
      </w:r>
      <w:r>
        <w:rPr>
          <w:rFonts w:hint="eastAsia" w:ascii="Times New Roman" w:hAnsi="Times New Roman" w:cs="仿宋"/>
          <w:highlight w:val="none"/>
          <w:lang w:val="en-US" w:eastAsia="zh-CN"/>
        </w:rPr>
        <w:t>7</w:t>
      </w:r>
      <w:r>
        <w:rPr>
          <w:rFonts w:hint="eastAsia" w:ascii="Times New Roman" w:hAnsi="Times New Roman" w:cs="仿宋"/>
          <w:highlight w:val="none"/>
        </w:rPr>
        <w:t>名、参照公务员法管理人员</w:t>
      </w:r>
      <w:r>
        <w:rPr>
          <w:rFonts w:hint="eastAsia" w:ascii="Times New Roman" w:hAnsi="Times New Roman" w:cs="仿宋"/>
          <w:highlight w:val="none"/>
          <w:lang w:val="en-US" w:eastAsia="zh-CN"/>
        </w:rPr>
        <w:t>13名、机关和事业工人5名。</w:t>
      </w:r>
      <w:r>
        <w:rPr>
          <w:rFonts w:hint="eastAsia" w:ascii="Times New Roman" w:hAnsi="Times New Roman" w:cs="仿宋"/>
          <w:highlight w:val="none"/>
        </w:rPr>
        <w:t>设局长1名，副局长4名，正科级领导职数11名（含机关党委专职副书记1名），副科级领导职数4名。</w:t>
      </w:r>
      <w:r>
        <w:rPr>
          <w:rFonts w:hint="eastAsia" w:ascii="Times New Roman" w:hAnsi="Times New Roman" w:cs="仿宋"/>
          <w:highlight w:val="none"/>
          <w:lang w:eastAsia="zh-CN"/>
        </w:rPr>
        <w:t>另直管下属两个事业单位，</w:t>
      </w:r>
      <w:r>
        <w:rPr>
          <w:rFonts w:hint="eastAsia" w:ascii="Times New Roman" w:hAnsi="Times New Roman" w:cs="仿宋"/>
          <w:highlight w:val="none"/>
          <w:lang w:val="en-US" w:eastAsia="zh-CN"/>
        </w:rPr>
        <w:t>事业管理人员和专业技术人员41名。</w:t>
      </w:r>
    </w:p>
    <w:p w14:paraId="62F59566">
      <w:pPr>
        <w:keepNext w:val="0"/>
        <w:keepLines w:val="0"/>
        <w:pageBreakBefore w:val="0"/>
        <w:widowControl w:val="0"/>
        <w:kinsoku/>
        <w:wordWrap/>
        <w:overflowPunct/>
        <w:topLinePunct w:val="0"/>
        <w:autoSpaceDE/>
        <w:autoSpaceDN/>
        <w:bidi w:val="0"/>
        <w:adjustRightInd/>
        <w:snapToGrid/>
        <w:spacing w:line="540" w:lineRule="exact"/>
        <w:ind w:firstLine="616" w:firstLineChars="200"/>
        <w:textAlignment w:val="auto"/>
        <w:outlineLvl w:val="9"/>
        <w:rPr>
          <w:rFonts w:ascii="Times New Roman" w:eastAsia="楷体_GB2312"/>
          <w:b/>
          <w:bCs/>
          <w:szCs w:val="32"/>
        </w:rPr>
      </w:pPr>
      <w:bookmarkStart w:id="7" w:name="_Toc14936_WPSOffice_Level2"/>
      <w:bookmarkStart w:id="8" w:name="_Toc25996"/>
      <w:r>
        <w:rPr>
          <w:rFonts w:hint="eastAsia" w:ascii="Times New Roman" w:eastAsia="楷体_GB2312"/>
          <w:b/>
          <w:bCs/>
          <w:szCs w:val="32"/>
        </w:rPr>
        <w:t>（二）年度总体工作和重点工作任务</w:t>
      </w:r>
      <w:bookmarkEnd w:id="7"/>
      <w:bookmarkEnd w:id="8"/>
    </w:p>
    <w:p w14:paraId="426092DB">
      <w:pPr>
        <w:keepNext w:val="0"/>
        <w:keepLines w:val="0"/>
        <w:pageBreakBefore w:val="0"/>
        <w:widowControl w:val="0"/>
        <w:kinsoku/>
        <w:wordWrap/>
        <w:overflowPunct/>
        <w:topLinePunct w:val="0"/>
        <w:autoSpaceDE/>
        <w:autoSpaceDN/>
        <w:bidi w:val="0"/>
        <w:adjustRightInd/>
        <w:snapToGrid/>
        <w:spacing w:line="540" w:lineRule="exact"/>
        <w:ind w:firstLine="616" w:firstLineChars="200"/>
        <w:textAlignment w:val="auto"/>
        <w:outlineLvl w:val="9"/>
        <w:rPr>
          <w:rFonts w:hint="eastAsia" w:ascii="Times New Roman" w:hAnsi="Times New Roman" w:cs="仿宋_GB2312"/>
          <w:bCs/>
          <w:szCs w:val="32"/>
        </w:rPr>
      </w:pPr>
      <w:r>
        <w:rPr>
          <w:rStyle w:val="10"/>
          <w:rFonts w:hint="eastAsia" w:ascii="Times New Roman" w:hAnsi="Times New Roman" w:cs="Times New Roman"/>
          <w:b w:val="0"/>
          <w:i w:val="0"/>
          <w:caps w:val="0"/>
          <w:color w:val="auto"/>
          <w:spacing w:val="0"/>
          <w:w w:val="100"/>
          <w:kern w:val="21"/>
          <w:sz w:val="32"/>
          <w:szCs w:val="32"/>
          <w:lang w:val="en-US" w:eastAsia="zh-CN" w:bidi="ar-SA"/>
        </w:rPr>
        <w:t>2025年</w:t>
      </w:r>
      <w:r>
        <w:rPr>
          <w:rStyle w:val="10"/>
          <w:rFonts w:hint="default" w:ascii="Times New Roman" w:hAnsi="Times New Roman" w:eastAsia="仿宋_GB2312" w:cs="Times New Roman"/>
          <w:b w:val="0"/>
          <w:i w:val="0"/>
          <w:caps w:val="0"/>
          <w:color w:val="auto"/>
          <w:spacing w:val="0"/>
          <w:w w:val="100"/>
          <w:kern w:val="21"/>
          <w:sz w:val="32"/>
          <w:szCs w:val="32"/>
          <w:lang w:val="en-US" w:eastAsia="zh-CN" w:bidi="ar-SA"/>
        </w:rPr>
        <w:t>是实现“十四五”规划目标任务的</w:t>
      </w:r>
      <w:r>
        <w:rPr>
          <w:rStyle w:val="10"/>
          <w:rFonts w:hint="eastAsia" w:ascii="Times New Roman" w:hAnsi="Times New Roman" w:eastAsia="仿宋_GB2312" w:cs="Times New Roman"/>
          <w:b w:val="0"/>
          <w:i w:val="0"/>
          <w:caps w:val="0"/>
          <w:color w:val="auto"/>
          <w:spacing w:val="0"/>
          <w:w w:val="100"/>
          <w:kern w:val="21"/>
          <w:sz w:val="32"/>
          <w:szCs w:val="32"/>
          <w:lang w:val="en-US" w:eastAsia="zh-CN" w:bidi="ar-SA"/>
        </w:rPr>
        <w:t>收官之</w:t>
      </w:r>
      <w:r>
        <w:rPr>
          <w:rStyle w:val="10"/>
          <w:rFonts w:hint="default" w:ascii="Times New Roman" w:hAnsi="Times New Roman" w:eastAsia="仿宋_GB2312" w:cs="Times New Roman"/>
          <w:b w:val="0"/>
          <w:i w:val="0"/>
          <w:caps w:val="0"/>
          <w:color w:val="auto"/>
          <w:spacing w:val="0"/>
          <w:w w:val="100"/>
          <w:kern w:val="21"/>
          <w:sz w:val="32"/>
          <w:szCs w:val="32"/>
          <w:lang w:val="en-US" w:eastAsia="zh-CN" w:bidi="ar-SA"/>
        </w:rPr>
        <w:t>年</w:t>
      </w:r>
      <w:r>
        <w:rPr>
          <w:rStyle w:val="10"/>
          <w:rFonts w:hint="eastAsia" w:ascii="Times New Roman" w:hAnsi="Times New Roman" w:cs="Times New Roman"/>
          <w:b w:val="0"/>
          <w:i w:val="0"/>
          <w:caps w:val="0"/>
          <w:color w:val="auto"/>
          <w:spacing w:val="0"/>
          <w:w w:val="100"/>
          <w:kern w:val="21"/>
          <w:sz w:val="32"/>
          <w:szCs w:val="32"/>
          <w:lang w:val="en-US" w:eastAsia="zh-CN" w:bidi="ar-SA"/>
        </w:rPr>
        <w:t>，</w:t>
      </w:r>
      <w:r>
        <w:rPr>
          <w:rStyle w:val="10"/>
          <w:rFonts w:hint="default" w:ascii="Times New Roman" w:hAnsi="Times New Roman" w:eastAsia="仿宋_GB2312" w:cs="Times New Roman"/>
          <w:b w:val="0"/>
          <w:i w:val="0"/>
          <w:caps w:val="0"/>
          <w:color w:val="auto"/>
          <w:spacing w:val="0"/>
          <w:w w:val="100"/>
          <w:kern w:val="21"/>
          <w:sz w:val="32"/>
          <w:szCs w:val="32"/>
          <w:lang w:val="en-US" w:eastAsia="zh-CN" w:bidi="ar-SA"/>
        </w:rPr>
        <w:t>在市委、市政府的坚强领导下，我局始终坚持以习近平新时代中国特色社会主义思想为指导，深入贯彻党的二十大和二十届三中全会精神，认真贯彻落实全国和省、市教育大会精神，学习贯彻市委八届六次全会精神，全面落实省委“1310”具体部署和市委“433”工作安排，紧紧围绕重点工作任务，实施“科教兴市工程”，推进基础教育优质均衡发展，推动民生实事建设，推进教育高质量发展，取得显著成效。</w:t>
      </w:r>
      <w:r>
        <w:rPr>
          <w:rStyle w:val="10"/>
          <w:rFonts w:hint="eastAsia" w:ascii="Times New Roman" w:hAnsi="Times New Roman" w:eastAsia="仿宋_GB2312" w:cs="Times New Roman"/>
          <w:b w:val="0"/>
          <w:i w:val="0"/>
          <w:caps w:val="0"/>
          <w:color w:val="auto"/>
          <w:spacing w:val="0"/>
          <w:w w:val="100"/>
          <w:kern w:val="21"/>
          <w:sz w:val="32"/>
          <w:szCs w:val="32"/>
          <w:lang w:val="en-US" w:eastAsia="zh-CN" w:bidi="ar-SA"/>
        </w:rPr>
        <w:t>紧紧围绕十四五规划，202</w:t>
      </w:r>
      <w:r>
        <w:rPr>
          <w:rStyle w:val="10"/>
          <w:rFonts w:hint="eastAsia" w:ascii="Times New Roman" w:hAnsi="Times New Roman" w:cs="Times New Roman"/>
          <w:b w:val="0"/>
          <w:i w:val="0"/>
          <w:caps w:val="0"/>
          <w:color w:val="auto"/>
          <w:spacing w:val="0"/>
          <w:w w:val="100"/>
          <w:kern w:val="21"/>
          <w:sz w:val="32"/>
          <w:szCs w:val="32"/>
          <w:lang w:val="en-US" w:eastAsia="zh-CN" w:bidi="ar-SA"/>
        </w:rPr>
        <w:t>5</w:t>
      </w:r>
      <w:r>
        <w:rPr>
          <w:rStyle w:val="10"/>
          <w:rFonts w:hint="eastAsia" w:ascii="Times New Roman" w:hAnsi="Times New Roman" w:eastAsia="仿宋_GB2312" w:cs="Times New Roman"/>
          <w:b w:val="0"/>
          <w:i w:val="0"/>
          <w:caps w:val="0"/>
          <w:color w:val="auto"/>
          <w:spacing w:val="0"/>
          <w:w w:val="100"/>
          <w:kern w:val="21"/>
          <w:sz w:val="32"/>
          <w:szCs w:val="32"/>
          <w:lang w:val="en-US" w:eastAsia="zh-CN" w:bidi="ar-SA"/>
        </w:rPr>
        <w:t>年重点落实</w:t>
      </w:r>
      <w:r>
        <w:rPr>
          <w:rStyle w:val="10"/>
          <w:rFonts w:hint="eastAsia" w:ascii="Times New Roman" w:hAnsi="Times New Roman" w:cs="Times New Roman"/>
          <w:b w:val="0"/>
          <w:i w:val="0"/>
          <w:caps w:val="0"/>
          <w:color w:val="auto"/>
          <w:spacing w:val="0"/>
          <w:w w:val="100"/>
          <w:kern w:val="21"/>
          <w:sz w:val="32"/>
          <w:szCs w:val="32"/>
          <w:lang w:val="en-US" w:eastAsia="zh-CN" w:bidi="ar-SA"/>
        </w:rPr>
        <w:t>了</w:t>
      </w:r>
      <w:r>
        <w:rPr>
          <w:rStyle w:val="10"/>
          <w:rFonts w:hint="eastAsia" w:ascii="Times New Roman" w:hAnsi="Times New Roman" w:eastAsia="仿宋_GB2312" w:cs="Times New Roman"/>
          <w:b w:val="0"/>
          <w:i w:val="0"/>
          <w:caps w:val="0"/>
          <w:color w:val="auto"/>
          <w:spacing w:val="0"/>
          <w:w w:val="100"/>
          <w:kern w:val="21"/>
          <w:sz w:val="32"/>
          <w:szCs w:val="32"/>
          <w:lang w:val="en-US" w:eastAsia="zh-CN" w:bidi="ar-SA"/>
        </w:rPr>
        <w:t>以下工作：</w:t>
      </w:r>
      <w:r>
        <w:rPr>
          <w:rStyle w:val="10"/>
          <w:rFonts w:hint="eastAsia" w:ascii="Times New Roman" w:hAnsi="Times New Roman" w:eastAsia="仿宋_GB2312" w:cs="Times New Roman"/>
          <w:b/>
          <w:bCs/>
          <w:i w:val="0"/>
          <w:caps w:val="0"/>
          <w:color w:val="auto"/>
          <w:spacing w:val="0"/>
          <w:w w:val="100"/>
          <w:kern w:val="21"/>
          <w:sz w:val="32"/>
          <w:szCs w:val="32"/>
          <w:lang w:val="en-US" w:eastAsia="zh-CN" w:bidi="ar-SA"/>
        </w:rPr>
        <w:t>一</w:t>
      </w:r>
      <w:r>
        <w:rPr>
          <w:rStyle w:val="10"/>
          <w:rFonts w:hint="eastAsia" w:ascii="Times New Roman" w:hAnsi="Times New Roman" w:cs="Times New Roman"/>
          <w:b/>
          <w:bCs/>
          <w:i w:val="0"/>
          <w:caps w:val="0"/>
          <w:color w:val="auto"/>
          <w:spacing w:val="0"/>
          <w:w w:val="100"/>
          <w:kern w:val="21"/>
          <w:sz w:val="32"/>
          <w:szCs w:val="32"/>
          <w:lang w:val="en-US" w:eastAsia="zh-CN" w:bidi="ar-SA"/>
        </w:rPr>
        <w:t>是</w:t>
      </w:r>
      <w:r>
        <w:rPr>
          <w:rStyle w:val="10"/>
          <w:rFonts w:hint="eastAsia" w:ascii="Times New Roman" w:hAnsi="Times New Roman" w:eastAsia="仿宋_GB2312" w:cs="Times New Roman"/>
          <w:b w:val="0"/>
          <w:i w:val="0"/>
          <w:caps w:val="0"/>
          <w:color w:val="auto"/>
          <w:spacing w:val="0"/>
          <w:w w:val="100"/>
          <w:kern w:val="21"/>
          <w:sz w:val="32"/>
          <w:szCs w:val="32"/>
          <w:lang w:val="en-US" w:eastAsia="zh-CN" w:bidi="ar-SA"/>
        </w:rPr>
        <w:t>坚持党建引领，全面夯实党的领导，筑牢教育高质量发展根基。</w:t>
      </w:r>
      <w:r>
        <w:rPr>
          <w:rFonts w:hint="default" w:ascii="Times New Roman" w:hAnsi="Times New Roman" w:eastAsia="仿宋_GB2312" w:cs="Times New Roman"/>
          <w:color w:val="auto"/>
          <w:sz w:val="32"/>
          <w:szCs w:val="32"/>
          <w:highlight w:val="none"/>
        </w:rPr>
        <w:t>严格落实“第一议题”制度</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深入学习贯彻党的二十届四中全会精神、习近平总书记视察</w:t>
      </w:r>
      <w:r>
        <w:rPr>
          <w:rFonts w:hint="default" w:ascii="Times New Roman" w:hAnsi="Times New Roman" w:eastAsia="仿宋_GB2312" w:cs="Times New Roman"/>
          <w:color w:val="auto"/>
          <w:sz w:val="32"/>
          <w:szCs w:val="32"/>
          <w:highlight w:val="none"/>
        </w:rPr>
        <w:t>广东</w:t>
      </w:r>
      <w:r>
        <w:rPr>
          <w:rFonts w:hint="default" w:ascii="Times New Roman" w:hAnsi="Times New Roman" w:eastAsia="仿宋_GB2312" w:cs="Times New Roman"/>
          <w:color w:val="auto"/>
          <w:sz w:val="32"/>
          <w:szCs w:val="32"/>
          <w:highlight w:val="none"/>
          <w:lang w:val="en-US" w:eastAsia="zh-CN"/>
        </w:rPr>
        <w:t>和出席第十五届全国运动会开幕式重要讲话重要指示等精神，局党组</w:t>
      </w:r>
      <w:r>
        <w:rPr>
          <w:rFonts w:hint="default" w:ascii="Times New Roman" w:hAnsi="Times New Roman" w:eastAsia="仿宋_GB2312" w:cs="Times New Roman"/>
          <w:color w:val="auto"/>
          <w:sz w:val="32"/>
          <w:szCs w:val="32"/>
          <w:highlight w:val="none"/>
        </w:rPr>
        <w:t>全年学习政治要件</w:t>
      </w:r>
      <w:r>
        <w:rPr>
          <w:rFonts w:hint="default" w:ascii="Times New Roman" w:hAnsi="Times New Roman" w:eastAsia="仿宋_GB2312" w:cs="Times New Roman"/>
          <w:color w:val="auto"/>
          <w:sz w:val="32"/>
          <w:szCs w:val="32"/>
          <w:highlight w:val="none"/>
          <w:lang w:val="en-US" w:eastAsia="zh-CN"/>
        </w:rPr>
        <w:t>48</w:t>
      </w:r>
      <w:r>
        <w:rPr>
          <w:rFonts w:hint="default" w:ascii="Times New Roman" w:hAnsi="Times New Roman" w:eastAsia="仿宋_GB2312" w:cs="Times New Roman"/>
          <w:color w:val="auto"/>
          <w:sz w:val="32"/>
          <w:szCs w:val="32"/>
          <w:highlight w:val="none"/>
        </w:rPr>
        <w:t>件</w:t>
      </w:r>
      <w:r>
        <w:rPr>
          <w:rFonts w:hint="default" w:ascii="Times New Roman" w:hAnsi="Times New Roman" w:eastAsia="仿宋_GB2312" w:cs="Times New Roman"/>
          <w:color w:val="auto"/>
          <w:sz w:val="32"/>
          <w:szCs w:val="32"/>
          <w:highlight w:val="none"/>
          <w:lang w:val="en-US" w:eastAsia="zh-CN"/>
        </w:rPr>
        <w:t>，安排理论学习中心组1</w:t>
      </w:r>
      <w:r>
        <w:rPr>
          <w:rFonts w:hint="eastAsia" w:ascii="Times New Roman" w:hAnsi="Times New Roman" w:eastAsia="仿宋_GB2312" w:cs="Times New Roman"/>
          <w:color w:val="auto"/>
          <w:sz w:val="32"/>
          <w:szCs w:val="32"/>
          <w:highlight w:val="none"/>
          <w:lang w:val="en-US" w:eastAsia="zh-CN"/>
        </w:rPr>
        <w:t>8</w:t>
      </w:r>
      <w:r>
        <w:rPr>
          <w:rFonts w:hint="default" w:ascii="Times New Roman" w:hAnsi="Times New Roman" w:eastAsia="仿宋_GB2312" w:cs="Times New Roman"/>
          <w:color w:val="auto"/>
          <w:sz w:val="32"/>
          <w:szCs w:val="32"/>
          <w:highlight w:val="none"/>
          <w:lang w:val="en-US" w:eastAsia="zh-CN"/>
        </w:rPr>
        <w:t>次专题学习会、2期读书班。</w:t>
      </w:r>
      <w:r>
        <w:rPr>
          <w:rFonts w:hint="default" w:ascii="Times New Roman" w:hAnsi="Times New Roman" w:eastAsia="仿宋_GB2312" w:cs="Times New Roman"/>
          <w:color w:val="auto"/>
          <w:sz w:val="32"/>
          <w:szCs w:val="32"/>
          <w:highlight w:val="none"/>
        </w:rPr>
        <w:t>调整优化243所公办中小学和幼儿园党组织书记、校长配备，实现公办中小学党组织领导的校长负责制全覆盖。全力推进新兴领域“两个覆盖”集中攻坚，全市475所民办中小学和幼儿园100%实现“两个覆盖”。</w:t>
      </w:r>
      <w:r>
        <w:rPr>
          <w:rFonts w:hint="default" w:ascii="Times New Roman" w:hAnsi="Times New Roman" w:eastAsia="仿宋_GB2312" w:cs="Times New Roman"/>
          <w:b w:val="0"/>
          <w:bCs w:val="0"/>
          <w:color w:val="auto"/>
          <w:sz w:val="32"/>
          <w:szCs w:val="32"/>
          <w:highlight w:val="none"/>
        </w:rPr>
        <w:t>落实</w:t>
      </w:r>
      <w:r>
        <w:rPr>
          <w:rFonts w:hint="default" w:ascii="Times New Roman" w:hAnsi="Times New Roman" w:eastAsia="仿宋_GB2312" w:cs="Times New Roman"/>
          <w:b w:val="0"/>
          <w:bCs w:val="0"/>
          <w:color w:val="auto"/>
          <w:sz w:val="32"/>
          <w:szCs w:val="32"/>
          <w:highlight w:val="none"/>
          <w:lang w:val="en-US" w:eastAsia="zh-CN"/>
        </w:rPr>
        <w:t>全面</w:t>
      </w:r>
      <w:r>
        <w:rPr>
          <w:rFonts w:hint="default" w:ascii="Times New Roman" w:hAnsi="Times New Roman" w:eastAsia="仿宋_GB2312" w:cs="Times New Roman"/>
          <w:b w:val="0"/>
          <w:bCs w:val="0"/>
          <w:color w:val="auto"/>
          <w:sz w:val="32"/>
          <w:szCs w:val="32"/>
          <w:highlight w:val="none"/>
        </w:rPr>
        <w:t>从严治党</w:t>
      </w:r>
      <w:r>
        <w:rPr>
          <w:rFonts w:hint="default" w:ascii="Times New Roman" w:hAnsi="Times New Roman" w:eastAsia="仿宋_GB2312" w:cs="Times New Roman"/>
          <w:b w:val="0"/>
          <w:bCs w:val="0"/>
          <w:color w:val="auto"/>
          <w:sz w:val="32"/>
          <w:szCs w:val="32"/>
          <w:highlight w:val="none"/>
          <w:lang w:eastAsia="zh-CN"/>
        </w:rPr>
        <w:t>。</w:t>
      </w:r>
      <w:r>
        <w:rPr>
          <w:rFonts w:hint="eastAsia" w:ascii="Times New Roman" w:hAnsi="Times New Roman" w:eastAsia="仿宋_GB2312" w:cs="Times New Roman"/>
          <w:b w:val="0"/>
          <w:bCs w:val="0"/>
          <w:color w:val="auto"/>
          <w:sz w:val="32"/>
          <w:szCs w:val="32"/>
          <w:highlight w:val="none"/>
          <w:lang w:val="en-US" w:eastAsia="zh-CN"/>
        </w:rPr>
        <w:t>召开</w:t>
      </w:r>
      <w:r>
        <w:rPr>
          <w:rFonts w:hint="default" w:ascii="Times New Roman" w:hAnsi="Times New Roman" w:eastAsia="仿宋_GB2312" w:cs="Times New Roman"/>
          <w:color w:val="auto"/>
          <w:sz w:val="32"/>
          <w:szCs w:val="32"/>
          <w:highlight w:val="none"/>
          <w:lang w:val="en-US" w:eastAsia="zh-CN"/>
        </w:rPr>
        <w:t>202</w:t>
      </w:r>
      <w:r>
        <w:rPr>
          <w:rFonts w:hint="eastAsia" w:ascii="Times New Roman" w:hAnsi="Times New Roman" w:eastAsia="仿宋_GB2312" w:cs="Times New Roman"/>
          <w:color w:val="auto"/>
          <w:sz w:val="32"/>
          <w:szCs w:val="32"/>
          <w:highlight w:val="none"/>
          <w:lang w:val="en-US" w:eastAsia="zh-CN"/>
        </w:rPr>
        <w:t>5</w:t>
      </w:r>
      <w:r>
        <w:rPr>
          <w:rFonts w:hint="default" w:ascii="Times New Roman" w:hAnsi="Times New Roman" w:eastAsia="仿宋_GB2312" w:cs="Times New Roman"/>
          <w:color w:val="auto"/>
          <w:sz w:val="32"/>
          <w:szCs w:val="32"/>
          <w:highlight w:val="none"/>
          <w:lang w:val="en-US" w:eastAsia="zh-CN"/>
        </w:rPr>
        <w:t>年全市教育系统全面从严治党工作视频会议</w:t>
      </w:r>
      <w:r>
        <w:rPr>
          <w:rFonts w:hint="eastAsia" w:ascii="Times New Roman" w:hAnsi="Times New Roman" w:eastAsia="仿宋_GB2312" w:cs="Times New Roman"/>
          <w:color w:val="auto"/>
          <w:sz w:val="32"/>
          <w:szCs w:val="32"/>
          <w:highlight w:val="none"/>
          <w:lang w:val="en-US" w:eastAsia="zh-CN"/>
        </w:rPr>
        <w:t>和党风廉政建设专题会议各1次</w:t>
      </w:r>
      <w:r>
        <w:rPr>
          <w:rFonts w:hint="default" w:ascii="Times New Roman" w:hAnsi="Times New Roman" w:eastAsia="仿宋_GB2312" w:cs="Times New Roman"/>
          <w:b w:val="0"/>
          <w:bCs w:val="0"/>
          <w:color w:val="auto"/>
          <w:sz w:val="32"/>
          <w:szCs w:val="32"/>
          <w:highlight w:val="none"/>
        </w:rPr>
        <w:t>。组织全体党员干部参观“笔墨丹青 清廉阳江”书画诗联作品展等反腐倡廉教育基地，观看</w:t>
      </w:r>
      <w:r>
        <w:rPr>
          <w:rFonts w:hint="default" w:ascii="Times New Roman" w:hAnsi="Times New Roman" w:eastAsia="仿宋_GB2312" w:cs="Times New Roman"/>
          <w:color w:val="auto"/>
          <w:sz w:val="32"/>
          <w:szCs w:val="32"/>
          <w:highlight w:val="none"/>
        </w:rPr>
        <w:t>《把纪律挺在前面》</w:t>
      </w:r>
      <w:r>
        <w:rPr>
          <w:rFonts w:hint="default" w:ascii="Times New Roman" w:hAnsi="Times New Roman" w:eastAsia="仿宋_GB2312" w:cs="Times New Roman"/>
          <w:b w:val="0"/>
          <w:bCs w:val="0"/>
          <w:color w:val="auto"/>
          <w:sz w:val="32"/>
          <w:szCs w:val="32"/>
          <w:highlight w:val="none"/>
        </w:rPr>
        <w:t>等</w:t>
      </w:r>
      <w:r>
        <w:rPr>
          <w:rFonts w:hint="default" w:ascii="Times New Roman" w:hAnsi="Times New Roman" w:eastAsia="仿宋_GB2312" w:cs="Times New Roman"/>
          <w:b w:val="0"/>
          <w:bCs w:val="0"/>
          <w:color w:val="auto"/>
          <w:sz w:val="32"/>
          <w:szCs w:val="32"/>
          <w:highlight w:val="none"/>
          <w:lang w:val="en-US" w:eastAsia="zh-CN"/>
        </w:rPr>
        <w:t>3个</w:t>
      </w:r>
      <w:r>
        <w:rPr>
          <w:rFonts w:hint="default" w:ascii="Times New Roman" w:hAnsi="Times New Roman" w:eastAsia="仿宋_GB2312" w:cs="Times New Roman"/>
          <w:b w:val="0"/>
          <w:bCs w:val="0"/>
          <w:color w:val="auto"/>
          <w:sz w:val="32"/>
          <w:szCs w:val="32"/>
          <w:highlight w:val="none"/>
        </w:rPr>
        <w:t>警示教育片，开展谈话提醒480多人次。</w:t>
      </w:r>
      <w:r>
        <w:rPr>
          <w:rFonts w:hint="default" w:ascii="Times New Roman" w:hAnsi="Times New Roman" w:eastAsia="仿宋_GB2312" w:cs="Times New Roman"/>
          <w:color w:val="auto"/>
          <w:sz w:val="32"/>
          <w:szCs w:val="32"/>
          <w:highlight w:val="none"/>
        </w:rPr>
        <w:t>针对巡察指出的62个问题，制定167条整改措施，100%落实整改</w:t>
      </w:r>
      <w:r>
        <w:rPr>
          <w:rStyle w:val="6"/>
          <w:rFonts w:hint="eastAsia" w:ascii="Times New Roman" w:hAnsi="Times New Roman" w:cs="Times New Roman"/>
          <w:b w:val="0"/>
          <w:bCs/>
          <w:i w:val="0"/>
          <w:caps w:val="0"/>
          <w:color w:val="auto"/>
          <w:spacing w:val="0"/>
          <w:w w:val="100"/>
          <w:kern w:val="0"/>
          <w:sz w:val="32"/>
          <w:szCs w:val="32"/>
          <w:lang w:val="en-US" w:eastAsia="zh-CN" w:bidi="ar"/>
        </w:rPr>
        <w:t>。</w:t>
      </w:r>
      <w:r>
        <w:rPr>
          <w:rStyle w:val="6"/>
          <w:rFonts w:hint="eastAsia" w:ascii="Times New Roman" w:hAnsi="Times New Roman" w:cs="Times New Roman"/>
          <w:b/>
          <w:bCs w:val="0"/>
          <w:i w:val="0"/>
          <w:caps w:val="0"/>
          <w:color w:val="auto"/>
          <w:spacing w:val="0"/>
          <w:w w:val="100"/>
          <w:kern w:val="0"/>
          <w:sz w:val="32"/>
          <w:szCs w:val="32"/>
          <w:lang w:val="en-US" w:eastAsia="zh-CN" w:bidi="ar"/>
        </w:rPr>
        <w:t>二是</w:t>
      </w:r>
      <w:r>
        <w:rPr>
          <w:rFonts w:hint="eastAsia" w:ascii="Times New Roman" w:hAnsi="Times New Roman" w:eastAsia="仿宋_GB2312" w:cs="Times New Roman"/>
          <w:b w:val="0"/>
          <w:bCs w:val="0"/>
          <w:color w:val="auto"/>
          <w:sz w:val="32"/>
          <w:szCs w:val="32"/>
          <w:highlight w:val="none"/>
          <w:lang w:val="en-US" w:eastAsia="zh-CN"/>
        </w:rPr>
        <w:t>优化资源配置，促进教育均衡发展</w:t>
      </w:r>
      <w:r>
        <w:rPr>
          <w:rStyle w:val="6"/>
          <w:rFonts w:hint="eastAsia" w:ascii="Times New Roman" w:hAnsi="Times New Roman" w:cs="Times New Roman"/>
          <w:b w:val="0"/>
          <w:bCs/>
          <w:i w:val="0"/>
          <w:caps w:val="0"/>
          <w:color w:val="auto"/>
          <w:spacing w:val="0"/>
          <w:w w:val="100"/>
          <w:kern w:val="0"/>
          <w:sz w:val="32"/>
          <w:szCs w:val="32"/>
          <w:lang w:val="en-US" w:eastAsia="zh-CN" w:bidi="ar"/>
        </w:rPr>
        <w:t>。</w:t>
      </w:r>
      <w:r>
        <w:rPr>
          <w:rFonts w:hint="default" w:ascii="Times New Roman" w:hAnsi="Times New Roman" w:eastAsia="仿宋_GB2312" w:cs="Times New Roman"/>
          <w:bCs/>
          <w:color w:val="auto"/>
          <w:kern w:val="0"/>
          <w:sz w:val="32"/>
          <w:szCs w:val="32"/>
          <w:highlight w:val="none"/>
          <w:lang w:bidi="ar"/>
        </w:rPr>
        <w:t>2025年</w:t>
      </w:r>
      <w:r>
        <w:rPr>
          <w:rFonts w:hint="eastAsia" w:ascii="Times New Roman" w:hAnsi="Times New Roman" w:eastAsia="仿宋_GB2312" w:cs="Times New Roman"/>
          <w:bCs/>
          <w:color w:val="auto"/>
          <w:kern w:val="0"/>
          <w:sz w:val="32"/>
          <w:szCs w:val="32"/>
          <w:highlight w:val="none"/>
          <w:lang w:eastAsia="zh-CN" w:bidi="ar"/>
        </w:rPr>
        <w:t>投入</w:t>
      </w:r>
      <w:r>
        <w:rPr>
          <w:rFonts w:hint="eastAsia" w:ascii="Times New Roman" w:hAnsi="Times New Roman" w:eastAsia="仿宋_GB2312" w:cs="Times New Roman"/>
          <w:bCs/>
          <w:color w:val="auto"/>
          <w:kern w:val="0"/>
          <w:sz w:val="32"/>
          <w:szCs w:val="32"/>
          <w:highlight w:val="none"/>
          <w:lang w:val="en-US" w:eastAsia="zh-CN" w:bidi="ar"/>
        </w:rPr>
        <w:t>13000万元，</w:t>
      </w:r>
      <w:r>
        <w:rPr>
          <w:rFonts w:hint="default" w:ascii="Times New Roman" w:hAnsi="Times New Roman" w:eastAsia="仿宋_GB2312" w:cs="Times New Roman"/>
          <w:bCs/>
          <w:color w:val="auto"/>
          <w:kern w:val="0"/>
          <w:sz w:val="32"/>
          <w:szCs w:val="32"/>
          <w:highlight w:val="none"/>
          <w:lang w:bidi="ar"/>
        </w:rPr>
        <w:t>推动建成公办幼儿园</w:t>
      </w:r>
      <w:r>
        <w:rPr>
          <w:rFonts w:hint="eastAsia" w:ascii="Times New Roman" w:hAnsi="Times New Roman" w:eastAsia="仿宋_GB2312" w:cs="Times New Roman"/>
          <w:bCs/>
          <w:color w:val="auto"/>
          <w:kern w:val="0"/>
          <w:sz w:val="32"/>
          <w:szCs w:val="32"/>
          <w:highlight w:val="none"/>
          <w:lang w:val="en-US" w:eastAsia="zh-CN" w:bidi="ar"/>
        </w:rPr>
        <w:t>5</w:t>
      </w:r>
      <w:r>
        <w:rPr>
          <w:rFonts w:hint="default" w:ascii="Times New Roman" w:hAnsi="Times New Roman" w:eastAsia="仿宋_GB2312" w:cs="Times New Roman"/>
          <w:bCs/>
          <w:color w:val="auto"/>
          <w:kern w:val="0"/>
          <w:sz w:val="32"/>
          <w:szCs w:val="32"/>
          <w:highlight w:val="none"/>
          <w:lang w:bidi="ar"/>
        </w:rPr>
        <w:t>所，新增公办学位超</w:t>
      </w:r>
      <w:r>
        <w:rPr>
          <w:rFonts w:hint="eastAsia" w:ascii="Times New Roman" w:hAnsi="Times New Roman" w:eastAsia="仿宋_GB2312" w:cs="Times New Roman"/>
          <w:bCs/>
          <w:color w:val="auto"/>
          <w:kern w:val="0"/>
          <w:sz w:val="32"/>
          <w:szCs w:val="32"/>
          <w:highlight w:val="none"/>
          <w:lang w:val="en-US" w:eastAsia="zh-CN" w:bidi="ar"/>
        </w:rPr>
        <w:t>17</w:t>
      </w:r>
      <w:r>
        <w:rPr>
          <w:rFonts w:hint="default" w:ascii="Times New Roman" w:hAnsi="Times New Roman" w:eastAsia="仿宋_GB2312" w:cs="Times New Roman"/>
          <w:bCs/>
          <w:color w:val="auto"/>
          <w:kern w:val="0"/>
          <w:sz w:val="32"/>
          <w:szCs w:val="32"/>
          <w:highlight w:val="none"/>
          <w:lang w:bidi="ar"/>
        </w:rPr>
        <w:t>00个。建</w:t>
      </w:r>
      <w:r>
        <w:rPr>
          <w:rFonts w:hint="eastAsia" w:ascii="Times New Roman" w:hAnsi="Times New Roman" w:eastAsia="仿宋_GB2312" w:cs="Times New Roman"/>
          <w:bCs/>
          <w:color w:val="auto"/>
          <w:kern w:val="0"/>
          <w:sz w:val="32"/>
          <w:szCs w:val="32"/>
          <w:highlight w:val="none"/>
          <w:lang w:val="en-US" w:eastAsia="zh-CN" w:bidi="ar"/>
        </w:rPr>
        <w:t>成</w:t>
      </w:r>
      <w:r>
        <w:rPr>
          <w:rFonts w:hint="default" w:ascii="Times New Roman" w:hAnsi="Times New Roman" w:eastAsia="仿宋_GB2312" w:cs="Times New Roman"/>
          <w:bCs/>
          <w:color w:val="auto"/>
          <w:kern w:val="0"/>
          <w:sz w:val="32"/>
          <w:szCs w:val="32"/>
          <w:highlight w:val="none"/>
          <w:lang w:bidi="ar"/>
        </w:rPr>
        <w:t>4个城乡学前教育一体化管理中心，培育6个“省级优质学前教育共同体”。阳江一中等6所学校入选2026年广东省首批100所普通高中多样化特色发展改革试点培育对象，涵盖科学、体育、艺术、综合等4个特色领域。大力推动落实“百县千镇万村高质量发展工程”教育行动</w:t>
      </w:r>
      <w:r>
        <w:rPr>
          <w:rFonts w:hint="eastAsia" w:cs="Times New Roman"/>
          <w:bCs/>
          <w:color w:val="auto"/>
          <w:kern w:val="0"/>
          <w:sz w:val="32"/>
          <w:szCs w:val="32"/>
          <w:highlight w:val="none"/>
          <w:lang w:eastAsia="zh-CN" w:bidi="ar"/>
        </w:rPr>
        <w:t>，</w:t>
      </w:r>
      <w:r>
        <w:rPr>
          <w:rFonts w:hint="default" w:ascii="Times New Roman" w:hAnsi="Times New Roman" w:eastAsia="仿宋_GB2312" w:cs="Times New Roman"/>
          <w:bCs/>
          <w:color w:val="auto"/>
          <w:kern w:val="0"/>
          <w:sz w:val="32"/>
          <w:szCs w:val="32"/>
          <w:highlight w:val="none"/>
          <w:lang w:val="en-US" w:eastAsia="zh-CN" w:bidi="ar"/>
        </w:rPr>
        <w:t>优化</w:t>
      </w:r>
      <w:r>
        <w:rPr>
          <w:rFonts w:hint="default" w:ascii="Times New Roman" w:hAnsi="Times New Roman" w:eastAsia="仿宋_GB2312" w:cs="Times New Roman"/>
          <w:bCs/>
          <w:color w:val="auto"/>
          <w:kern w:val="0"/>
          <w:sz w:val="32"/>
          <w:szCs w:val="32"/>
          <w:highlight w:val="none"/>
          <w:lang w:bidi="ar"/>
        </w:rPr>
        <w:t>小规模学校71所</w:t>
      </w:r>
      <w:r>
        <w:rPr>
          <w:rFonts w:hint="eastAsia" w:cs="Times New Roman"/>
          <w:bCs/>
          <w:color w:val="auto"/>
          <w:kern w:val="0"/>
          <w:sz w:val="32"/>
          <w:szCs w:val="32"/>
          <w:highlight w:val="none"/>
          <w:lang w:eastAsia="zh-CN" w:bidi="ar"/>
        </w:rPr>
        <w:t>，</w:t>
      </w:r>
      <w:r>
        <w:rPr>
          <w:rFonts w:hint="default" w:ascii="Times New Roman" w:hAnsi="Times New Roman" w:eastAsia="仿宋_GB2312" w:cs="Times New Roman"/>
          <w:bCs/>
          <w:color w:val="auto"/>
          <w:kern w:val="0"/>
          <w:sz w:val="32"/>
          <w:szCs w:val="32"/>
          <w:highlight w:val="none"/>
          <w:lang w:bidi="ar"/>
        </w:rPr>
        <w:t>镇中心小学、寄宿制学校100%达到标准化学校标准，镇中心幼儿园100%达到规范化幼儿园要求</w:t>
      </w:r>
      <w:r>
        <w:rPr>
          <w:rFonts w:hint="eastAsia" w:cs="Times New Roman"/>
          <w:bCs/>
          <w:color w:val="auto"/>
          <w:kern w:val="0"/>
          <w:sz w:val="32"/>
          <w:szCs w:val="32"/>
          <w:highlight w:val="none"/>
          <w:lang w:eastAsia="zh-CN" w:bidi="ar"/>
        </w:rPr>
        <w:t>。</w:t>
      </w:r>
      <w:r>
        <w:rPr>
          <w:rFonts w:hint="default" w:ascii="Times New Roman" w:hAnsi="Times New Roman" w:eastAsia="仿宋_GB2312" w:cs="Times New Roman"/>
          <w:bCs/>
          <w:color w:val="auto"/>
          <w:kern w:val="0"/>
          <w:sz w:val="32"/>
          <w:szCs w:val="32"/>
          <w:highlight w:val="none"/>
          <w:lang w:bidi="ar"/>
        </w:rPr>
        <w:t>新构建城乡教育共同体11个</w:t>
      </w:r>
      <w:r>
        <w:rPr>
          <w:rFonts w:hint="eastAsia" w:ascii="Times New Roman" w:hAnsi="Times New Roman" w:eastAsia="仿宋_GB2312" w:cs="Times New Roman"/>
          <w:bCs/>
          <w:color w:val="auto"/>
          <w:kern w:val="0"/>
          <w:sz w:val="32"/>
          <w:szCs w:val="32"/>
          <w:highlight w:val="none"/>
          <w:lang w:eastAsia="zh-CN" w:bidi="ar"/>
        </w:rPr>
        <w:t>，</w:t>
      </w:r>
      <w:r>
        <w:rPr>
          <w:rFonts w:hint="default" w:ascii="Times New Roman" w:hAnsi="Times New Roman" w:eastAsia="仿宋_GB2312" w:cs="Times New Roman"/>
          <w:bCs/>
          <w:color w:val="auto"/>
          <w:kern w:val="0"/>
          <w:sz w:val="32"/>
          <w:szCs w:val="32"/>
          <w:highlight w:val="none"/>
          <w:lang w:bidi="ar"/>
        </w:rPr>
        <w:t>总数达29个，覆盖学校150所、学生20.2万人，所有乡镇全覆盖。深入推进广东第二师范学院帮扶我市提升“三所学校”和县中质量工作，</w:t>
      </w:r>
      <w:r>
        <w:rPr>
          <w:rFonts w:hint="default" w:ascii="Times New Roman" w:hAnsi="Times New Roman" w:eastAsia="仿宋_GB2312" w:cs="Times New Roman"/>
          <w:bCs/>
          <w:color w:val="auto"/>
          <w:kern w:val="0"/>
          <w:sz w:val="32"/>
          <w:szCs w:val="32"/>
          <w:highlight w:val="none"/>
          <w:lang w:val="en-US" w:eastAsia="zh-CN" w:bidi="ar"/>
        </w:rPr>
        <w:t>2</w:t>
      </w:r>
      <w:r>
        <w:rPr>
          <w:rFonts w:hint="default" w:ascii="Times New Roman" w:hAnsi="Times New Roman" w:eastAsia="仿宋_GB2312" w:cs="Times New Roman"/>
          <w:bCs/>
          <w:color w:val="auto"/>
          <w:kern w:val="0"/>
          <w:sz w:val="32"/>
          <w:szCs w:val="32"/>
          <w:highlight w:val="none"/>
          <w:lang w:bidi="ar"/>
        </w:rPr>
        <w:t>025年7月广东第二师范学院与阳东区共建共管广东第二师范学院阳东教育集团。</w:t>
      </w:r>
      <w:r>
        <w:rPr>
          <w:rFonts w:hint="default" w:ascii="Times New Roman" w:hAnsi="Times New Roman" w:eastAsia="仿宋_GB2312" w:cs="Times New Roman"/>
          <w:color w:val="auto"/>
          <w:sz w:val="32"/>
          <w:szCs w:val="32"/>
          <w:highlight w:val="none"/>
        </w:rPr>
        <w:t>特殊教育</w:t>
      </w:r>
      <w:r>
        <w:rPr>
          <w:rFonts w:hint="default" w:ascii="Times New Roman" w:hAnsi="Times New Roman" w:eastAsia="仿宋_GB2312" w:cs="Times New Roman"/>
          <w:color w:val="auto"/>
          <w:sz w:val="32"/>
          <w:szCs w:val="32"/>
          <w:highlight w:val="none"/>
          <w:lang w:eastAsia="zh-CN"/>
        </w:rPr>
        <w:t>和</w:t>
      </w:r>
      <w:r>
        <w:rPr>
          <w:rFonts w:hint="default" w:ascii="Times New Roman" w:hAnsi="Times New Roman" w:eastAsia="仿宋_GB2312" w:cs="Times New Roman"/>
          <w:color w:val="auto"/>
          <w:sz w:val="32"/>
          <w:szCs w:val="32"/>
          <w:highlight w:val="none"/>
        </w:rPr>
        <w:t>融合教育</w:t>
      </w:r>
      <w:r>
        <w:rPr>
          <w:rFonts w:hint="default" w:ascii="Times New Roman" w:hAnsi="Times New Roman" w:eastAsia="仿宋_GB2312" w:cs="Times New Roman"/>
          <w:color w:val="auto"/>
          <w:sz w:val="32"/>
          <w:szCs w:val="32"/>
          <w:highlight w:val="none"/>
          <w:lang w:eastAsia="zh-CN"/>
        </w:rPr>
        <w:t>走在前</w:t>
      </w:r>
      <w:r>
        <w:rPr>
          <w:rFonts w:hint="eastAsia"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全市共建成5个市县级特殊教育资源中心，其中2个入选广东省优质特殊教育资源中心</w:t>
      </w:r>
      <w:r>
        <w:rPr>
          <w:rFonts w:hint="eastAsia"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2025年广东省融合教育高质量发展交流研讨活动在我市举办并推广阳江经验做法。</w:t>
      </w:r>
      <w:r>
        <w:rPr>
          <w:rFonts w:hint="eastAsia" w:ascii="Times New Roman" w:hAnsi="Times New Roman" w:eastAsia="仿宋_GB2312" w:cs="Times New Roman"/>
          <w:b w:val="0"/>
          <w:color w:val="auto"/>
          <w:w w:val="98"/>
          <w:kern w:val="2"/>
          <w:sz w:val="32"/>
          <w:szCs w:val="32"/>
          <w:highlight w:val="none"/>
          <w:lang w:val="en-US" w:eastAsia="zh-CN" w:bidi="ar"/>
        </w:rPr>
        <w:t>推进专门教育发展</w:t>
      </w:r>
      <w:r>
        <w:rPr>
          <w:rFonts w:hint="eastAsia" w:cs="Times New Roman"/>
          <w:b w:val="0"/>
          <w:color w:val="auto"/>
          <w:w w:val="98"/>
          <w:kern w:val="2"/>
          <w:sz w:val="32"/>
          <w:szCs w:val="32"/>
          <w:highlight w:val="none"/>
          <w:lang w:val="en-US" w:eastAsia="zh-CN" w:bidi="ar"/>
        </w:rPr>
        <w:t>，</w:t>
      </w:r>
      <w:r>
        <w:rPr>
          <w:rFonts w:hint="default" w:ascii="Times New Roman" w:hAnsi="Times New Roman" w:eastAsia="仿宋_GB2312" w:cs="Times New Roman"/>
          <w:color w:val="auto"/>
          <w:w w:val="98"/>
          <w:sz w:val="32"/>
          <w:szCs w:val="32"/>
          <w:highlight w:val="none"/>
        </w:rPr>
        <w:t>市</w:t>
      </w:r>
      <w:r>
        <w:rPr>
          <w:rFonts w:hint="eastAsia" w:ascii="Times New Roman" w:hAnsi="Times New Roman" w:eastAsia="仿宋_GB2312" w:cs="Times New Roman"/>
          <w:color w:val="auto"/>
          <w:w w:val="98"/>
          <w:sz w:val="32"/>
          <w:szCs w:val="32"/>
          <w:highlight w:val="none"/>
        </w:rPr>
        <w:t>新阳学校</w:t>
      </w:r>
      <w:r>
        <w:rPr>
          <w:rFonts w:hint="default" w:ascii="Times New Roman" w:hAnsi="Times New Roman" w:eastAsia="仿宋_GB2312" w:cs="Times New Roman"/>
          <w:color w:val="auto"/>
          <w:w w:val="98"/>
          <w:sz w:val="32"/>
          <w:szCs w:val="32"/>
          <w:highlight w:val="none"/>
        </w:rPr>
        <w:t>建立起市委政法委与教育部门“双牵头”办学模式</w:t>
      </w:r>
      <w:r>
        <w:rPr>
          <w:rFonts w:hint="default" w:ascii="Times New Roman" w:hAnsi="Times New Roman" w:eastAsia="仿宋_GB2312" w:cs="Times New Roman"/>
          <w:color w:val="auto"/>
          <w:w w:val="98"/>
          <w:sz w:val="32"/>
          <w:szCs w:val="32"/>
          <w:highlight w:val="none"/>
          <w:lang w:eastAsia="zh-CN"/>
        </w:rPr>
        <w:t>，</w:t>
      </w:r>
      <w:r>
        <w:rPr>
          <w:rFonts w:hint="eastAsia" w:ascii="Times New Roman" w:hAnsi="Times New Roman" w:eastAsia="仿宋_GB2312" w:cs="Times New Roman"/>
          <w:color w:val="auto"/>
          <w:w w:val="98"/>
          <w:sz w:val="32"/>
          <w:szCs w:val="32"/>
          <w:highlight w:val="none"/>
        </w:rPr>
        <w:t>累计招生</w:t>
      </w:r>
      <w:r>
        <w:rPr>
          <w:rFonts w:hint="default" w:ascii="Times New Roman" w:hAnsi="Times New Roman" w:eastAsia="仿宋_GB2312" w:cs="Times New Roman"/>
          <w:color w:val="auto"/>
          <w:w w:val="98"/>
          <w:sz w:val="32"/>
          <w:szCs w:val="32"/>
          <w:highlight w:val="none"/>
          <w:lang w:val="en"/>
        </w:rPr>
        <w:t>513</w:t>
      </w:r>
      <w:r>
        <w:rPr>
          <w:rFonts w:hint="eastAsia" w:ascii="Times New Roman" w:hAnsi="Times New Roman" w:eastAsia="仿宋_GB2312" w:cs="Times New Roman"/>
          <w:color w:val="auto"/>
          <w:w w:val="98"/>
          <w:sz w:val="32"/>
          <w:szCs w:val="32"/>
          <w:highlight w:val="none"/>
        </w:rPr>
        <w:t>人，其中已完成矫治</w:t>
      </w:r>
      <w:r>
        <w:rPr>
          <w:rFonts w:hint="default" w:ascii="Times New Roman" w:hAnsi="Times New Roman" w:eastAsia="仿宋_GB2312" w:cs="Times New Roman"/>
          <w:color w:val="auto"/>
          <w:w w:val="98"/>
          <w:sz w:val="32"/>
          <w:szCs w:val="32"/>
          <w:highlight w:val="none"/>
          <w:lang w:val="en"/>
        </w:rPr>
        <w:t>303</w:t>
      </w:r>
      <w:r>
        <w:rPr>
          <w:rFonts w:hint="eastAsia" w:ascii="Times New Roman" w:hAnsi="Times New Roman" w:eastAsia="仿宋_GB2312" w:cs="Times New Roman"/>
          <w:color w:val="auto"/>
          <w:w w:val="98"/>
          <w:sz w:val="32"/>
          <w:szCs w:val="32"/>
          <w:highlight w:val="none"/>
        </w:rPr>
        <w:t>人</w:t>
      </w:r>
      <w:r>
        <w:rPr>
          <w:rFonts w:hint="default" w:ascii="Times New Roman" w:hAnsi="Times New Roman" w:eastAsia="仿宋_GB2312" w:cs="Times New Roman"/>
          <w:color w:val="auto"/>
          <w:sz w:val="32"/>
          <w:szCs w:val="32"/>
          <w:highlight w:val="none"/>
          <w:lang w:val="en-US" w:eastAsia="zh-CN" w:bidi="ar-SA"/>
        </w:rPr>
        <w:t>。</w:t>
      </w:r>
      <w:r>
        <w:rPr>
          <w:rFonts w:hint="default" w:ascii="Times New Roman" w:hAnsi="Times New Roman" w:eastAsia="仿宋_GB2312" w:cs="Times New Roman"/>
          <w:color w:val="auto"/>
          <w:sz w:val="32"/>
          <w:szCs w:val="32"/>
          <w:highlight w:val="none"/>
          <w:lang w:val="en-US" w:eastAsia="zh-CN"/>
        </w:rPr>
        <w:t>中职教育特色发展</w:t>
      </w:r>
      <w:r>
        <w:rPr>
          <w:rFonts w:hint="eastAsia"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t>启动“3+4”中职本科贯通培养试点</w:t>
      </w:r>
      <w:bookmarkStart w:id="9" w:name="OLE_LINK12"/>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建成华南首个“粤西核电运维产业学院”；与广州康大职业技术学院、小鹏汽车联合开展“中职－高职－企业”三方贯通培养；</w:t>
      </w:r>
      <w:bookmarkEnd w:id="9"/>
      <w:r>
        <w:rPr>
          <w:rFonts w:hint="default" w:ascii="Times New Roman" w:hAnsi="Times New Roman" w:eastAsia="仿宋_GB2312" w:cs="Times New Roman"/>
          <w:color w:val="auto"/>
          <w:sz w:val="32"/>
          <w:szCs w:val="32"/>
          <w:highlight w:val="none"/>
        </w:rPr>
        <w:t>实施“四维守护工程”，构建学生成长、教师发展、质量保障、校园安全体系；中职毕业生升学率突破70%，就业率98%以上</w:t>
      </w:r>
      <w:r>
        <w:rPr>
          <w:rFonts w:hint="default" w:ascii="Times New Roman" w:hAnsi="Times New Roman" w:eastAsia="仿宋_GB2312" w:cs="Times New Roman"/>
          <w:color w:val="auto"/>
          <w:sz w:val="32"/>
          <w:szCs w:val="32"/>
          <w:highlight w:val="none"/>
          <w:lang w:eastAsia="zh-CN"/>
        </w:rPr>
        <w:t>。</w:t>
      </w:r>
      <w:r>
        <w:rPr>
          <w:rStyle w:val="6"/>
          <w:rFonts w:hint="eastAsia" w:ascii="Times New Roman" w:hAnsi="Times New Roman" w:cs="Times New Roman"/>
          <w:b/>
          <w:bCs w:val="0"/>
          <w:i w:val="0"/>
          <w:caps w:val="0"/>
          <w:color w:val="auto"/>
          <w:spacing w:val="0"/>
          <w:w w:val="100"/>
          <w:kern w:val="0"/>
          <w:sz w:val="32"/>
          <w:szCs w:val="32"/>
          <w:lang w:val="en-US" w:eastAsia="zh-CN" w:bidi="ar"/>
        </w:rPr>
        <w:t>三是</w:t>
      </w:r>
      <w:r>
        <w:rPr>
          <w:rStyle w:val="6"/>
          <w:rFonts w:hint="eastAsia" w:ascii="Times New Roman" w:hAnsi="Times New Roman" w:cs="Times New Roman"/>
          <w:b w:val="0"/>
          <w:bCs/>
          <w:i w:val="0"/>
          <w:caps w:val="0"/>
          <w:color w:val="auto"/>
          <w:spacing w:val="0"/>
          <w:w w:val="100"/>
          <w:kern w:val="0"/>
          <w:sz w:val="32"/>
          <w:szCs w:val="32"/>
          <w:lang w:val="en-US" w:eastAsia="zh-CN" w:bidi="ar"/>
        </w:rPr>
        <w:t>聚焦立德树人，推动内涵发展。</w:t>
      </w:r>
      <w:r>
        <w:rPr>
          <w:rFonts w:hint="default" w:ascii="Times New Roman" w:hAnsi="Times New Roman" w:eastAsia="仿宋_GB2312" w:cs="Times New Roman"/>
          <w:bCs/>
          <w:i w:val="0"/>
          <w:iCs w:val="0"/>
          <w:caps w:val="0"/>
          <w:color w:val="auto"/>
          <w:spacing w:val="0"/>
          <w:kern w:val="0"/>
          <w:sz w:val="32"/>
          <w:szCs w:val="32"/>
          <w:highlight w:val="none"/>
          <w:shd w:val="clear" w:color="auto" w:fill="auto"/>
          <w:lang w:val="en-US" w:eastAsia="zh-CN" w:bidi="ar"/>
        </w:rPr>
        <w:t>2025年</w:t>
      </w:r>
      <w:r>
        <w:rPr>
          <w:rFonts w:hint="default" w:ascii="Times New Roman" w:hAnsi="Times New Roman" w:eastAsia="仿宋_GB2312" w:cs="Times New Roman"/>
          <w:b w:val="0"/>
          <w:bCs/>
          <w:color w:val="auto"/>
          <w:w w:val="100"/>
          <w:kern w:val="0"/>
          <w:sz w:val="32"/>
          <w:szCs w:val="32"/>
          <w:highlight w:val="none"/>
          <w:lang w:val="en-US" w:eastAsia="zh-CN" w:bidi="ar"/>
        </w:rPr>
        <w:t>高考取得新突破</w:t>
      </w:r>
      <w:r>
        <w:rPr>
          <w:rFonts w:hint="eastAsia" w:cs="Times New Roman"/>
          <w:b w:val="0"/>
          <w:bCs/>
          <w:color w:val="auto"/>
          <w:w w:val="100"/>
          <w:kern w:val="0"/>
          <w:sz w:val="32"/>
          <w:szCs w:val="32"/>
          <w:highlight w:val="none"/>
          <w:lang w:val="en-US" w:eastAsia="zh-CN" w:bidi="ar"/>
        </w:rPr>
        <w:t>，</w:t>
      </w:r>
      <w:r>
        <w:rPr>
          <w:rFonts w:hint="eastAsia" w:ascii="Times New Roman" w:hAnsi="Times New Roman" w:eastAsia="仿宋_GB2312" w:cs="Times New Roman"/>
          <w:b w:val="0"/>
          <w:bCs/>
          <w:color w:val="auto"/>
          <w:w w:val="100"/>
          <w:kern w:val="0"/>
          <w:sz w:val="32"/>
          <w:szCs w:val="32"/>
          <w:highlight w:val="none"/>
          <w:lang w:val="en-US" w:eastAsia="zh-CN" w:bidi="ar"/>
        </w:rPr>
        <w:t>我市</w:t>
      </w:r>
      <w:r>
        <w:rPr>
          <w:rFonts w:hint="default" w:ascii="Times New Roman" w:hAnsi="Times New Roman" w:eastAsia="仿宋_GB2312" w:cs="Times New Roman"/>
          <w:b w:val="0"/>
          <w:bCs/>
          <w:color w:val="auto"/>
          <w:w w:val="100"/>
          <w:kern w:val="0"/>
          <w:sz w:val="32"/>
          <w:szCs w:val="32"/>
          <w:highlight w:val="none"/>
          <w:lang w:bidi="ar"/>
        </w:rPr>
        <w:t>参加普通高考的学生19414人，上特控线人数1832人，上线率9.4%，比2024年增加234人，增幅14.6%，上本科线8212人，上线率42.3%，比去年增加512人，增幅6.6%，比全省平均增幅3.3%多了一倍。艺体类考生本科上线1176人，上线率51.9%，增幅达20%。</w:t>
      </w:r>
      <w:r>
        <w:rPr>
          <w:rFonts w:hint="default" w:ascii="Times New Roman" w:hAnsi="Times New Roman" w:eastAsia="仿宋_GB2312" w:cs="Times New Roman"/>
          <w:color w:val="auto"/>
          <w:sz w:val="32"/>
          <w:szCs w:val="32"/>
          <w:highlight w:val="none"/>
          <w:lang w:bidi="ar-SA"/>
        </w:rPr>
        <w:t>推动中考改革工作。我市初中学业水平考试体育与健康考试新增足球、篮球、排球等三大球类考试项目。</w:t>
      </w:r>
      <w:r>
        <w:rPr>
          <w:rFonts w:hint="eastAsia" w:ascii="Times New Roman" w:hAnsi="Times New Roman" w:eastAsia="仿宋_GB2312" w:cs="Times New Roman"/>
          <w:b w:val="0"/>
          <w:bCs w:val="0"/>
          <w:color w:val="auto"/>
          <w:kern w:val="0"/>
          <w:sz w:val="32"/>
          <w:highlight w:val="none"/>
          <w:lang w:eastAsia="zh-CN"/>
        </w:rPr>
        <w:t>在2025年中国中学生帆船锦标赛、第十五届全国运动会帆船比赛中，阳江三中斩获国家级奖牌2金3银1铜。</w:t>
      </w:r>
      <w:r>
        <w:rPr>
          <w:rFonts w:hint="default" w:ascii="Times New Roman" w:hAnsi="Times New Roman" w:eastAsia="仿宋_GB2312" w:cs="Times New Roman"/>
          <w:color w:val="auto"/>
          <w:kern w:val="0"/>
          <w:sz w:val="32"/>
          <w:highlight w:val="none"/>
          <w:lang w:eastAsia="zh-CN"/>
        </w:rPr>
        <w:t>在2025年粤港澳学生信息科技创新大赛</w:t>
      </w:r>
      <w:r>
        <w:rPr>
          <w:rFonts w:hint="default" w:ascii="Times New Roman" w:hAnsi="Times New Roman" w:eastAsia="仿宋_GB2312" w:cs="Times New Roman"/>
          <w:color w:val="auto"/>
          <w:kern w:val="0"/>
          <w:sz w:val="32"/>
          <w:highlight w:val="none"/>
          <w:lang w:val="en-US" w:eastAsia="zh-CN"/>
        </w:rPr>
        <w:t>中，</w:t>
      </w:r>
      <w:r>
        <w:rPr>
          <w:rFonts w:hint="default" w:ascii="Times New Roman" w:hAnsi="Times New Roman" w:eastAsia="仿宋_GB2312" w:cs="Times New Roman"/>
          <w:color w:val="auto"/>
          <w:kern w:val="0"/>
          <w:sz w:val="32"/>
          <w:highlight w:val="none"/>
          <w:lang w:eastAsia="zh-CN"/>
        </w:rPr>
        <w:t>14支队伍获一等奖，其中“FLL青少年挑战高中(中职)组”获粤港澳第一名，并获推</w:t>
      </w:r>
      <w:r>
        <w:rPr>
          <w:rFonts w:hint="eastAsia" w:ascii="Times New Roman" w:hAnsi="Times New Roman" w:eastAsia="仿宋_GB2312" w:cs="Times New Roman"/>
          <w:color w:val="auto"/>
          <w:kern w:val="0"/>
          <w:sz w:val="32"/>
          <w:highlight w:val="none"/>
          <w:lang w:val="en-US" w:eastAsia="zh-CN"/>
        </w:rPr>
        <w:t>我市首个</w:t>
      </w:r>
      <w:r>
        <w:rPr>
          <w:rFonts w:hint="default" w:ascii="Times New Roman" w:hAnsi="Times New Roman" w:eastAsia="仿宋_GB2312" w:cs="Times New Roman"/>
          <w:color w:val="auto"/>
          <w:kern w:val="0"/>
          <w:sz w:val="32"/>
          <w:highlight w:val="none"/>
          <w:lang w:eastAsia="zh-CN"/>
        </w:rPr>
        <w:t>代表广东省参加国赛</w:t>
      </w:r>
      <w:r>
        <w:rPr>
          <w:rFonts w:hint="default" w:ascii="Times New Roman" w:hAnsi="Times New Roman" w:eastAsia="仿宋_GB2312" w:cs="Times New Roman"/>
          <w:color w:val="auto"/>
          <w:kern w:val="0"/>
          <w:sz w:val="32"/>
          <w:highlight w:val="none"/>
        </w:rPr>
        <w:t>；在2025年横琴粤澳深度合作区人工智能大赛暨第七届粤港澳青少年机器人大赛中，获一等奖14个</w:t>
      </w:r>
      <w:r>
        <w:rPr>
          <w:rFonts w:hint="default" w:ascii="Times New Roman" w:hAnsi="Times New Roman" w:eastAsia="仿宋_GB2312" w:cs="Times New Roman"/>
          <w:color w:val="auto"/>
          <w:kern w:val="0"/>
          <w:sz w:val="32"/>
          <w:highlight w:val="none"/>
          <w:lang w:eastAsia="zh-CN"/>
        </w:rPr>
        <w:t>。</w:t>
      </w:r>
      <w:r>
        <w:rPr>
          <w:rStyle w:val="10"/>
          <w:rFonts w:hint="eastAsia" w:ascii="Times New Roman" w:hAnsi="Times New Roman" w:eastAsia="仿宋_GB2312" w:cs="Times New Roman"/>
          <w:b/>
          <w:bCs/>
          <w:i w:val="0"/>
          <w:caps w:val="0"/>
          <w:color w:val="auto"/>
          <w:spacing w:val="0"/>
          <w:w w:val="100"/>
          <w:kern w:val="21"/>
          <w:sz w:val="32"/>
          <w:szCs w:val="32"/>
          <w:lang w:val="en-US" w:eastAsia="zh-CN" w:bidi="ar-SA"/>
        </w:rPr>
        <w:t>四是</w:t>
      </w:r>
      <w:r>
        <w:rPr>
          <w:rStyle w:val="10"/>
          <w:rFonts w:hint="eastAsia" w:ascii="Times New Roman" w:hAnsi="Times New Roman" w:eastAsia="仿宋_GB2312" w:cs="Times New Roman"/>
          <w:b w:val="0"/>
          <w:i w:val="0"/>
          <w:caps w:val="0"/>
          <w:color w:val="auto"/>
          <w:spacing w:val="0"/>
          <w:w w:val="100"/>
          <w:kern w:val="21"/>
          <w:sz w:val="32"/>
          <w:szCs w:val="32"/>
          <w:lang w:val="en-US" w:eastAsia="zh-CN" w:bidi="ar-SA"/>
        </w:rPr>
        <w:t>坚持固本强基，打造高素质教师队伍。</w:t>
      </w:r>
      <w:r>
        <w:rPr>
          <w:rFonts w:hint="default" w:ascii="Times New Roman" w:hAnsi="Times New Roman" w:eastAsia="仿宋_GB2312" w:cs="Times New Roman"/>
          <w:b w:val="0"/>
          <w:bCs w:val="0"/>
          <w:color w:val="auto"/>
          <w:kern w:val="0"/>
          <w:sz w:val="32"/>
          <w:szCs w:val="32"/>
          <w:highlight w:val="none"/>
          <w:lang w:val="en-US" w:eastAsia="zh-CN"/>
        </w:rPr>
        <w:t>深入实施“新强师工程”</w:t>
      </w:r>
      <w:r>
        <w:rPr>
          <w:rFonts w:hint="eastAsia" w:cs="Times New Roman"/>
          <w:b w:val="0"/>
          <w:bCs w:val="0"/>
          <w:color w:val="auto"/>
          <w:kern w:val="0"/>
          <w:sz w:val="32"/>
          <w:szCs w:val="32"/>
          <w:highlight w:val="none"/>
          <w:lang w:val="en-US" w:eastAsia="zh-CN"/>
        </w:rPr>
        <w:t>，</w:t>
      </w:r>
      <w:r>
        <w:rPr>
          <w:rFonts w:hint="default" w:ascii="Times New Roman" w:hAnsi="Times New Roman" w:eastAsia="仿宋_GB2312" w:cs="Times New Roman"/>
          <w:color w:val="auto"/>
          <w:kern w:val="0"/>
          <w:sz w:val="32"/>
          <w:szCs w:val="32"/>
          <w:highlight w:val="none"/>
        </w:rPr>
        <w:t>市教师发展中心10月2日建成启用</w:t>
      </w:r>
      <w:r>
        <w:rPr>
          <w:rFonts w:hint="eastAsia" w:cs="Times New Roman"/>
          <w:color w:val="auto"/>
          <w:kern w:val="0"/>
          <w:sz w:val="32"/>
          <w:szCs w:val="32"/>
          <w:highlight w:val="none"/>
          <w:lang w:eastAsia="zh-CN"/>
        </w:rPr>
        <w:t>，</w:t>
      </w:r>
      <w:r>
        <w:rPr>
          <w:rFonts w:hint="default" w:ascii="Times New Roman" w:hAnsi="Times New Roman" w:eastAsia="仿宋_GB2312" w:cs="Times New Roman"/>
          <w:color w:val="auto"/>
          <w:kern w:val="0"/>
          <w:sz w:val="32"/>
          <w:szCs w:val="32"/>
          <w:highlight w:val="none"/>
        </w:rPr>
        <w:t>组织开展36个市级骨干教师培训项目，累计培训教师9300余人次</w:t>
      </w:r>
      <w:r>
        <w:rPr>
          <w:rFonts w:hint="eastAsia" w:cs="Times New Roman"/>
          <w:color w:val="auto"/>
          <w:kern w:val="0"/>
          <w:sz w:val="32"/>
          <w:szCs w:val="32"/>
          <w:highlight w:val="none"/>
          <w:lang w:eastAsia="zh-CN"/>
        </w:rPr>
        <w:t>。</w:t>
      </w:r>
      <w:r>
        <w:rPr>
          <w:rFonts w:hint="default" w:ascii="Times New Roman" w:hAnsi="Times New Roman" w:eastAsia="仿宋_GB2312" w:cs="Times New Roman"/>
          <w:color w:val="auto"/>
          <w:kern w:val="0"/>
          <w:sz w:val="32"/>
          <w:szCs w:val="32"/>
          <w:highlight w:val="none"/>
        </w:rPr>
        <w:t>加强教育人才招聘和引进，招聘中小学（幼儿园）教师1439人，引进高层次（急需紧缺）人才186人</w:t>
      </w:r>
      <w:r>
        <w:rPr>
          <w:rFonts w:hint="eastAsia" w:cs="Times New Roman"/>
          <w:color w:val="auto"/>
          <w:kern w:val="0"/>
          <w:sz w:val="32"/>
          <w:szCs w:val="32"/>
          <w:highlight w:val="none"/>
          <w:lang w:eastAsia="zh-CN"/>
        </w:rPr>
        <w:t>，</w:t>
      </w:r>
      <w:r>
        <w:rPr>
          <w:rFonts w:hint="default" w:ascii="Times New Roman" w:hAnsi="Times New Roman" w:eastAsia="仿宋_GB2312" w:cs="Times New Roman"/>
          <w:color w:val="auto"/>
          <w:kern w:val="0"/>
          <w:sz w:val="32"/>
          <w:szCs w:val="32"/>
          <w:highlight w:val="none"/>
        </w:rPr>
        <w:t>2025年</w:t>
      </w:r>
      <w:bookmarkStart w:id="10" w:name="OLE_LINK10"/>
      <w:r>
        <w:rPr>
          <w:rFonts w:hint="default" w:ascii="Times New Roman" w:hAnsi="Times New Roman" w:eastAsia="仿宋_GB2312" w:cs="Times New Roman"/>
          <w:color w:val="auto"/>
          <w:kern w:val="0"/>
          <w:sz w:val="32"/>
          <w:szCs w:val="32"/>
          <w:highlight w:val="none"/>
        </w:rPr>
        <w:t>有2名教师获“全国先进工作者”等国家级荣誉，</w:t>
      </w:r>
      <w:bookmarkEnd w:id="10"/>
      <w:r>
        <w:rPr>
          <w:rFonts w:hint="default" w:ascii="Times New Roman" w:hAnsi="Times New Roman" w:eastAsia="仿宋_GB2312" w:cs="Times New Roman"/>
          <w:color w:val="auto"/>
          <w:kern w:val="0"/>
          <w:sz w:val="32"/>
          <w:szCs w:val="32"/>
          <w:highlight w:val="none"/>
        </w:rPr>
        <w:t>新增10名正高级教师、16名特级教师、37名南粤优秀教师、优秀教育工作者</w:t>
      </w:r>
      <w:r>
        <w:rPr>
          <w:rFonts w:hint="eastAsia" w:cs="Times New Roman"/>
          <w:color w:val="auto"/>
          <w:kern w:val="0"/>
          <w:sz w:val="32"/>
          <w:szCs w:val="32"/>
          <w:highlight w:val="none"/>
          <w:lang w:eastAsia="zh-CN"/>
        </w:rPr>
        <w:t>，</w:t>
      </w:r>
      <w:r>
        <w:rPr>
          <w:rFonts w:hint="default" w:ascii="Times New Roman" w:hAnsi="Times New Roman" w:eastAsia="仿宋_GB2312" w:cs="Times New Roman"/>
          <w:i w:val="0"/>
          <w:iCs w:val="0"/>
          <w:caps w:val="0"/>
          <w:color w:val="auto"/>
          <w:spacing w:val="0"/>
          <w:kern w:val="0"/>
          <w:sz w:val="32"/>
          <w:szCs w:val="32"/>
          <w:highlight w:val="none"/>
          <w:shd w:val="clear" w:color="auto" w:fill="auto"/>
          <w:lang w:val="en-US" w:eastAsia="zh-CN" w:bidi="ar"/>
        </w:rPr>
        <w:t>组织参加省级教学能力大赛，6人获二等奖，多人获三等奖，高中政治等学科成绩位居全省前列。开展人工智能、智慧教育平台应用等专题培训7场，覆盖教师700余人次，其中AI工具课堂应用率在三个月内提升40%。全年开展教研活动250场，受益师生近9万人次。</w:t>
      </w:r>
      <w:r>
        <w:rPr>
          <w:rFonts w:hint="default" w:ascii="Times New Roman" w:hAnsi="Times New Roman" w:eastAsia="仿宋_GB2312" w:cs="Times New Roman"/>
          <w:color w:val="auto"/>
          <w:sz w:val="32"/>
          <w:szCs w:val="32"/>
          <w:highlight w:val="none"/>
          <w:lang w:bidi="ar-SA"/>
        </w:rPr>
        <w:t>持续推进国家中小学智慧教育平台应用</w:t>
      </w:r>
      <w:r>
        <w:rPr>
          <w:rFonts w:hint="eastAsia" w:ascii="Times New Roman" w:hAnsi="Times New Roman" w:eastAsia="仿宋_GB2312" w:cs="Times New Roman"/>
          <w:color w:val="auto"/>
          <w:sz w:val="32"/>
          <w:szCs w:val="32"/>
          <w:highlight w:val="none"/>
          <w:lang w:eastAsia="zh-CN" w:bidi="ar-SA"/>
        </w:rPr>
        <w:t>，</w:t>
      </w:r>
      <w:r>
        <w:rPr>
          <w:rFonts w:hint="default" w:ascii="Times New Roman" w:hAnsi="Times New Roman" w:eastAsia="仿宋_GB2312" w:cs="Times New Roman"/>
          <w:color w:val="auto"/>
          <w:sz w:val="32"/>
          <w:szCs w:val="32"/>
          <w:highlight w:val="none"/>
          <w:lang w:bidi="ar-SA"/>
        </w:rPr>
        <w:t>承办2025年广东省国家智慧平台全域应用研讨活动。</w:t>
      </w:r>
      <w:r>
        <w:rPr>
          <w:rFonts w:hint="eastAsia" w:cs="Times New Roman"/>
          <w:b/>
          <w:bCs/>
          <w:color w:val="auto"/>
          <w:sz w:val="32"/>
          <w:szCs w:val="32"/>
          <w:highlight w:val="none"/>
          <w:lang w:val="en-US" w:eastAsia="zh-CN" w:bidi="ar-SA"/>
        </w:rPr>
        <w:t>五是</w:t>
      </w:r>
      <w:r>
        <w:rPr>
          <w:rFonts w:hint="eastAsia" w:cs="Times New Roman"/>
          <w:color w:val="auto"/>
          <w:sz w:val="32"/>
          <w:szCs w:val="32"/>
          <w:highlight w:val="none"/>
          <w:lang w:val="en-US" w:eastAsia="zh-CN" w:bidi="ar-SA"/>
        </w:rPr>
        <w:t>保障教育投入，促进教育公平。保持教育高位投入，2025年全市一般公共预算教育经费支出48.60亿元，占全市一般公共预算支出18.08 %。扎实推进学前免费教育工作，省下达我市2025年秋季学期学前教育免保育教育费补助4644万元，在全省率先全部拨付。加快推进教育转移支付资金支出进度工作，我市2025年教育领域转移支付支出率80.71%，在粤东西北排第2位。全面完成学生资助工作，2025年资助学生73083人次，资助资金1.43亿元（不含助学贷款），生源地信用助学贷款办理14464人，贷款金额2.35亿元。拓宽资金筹集渠道，重组阳江市阳光教育基金会并首次接受社会捐赠700万元用于教育事业。</w:t>
      </w:r>
      <w:r>
        <w:rPr>
          <w:rStyle w:val="10"/>
          <w:rFonts w:hint="eastAsia" w:ascii="Times New Roman" w:hAnsi="Times New Roman" w:eastAsia="仿宋_GB2312" w:cs="Times New Roman"/>
          <w:b/>
          <w:bCs/>
          <w:i w:val="0"/>
          <w:caps w:val="0"/>
          <w:color w:val="auto"/>
          <w:spacing w:val="0"/>
          <w:w w:val="100"/>
          <w:kern w:val="21"/>
          <w:sz w:val="32"/>
          <w:szCs w:val="32"/>
          <w:lang w:val="en-US" w:eastAsia="zh-CN" w:bidi="ar-SA"/>
        </w:rPr>
        <w:t>六是</w:t>
      </w:r>
      <w:r>
        <w:rPr>
          <w:rStyle w:val="10"/>
          <w:rFonts w:hint="default" w:ascii="Times New Roman" w:hAnsi="Times New Roman" w:eastAsia="仿宋_GB2312" w:cs="Times New Roman"/>
          <w:b w:val="0"/>
          <w:i w:val="0"/>
          <w:caps w:val="0"/>
          <w:color w:val="auto"/>
          <w:spacing w:val="0"/>
          <w:w w:val="100"/>
          <w:kern w:val="21"/>
          <w:sz w:val="32"/>
          <w:szCs w:val="32"/>
          <w:lang w:val="en-US" w:eastAsia="zh-CN" w:bidi="ar-SA"/>
        </w:rPr>
        <w:t>筑牢安全底线，守护校园平安稳定。</w:t>
      </w:r>
      <w:r>
        <w:rPr>
          <w:rFonts w:hint="default" w:ascii="Times New Roman" w:hAnsi="Times New Roman" w:eastAsia="仿宋_GB2312" w:cs="Times New Roman"/>
          <w:color w:val="auto"/>
          <w:sz w:val="32"/>
          <w:szCs w:val="32"/>
          <w:highlight w:val="none"/>
        </w:rPr>
        <w:t>制定“一校一策”方案，落实安防“四个100%”，投入459万元改造校门口防撞栏2577处</w:t>
      </w:r>
      <w:r>
        <w:rPr>
          <w:rFonts w:hint="default" w:ascii="Times New Roman" w:hAnsi="Times New Roman" w:eastAsia="仿宋_GB2312" w:cs="Times New Roman"/>
          <w:b w:val="0"/>
          <w:bCs w:val="0"/>
          <w:color w:val="auto"/>
          <w:sz w:val="32"/>
          <w:szCs w:val="32"/>
          <w:highlight w:val="none"/>
        </w:rPr>
        <w:t>。</w:t>
      </w:r>
      <w:r>
        <w:rPr>
          <w:rFonts w:hint="default" w:ascii="Times New Roman" w:hAnsi="Times New Roman" w:eastAsia="仿宋_GB2312" w:cs="Times New Roman"/>
          <w:color w:val="auto"/>
          <w:sz w:val="32"/>
          <w:szCs w:val="32"/>
          <w:highlight w:val="none"/>
          <w:lang w:val="en-US" w:eastAsia="zh-CN"/>
        </w:rPr>
        <w:t>持续开展“校园餐”、教辅、校服专项整治</w:t>
      </w:r>
      <w:r>
        <w:rPr>
          <w:rFonts w:hint="default" w:ascii="Times New Roman" w:hAnsi="Times New Roman" w:eastAsia="仿宋_GB2312" w:cs="Times New Roman"/>
          <w:b w:val="0"/>
          <w:bCs w:val="0"/>
          <w:color w:val="auto"/>
          <w:w w:val="100"/>
          <w:kern w:val="2"/>
          <w:sz w:val="32"/>
          <w:szCs w:val="32"/>
          <w:highlight w:val="none"/>
          <w:lang w:val="en-US" w:eastAsia="zh-CN" w:bidi="ar-SA"/>
        </w:rPr>
        <w:t>。</w:t>
      </w:r>
      <w:r>
        <w:rPr>
          <w:rFonts w:hint="eastAsia" w:ascii="Times New Roman" w:hAnsi="Times New Roman" w:eastAsia="仿宋_GB2312" w:cs="Times New Roman"/>
          <w:color w:val="auto"/>
          <w:sz w:val="32"/>
          <w:szCs w:val="32"/>
          <w:highlight w:val="none"/>
          <w:lang w:bidi="ar-SA"/>
        </w:rPr>
        <w:t>投入资金</w:t>
      </w:r>
      <w:r>
        <w:rPr>
          <w:rFonts w:hint="eastAsia" w:ascii="Times New Roman" w:hAnsi="Times New Roman" w:eastAsia="仿宋_GB2312" w:cs="Times New Roman"/>
          <w:color w:val="auto"/>
          <w:sz w:val="32"/>
          <w:szCs w:val="32"/>
          <w:highlight w:val="none"/>
          <w:lang w:val="en-US" w:eastAsia="zh-CN" w:bidi="ar-SA"/>
        </w:rPr>
        <w:t>1.3亿</w:t>
      </w:r>
      <w:r>
        <w:rPr>
          <w:rFonts w:hint="eastAsia" w:ascii="Times New Roman" w:hAnsi="Times New Roman" w:eastAsia="仿宋_GB2312" w:cs="Times New Roman"/>
          <w:color w:val="auto"/>
          <w:sz w:val="32"/>
          <w:szCs w:val="32"/>
          <w:highlight w:val="none"/>
          <w:lang w:bidi="ar-SA"/>
        </w:rPr>
        <w:t>元用于</w:t>
      </w:r>
      <w:r>
        <w:rPr>
          <w:rFonts w:hint="eastAsia" w:ascii="Times New Roman" w:hAnsi="Times New Roman" w:eastAsia="仿宋_GB2312" w:cs="Times New Roman"/>
          <w:color w:val="auto"/>
          <w:sz w:val="32"/>
          <w:szCs w:val="32"/>
          <w:highlight w:val="none"/>
          <w:lang w:val="en-US" w:eastAsia="zh-CN" w:bidi="ar-SA"/>
        </w:rPr>
        <w:t>33</w:t>
      </w:r>
      <w:r>
        <w:rPr>
          <w:rFonts w:hint="eastAsia" w:ascii="Times New Roman" w:hAnsi="Times New Roman" w:eastAsia="仿宋_GB2312" w:cs="Times New Roman"/>
          <w:color w:val="auto"/>
          <w:sz w:val="32"/>
          <w:szCs w:val="32"/>
          <w:highlight w:val="none"/>
          <w:lang w:bidi="ar-SA"/>
        </w:rPr>
        <w:t>3所学校饭堂软硬件升级，推动全市770家学校、幼儿园食堂实现“六个百分百”，惠及50多万师生。我市校园餐整治“六个百分百”成果在《中国教育报》第三版新闻·基层版头条刊发。开展</w:t>
      </w:r>
      <w:r>
        <w:rPr>
          <w:rFonts w:hint="eastAsia" w:ascii="Times New Roman" w:hAnsi="Times New Roman" w:eastAsia="仿宋_GB2312" w:cs="Times New Roman"/>
          <w:color w:val="auto"/>
          <w:sz w:val="32"/>
          <w:szCs w:val="32"/>
          <w:highlight w:val="none"/>
          <w:lang w:eastAsia="zh-CN" w:bidi="ar-SA"/>
        </w:rPr>
        <w:t>市级中小学</w:t>
      </w:r>
      <w:r>
        <w:rPr>
          <w:rFonts w:hint="eastAsia" w:ascii="Times New Roman" w:hAnsi="Times New Roman" w:eastAsia="仿宋_GB2312" w:cs="Times New Roman"/>
          <w:color w:val="auto"/>
          <w:sz w:val="32"/>
          <w:szCs w:val="32"/>
          <w:highlight w:val="none"/>
          <w:lang w:bidi="ar-SA"/>
        </w:rPr>
        <w:t>教辅</w:t>
      </w:r>
      <w:r>
        <w:rPr>
          <w:rFonts w:hint="eastAsia" w:ascii="Times New Roman" w:hAnsi="Times New Roman" w:eastAsia="仿宋_GB2312" w:cs="Times New Roman"/>
          <w:color w:val="auto"/>
          <w:sz w:val="32"/>
          <w:szCs w:val="32"/>
          <w:highlight w:val="none"/>
          <w:lang w:eastAsia="zh-CN" w:bidi="ar-SA"/>
        </w:rPr>
        <w:t>进校园管理</w:t>
      </w:r>
      <w:r>
        <w:rPr>
          <w:rFonts w:hint="eastAsia" w:ascii="Times New Roman" w:hAnsi="Times New Roman" w:eastAsia="仿宋_GB2312" w:cs="Times New Roman"/>
          <w:color w:val="auto"/>
          <w:sz w:val="32"/>
          <w:szCs w:val="32"/>
          <w:highlight w:val="none"/>
          <w:lang w:bidi="ar-SA"/>
        </w:rPr>
        <w:t>专项督查2次，涉及学校53所，</w:t>
      </w:r>
      <w:r>
        <w:rPr>
          <w:rFonts w:hint="eastAsia" w:ascii="Times New Roman" w:hAnsi="Times New Roman" w:eastAsia="仿宋_GB2312" w:cs="Times New Roman"/>
          <w:color w:val="auto"/>
          <w:sz w:val="32"/>
          <w:szCs w:val="32"/>
          <w:highlight w:val="none"/>
          <w:lang w:eastAsia="zh-CN" w:bidi="ar-SA"/>
        </w:rPr>
        <w:t>扎实推动整改问题</w:t>
      </w:r>
      <w:r>
        <w:rPr>
          <w:rFonts w:hint="eastAsia" w:ascii="Times New Roman" w:hAnsi="Times New Roman" w:eastAsia="仿宋_GB2312" w:cs="Times New Roman"/>
          <w:color w:val="auto"/>
          <w:sz w:val="32"/>
          <w:szCs w:val="32"/>
          <w:highlight w:val="none"/>
          <w:lang w:val="en-US" w:eastAsia="zh-CN" w:bidi="ar-SA"/>
        </w:rPr>
        <w:t>47个，不断规范</w:t>
      </w:r>
      <w:r>
        <w:rPr>
          <w:rFonts w:hint="eastAsia" w:ascii="Times New Roman" w:hAnsi="Times New Roman" w:eastAsia="仿宋_GB2312" w:cs="Times New Roman"/>
          <w:color w:val="auto"/>
          <w:sz w:val="32"/>
          <w:szCs w:val="32"/>
          <w:highlight w:val="none"/>
          <w:lang w:eastAsia="zh-CN" w:bidi="ar-SA"/>
        </w:rPr>
        <w:t>中小学</w:t>
      </w:r>
      <w:r>
        <w:rPr>
          <w:rFonts w:hint="eastAsia" w:ascii="Times New Roman" w:hAnsi="Times New Roman" w:eastAsia="仿宋_GB2312" w:cs="Times New Roman"/>
          <w:color w:val="auto"/>
          <w:sz w:val="32"/>
          <w:szCs w:val="32"/>
          <w:highlight w:val="none"/>
          <w:lang w:bidi="ar-SA"/>
        </w:rPr>
        <w:t>教辅</w:t>
      </w:r>
      <w:r>
        <w:rPr>
          <w:rFonts w:hint="eastAsia" w:ascii="Times New Roman" w:hAnsi="Times New Roman" w:eastAsia="仿宋_GB2312" w:cs="Times New Roman"/>
          <w:color w:val="auto"/>
          <w:sz w:val="32"/>
          <w:szCs w:val="32"/>
          <w:highlight w:val="none"/>
          <w:lang w:eastAsia="zh-CN" w:bidi="ar-SA"/>
        </w:rPr>
        <w:t>管理工作</w:t>
      </w:r>
      <w:r>
        <w:rPr>
          <w:rFonts w:hint="eastAsia" w:ascii="Times New Roman" w:hAnsi="Times New Roman" w:eastAsia="仿宋_GB2312" w:cs="Times New Roman"/>
          <w:color w:val="auto"/>
          <w:sz w:val="32"/>
          <w:szCs w:val="32"/>
          <w:highlight w:val="none"/>
          <w:lang w:bidi="ar-SA"/>
        </w:rPr>
        <w:t>。稳妥推进校服市场化改革</w:t>
      </w:r>
      <w:r>
        <w:rPr>
          <w:rFonts w:hint="default" w:ascii="Times New Roman" w:hAnsi="Times New Roman" w:eastAsia="仿宋_GB2312" w:cs="Times New Roman"/>
          <w:color w:val="auto"/>
          <w:sz w:val="32"/>
          <w:szCs w:val="32"/>
          <w:highlight w:val="none"/>
          <w:lang w:eastAsia="zh-CN"/>
        </w:rPr>
        <w:t>。</w:t>
      </w:r>
    </w:p>
    <w:p w14:paraId="41BE4190">
      <w:pPr>
        <w:keepNext w:val="0"/>
        <w:keepLines w:val="0"/>
        <w:pageBreakBefore w:val="0"/>
        <w:widowControl w:val="0"/>
        <w:kinsoku/>
        <w:wordWrap/>
        <w:overflowPunct/>
        <w:topLinePunct w:val="0"/>
        <w:autoSpaceDE/>
        <w:autoSpaceDN/>
        <w:bidi w:val="0"/>
        <w:adjustRightInd/>
        <w:snapToGrid/>
        <w:spacing w:line="540" w:lineRule="exact"/>
        <w:ind w:firstLine="616" w:firstLineChars="200"/>
        <w:textAlignment w:val="auto"/>
        <w:outlineLvl w:val="9"/>
        <w:rPr>
          <w:rFonts w:ascii="Times New Roman" w:eastAsia="楷体_GB2312"/>
          <w:b/>
          <w:bCs/>
          <w:szCs w:val="32"/>
        </w:rPr>
      </w:pPr>
      <w:bookmarkStart w:id="11" w:name="_Toc28424_WPSOffice_Level2"/>
      <w:bookmarkStart w:id="12" w:name="_Toc8086"/>
      <w:r>
        <w:rPr>
          <w:rFonts w:hint="eastAsia" w:ascii="Times New Roman" w:eastAsia="楷体_GB2312"/>
          <w:b/>
          <w:bCs/>
          <w:szCs w:val="32"/>
        </w:rPr>
        <w:t>（三）</w:t>
      </w:r>
      <w:bookmarkEnd w:id="11"/>
      <w:bookmarkEnd w:id="12"/>
      <w:r>
        <w:rPr>
          <w:rFonts w:hint="eastAsia" w:ascii="Times New Roman" w:eastAsia="楷体_GB2312"/>
          <w:b/>
          <w:bCs/>
          <w:szCs w:val="32"/>
        </w:rPr>
        <w:t>部门整体支出情况</w:t>
      </w:r>
    </w:p>
    <w:p w14:paraId="057073E4">
      <w:pPr>
        <w:keepNext w:val="0"/>
        <w:keepLines w:val="0"/>
        <w:pageBreakBefore w:val="0"/>
        <w:widowControl w:val="0"/>
        <w:kinsoku/>
        <w:wordWrap/>
        <w:overflowPunct/>
        <w:topLinePunct w:val="0"/>
        <w:autoSpaceDE/>
        <w:autoSpaceDN/>
        <w:bidi w:val="0"/>
        <w:adjustRightInd/>
        <w:snapToGrid/>
        <w:spacing w:line="540" w:lineRule="exact"/>
        <w:ind w:firstLine="616" w:firstLineChars="200"/>
        <w:textAlignment w:val="auto"/>
        <w:outlineLvl w:val="9"/>
        <w:rPr>
          <w:rFonts w:hint="eastAsia" w:ascii="Times New Roman" w:hAnsi="Times New Roman" w:cs="仿宋_GB2312"/>
          <w:bCs/>
          <w:szCs w:val="32"/>
        </w:rPr>
      </w:pPr>
      <w:r>
        <w:rPr>
          <w:rFonts w:hint="eastAsia" w:ascii="Times New Roman" w:hAnsi="Times New Roman" w:cs="仿宋_GB2312"/>
          <w:bCs/>
          <w:szCs w:val="32"/>
          <w:lang w:val="en-US" w:eastAsia="zh-CN"/>
        </w:rPr>
        <w:t>2025年部门（本级）年度预算4945.89万元（其中基本支出2124万元，项目支出2821.89万元），预算调整10593.08万元（学校建设资金），实际支出15538.97万元，其中三公经费支出2.54万元，较预算安排减少14.96万元；公用经费支出133.47万元，较预算安排增加1.67万元。</w:t>
      </w:r>
    </w:p>
    <w:p w14:paraId="4012AD2B">
      <w:pPr>
        <w:keepNext w:val="0"/>
        <w:keepLines w:val="0"/>
        <w:pageBreakBefore w:val="0"/>
        <w:widowControl w:val="0"/>
        <w:kinsoku/>
        <w:wordWrap/>
        <w:overflowPunct/>
        <w:topLinePunct w:val="0"/>
        <w:autoSpaceDE/>
        <w:autoSpaceDN/>
        <w:bidi w:val="0"/>
        <w:adjustRightInd/>
        <w:spacing w:line="540" w:lineRule="exact"/>
        <w:ind w:firstLine="616" w:firstLineChars="200"/>
        <w:textAlignment w:val="auto"/>
        <w:outlineLvl w:val="9"/>
        <w:rPr>
          <w:rFonts w:ascii="Times New Roman" w:eastAsia="楷体_GB2312"/>
          <w:b/>
          <w:bCs/>
          <w:szCs w:val="32"/>
        </w:rPr>
      </w:pPr>
      <w:r>
        <w:rPr>
          <w:rFonts w:hint="eastAsia" w:ascii="Times New Roman" w:eastAsia="楷体_GB2312"/>
          <w:b/>
          <w:bCs/>
          <w:szCs w:val="32"/>
        </w:rPr>
        <w:t>（四）部门整体支出绩效目标</w:t>
      </w:r>
    </w:p>
    <w:p w14:paraId="14F10973">
      <w:pPr>
        <w:keepNext w:val="0"/>
        <w:keepLines w:val="0"/>
        <w:pageBreakBefore w:val="0"/>
        <w:widowControl w:val="0"/>
        <w:kinsoku/>
        <w:wordWrap/>
        <w:overflowPunct/>
        <w:topLinePunct w:val="0"/>
        <w:autoSpaceDE/>
        <w:autoSpaceDN/>
        <w:bidi w:val="0"/>
        <w:adjustRightInd/>
        <w:spacing w:line="540" w:lineRule="exact"/>
        <w:ind w:firstLine="616" w:firstLineChars="200"/>
        <w:textAlignment w:val="auto"/>
        <w:outlineLvl w:val="9"/>
        <w:rPr>
          <w:rFonts w:hint="eastAsia" w:ascii="Times New Roman" w:hAnsi="Times New Roman" w:cs="仿宋_GB2312"/>
          <w:szCs w:val="32"/>
        </w:rPr>
      </w:pPr>
      <w:r>
        <w:rPr>
          <w:rFonts w:hint="eastAsia" w:ascii="Times New Roman" w:hAnsi="Times New Roman" w:cs="仿宋_GB2312"/>
          <w:szCs w:val="32"/>
        </w:rPr>
        <w:t>围绕部门职能和重点工作任务，结合预算资金安排</w:t>
      </w:r>
      <w:r>
        <w:rPr>
          <w:rFonts w:hint="eastAsia" w:ascii="Times New Roman" w:hAnsi="Times New Roman" w:cs="仿宋_GB2312"/>
          <w:szCs w:val="32"/>
          <w:lang w:eastAsia="zh-CN"/>
        </w:rPr>
        <w:t>和市委、市政府下达工作任务安排</w:t>
      </w:r>
      <w:r>
        <w:rPr>
          <w:rFonts w:hint="eastAsia" w:ascii="Times New Roman" w:hAnsi="Times New Roman" w:cs="仿宋_GB2312"/>
          <w:szCs w:val="32"/>
        </w:rPr>
        <w:t>，202</w:t>
      </w:r>
      <w:r>
        <w:rPr>
          <w:rFonts w:hint="eastAsia" w:ascii="Times New Roman" w:hAnsi="Times New Roman" w:cs="仿宋_GB2312"/>
          <w:szCs w:val="32"/>
          <w:lang w:val="en-US" w:eastAsia="zh-CN"/>
        </w:rPr>
        <w:t>5</w:t>
      </w:r>
      <w:r>
        <w:rPr>
          <w:rFonts w:hint="eastAsia" w:ascii="Times New Roman" w:hAnsi="Times New Roman" w:cs="仿宋_GB2312"/>
          <w:szCs w:val="32"/>
        </w:rPr>
        <w:t>年主要落实如下绩效目标：</w:t>
      </w:r>
      <w:r>
        <w:rPr>
          <w:rFonts w:hint="eastAsia" w:ascii="Times New Roman" w:hAnsi="Times New Roman" w:cs="仿宋_GB2312"/>
          <w:szCs w:val="32"/>
          <w:lang w:val="en-US" w:eastAsia="zh-CN"/>
        </w:rPr>
        <w:t>1.</w:t>
      </w:r>
      <w:r>
        <w:rPr>
          <w:rFonts w:hint="eastAsia" w:ascii="Times New Roman" w:hAnsi="Times New Roman" w:cs="仿宋_GB2312"/>
          <w:szCs w:val="32"/>
        </w:rPr>
        <w:t>持续深入推进全市中小学校党组织领导的校长负责制改革，</w:t>
      </w:r>
      <w:r>
        <w:rPr>
          <w:rFonts w:hint="default" w:ascii="Times New Roman" w:hAnsi="Times New Roman" w:eastAsia="仿宋_GB2312" w:cs="Times New Roman"/>
          <w:color w:val="auto"/>
          <w:sz w:val="32"/>
          <w:szCs w:val="32"/>
          <w:highlight w:val="none"/>
        </w:rPr>
        <w:t>实现公办中小学党组织领导的校长负责制覆盖</w:t>
      </w:r>
      <w:r>
        <w:rPr>
          <w:rFonts w:hint="eastAsia" w:cs="Times New Roman"/>
          <w:color w:val="auto"/>
          <w:sz w:val="32"/>
          <w:szCs w:val="32"/>
          <w:highlight w:val="none"/>
          <w:lang w:val="en-US" w:eastAsia="zh-CN"/>
        </w:rPr>
        <w:t>100%</w:t>
      </w:r>
      <w:r>
        <w:rPr>
          <w:rFonts w:hint="default" w:ascii="Times New Roman" w:hAnsi="Times New Roman" w:eastAsia="仿宋_GB2312" w:cs="Times New Roman"/>
          <w:color w:val="auto"/>
          <w:sz w:val="32"/>
          <w:szCs w:val="32"/>
          <w:highlight w:val="none"/>
        </w:rPr>
        <w:t>。全力推进新兴领域“两个覆盖”集中攻坚，全市475所民办中小学和幼儿园100%实现“两个覆盖”</w:t>
      </w:r>
      <w:r>
        <w:rPr>
          <w:rFonts w:hint="eastAsia" w:ascii="Times New Roman" w:hAnsi="Times New Roman" w:cs="仿宋_GB2312"/>
          <w:szCs w:val="32"/>
        </w:rPr>
        <w:t>。</w:t>
      </w:r>
      <w:r>
        <w:rPr>
          <w:rFonts w:hint="eastAsia" w:ascii="Times New Roman" w:hAnsi="Times New Roman" w:cs="仿宋_GB2312"/>
          <w:szCs w:val="32"/>
          <w:lang w:val="en-US" w:eastAsia="zh-CN"/>
        </w:rPr>
        <w:t>2.</w:t>
      </w:r>
      <w:r>
        <w:rPr>
          <w:rFonts w:hint="eastAsia" w:ascii="Times New Roman" w:hAnsi="Times New Roman" w:cs="仿宋_GB2312"/>
          <w:szCs w:val="32"/>
        </w:rPr>
        <w:t>加快教育事业发展，布局调整教育资源，改善学校办学条件，</w:t>
      </w:r>
      <w:r>
        <w:rPr>
          <w:rFonts w:hint="eastAsia" w:ascii="Times New Roman" w:hAnsi="Times New Roman" w:cs="仿宋_GB2312"/>
          <w:szCs w:val="32"/>
          <w:lang w:eastAsia="zh-CN"/>
        </w:rPr>
        <w:t>实现</w:t>
      </w:r>
      <w:r>
        <w:rPr>
          <w:rFonts w:hint="default" w:ascii="Times New Roman" w:hAnsi="Times New Roman" w:eastAsia="仿宋_GB2312" w:cs="Times New Roman"/>
          <w:bCs/>
          <w:color w:val="auto"/>
          <w:kern w:val="0"/>
          <w:sz w:val="32"/>
          <w:szCs w:val="32"/>
          <w:highlight w:val="none"/>
          <w:lang w:bidi="ar"/>
        </w:rPr>
        <w:t>镇中心小学、寄宿制学校100%达到标准化学校标准，镇中心幼儿园100%达到规范化幼儿园要求；</w:t>
      </w:r>
      <w:r>
        <w:rPr>
          <w:rFonts w:hint="eastAsia" w:cs="Times New Roman"/>
          <w:bCs/>
          <w:color w:val="auto"/>
          <w:kern w:val="0"/>
          <w:sz w:val="32"/>
          <w:szCs w:val="32"/>
          <w:highlight w:val="none"/>
          <w:lang w:val="en-US" w:eastAsia="zh-CN" w:bidi="ar"/>
        </w:rPr>
        <w:t>实现</w:t>
      </w:r>
      <w:r>
        <w:rPr>
          <w:rFonts w:hint="eastAsia" w:ascii="Times New Roman" w:hAnsi="Times New Roman" w:cs="仿宋_GB2312"/>
          <w:szCs w:val="32"/>
          <w:lang w:val="en-US" w:eastAsia="zh-CN"/>
        </w:rPr>
        <w:t>公办在园幼儿与普惠性幼儿园在园幼儿占比“5080”；实现适龄残疾儿童少年义务教育入学率≧95%；实现普通高中多样化发展，</w:t>
      </w:r>
      <w:r>
        <w:rPr>
          <w:rFonts w:hint="default" w:ascii="Times New Roman" w:hAnsi="Times New Roman" w:eastAsia="仿宋_GB2312" w:cs="Times New Roman"/>
          <w:bCs/>
          <w:color w:val="auto"/>
          <w:kern w:val="0"/>
          <w:sz w:val="32"/>
          <w:szCs w:val="32"/>
          <w:highlight w:val="none"/>
          <w:lang w:bidi="ar"/>
        </w:rPr>
        <w:t>阳江一中等6所学校入选2026年广东省首批100所普通高中多样化特色发展改革试点培育对象，涵盖科学、体育、艺术、综合等4个特色领域。</w:t>
      </w:r>
      <w:r>
        <w:rPr>
          <w:rFonts w:hint="eastAsia" w:ascii="Times New Roman" w:hAnsi="Times New Roman" w:cs="Times New Roman"/>
          <w:bCs/>
          <w:color w:val="auto"/>
          <w:kern w:val="0"/>
          <w:sz w:val="32"/>
          <w:szCs w:val="32"/>
          <w:highlight w:val="none"/>
          <w:lang w:val="en-US" w:eastAsia="zh-CN" w:bidi="ar"/>
        </w:rPr>
        <w:t>实现</w:t>
      </w:r>
      <w:r>
        <w:rPr>
          <w:rFonts w:hint="eastAsia" w:ascii="Times New Roman" w:hAnsi="Times New Roman" w:cs="仿宋_GB2312"/>
          <w:szCs w:val="32"/>
          <w:lang w:val="en-US" w:eastAsia="zh-CN"/>
        </w:rPr>
        <w:t>中等职业学校办学条件达标率≧80%的目标。</w:t>
      </w:r>
      <w:r>
        <w:rPr>
          <w:rFonts w:hint="eastAsia" w:ascii="Times New Roman" w:hAnsi="Times New Roman" w:cs="仿宋_GB2312"/>
          <w:szCs w:val="32"/>
        </w:rPr>
        <w:t>3.完成202</w:t>
      </w:r>
      <w:r>
        <w:rPr>
          <w:rFonts w:hint="eastAsia" w:ascii="Times New Roman" w:hAnsi="Times New Roman" w:cs="仿宋_GB2312"/>
          <w:szCs w:val="32"/>
          <w:lang w:val="en-US" w:eastAsia="zh-CN"/>
        </w:rPr>
        <w:t>5</w:t>
      </w:r>
      <w:r>
        <w:rPr>
          <w:rFonts w:hint="eastAsia" w:ascii="Times New Roman" w:hAnsi="Times New Roman" w:cs="仿宋_GB2312"/>
          <w:szCs w:val="32"/>
        </w:rPr>
        <w:t>年市十件民生实事项目年度建设目标</w:t>
      </w:r>
      <w:r>
        <w:rPr>
          <w:rFonts w:hint="eastAsia" w:ascii="Times New Roman" w:hAnsi="Times New Roman" w:cs="仿宋_GB2312"/>
          <w:szCs w:val="32"/>
          <w:lang w:eastAsia="zh-CN"/>
        </w:rPr>
        <w:t>，</w:t>
      </w:r>
      <w:r>
        <w:rPr>
          <w:rFonts w:hint="eastAsia" w:ascii="Times New Roman" w:hAnsi="Times New Roman" w:eastAsia="仿宋_GB2312" w:cs="Times New Roman"/>
          <w:bCs/>
          <w:color w:val="auto"/>
          <w:kern w:val="0"/>
          <w:sz w:val="32"/>
          <w:szCs w:val="32"/>
          <w:highlight w:val="none"/>
          <w:lang w:eastAsia="zh-CN" w:bidi="ar"/>
        </w:rPr>
        <w:t>投入</w:t>
      </w:r>
      <w:r>
        <w:rPr>
          <w:rFonts w:hint="eastAsia" w:ascii="Times New Roman" w:hAnsi="Times New Roman" w:eastAsia="仿宋_GB2312" w:cs="Times New Roman"/>
          <w:bCs/>
          <w:color w:val="auto"/>
          <w:kern w:val="0"/>
          <w:sz w:val="32"/>
          <w:szCs w:val="32"/>
          <w:highlight w:val="none"/>
          <w:lang w:val="en-US" w:eastAsia="zh-CN" w:bidi="ar"/>
        </w:rPr>
        <w:t>13000万元</w:t>
      </w:r>
      <w:r>
        <w:rPr>
          <w:rFonts w:hint="default" w:ascii="Times New Roman" w:hAnsi="Times New Roman" w:eastAsia="仿宋_GB2312" w:cs="Times New Roman"/>
          <w:bCs/>
          <w:color w:val="auto"/>
          <w:kern w:val="0"/>
          <w:sz w:val="32"/>
          <w:szCs w:val="32"/>
          <w:highlight w:val="none"/>
          <w:lang w:bidi="ar"/>
        </w:rPr>
        <w:t>推动建成公办幼儿园</w:t>
      </w:r>
      <w:r>
        <w:rPr>
          <w:rFonts w:hint="eastAsia" w:ascii="Times New Roman" w:hAnsi="Times New Roman" w:eastAsia="仿宋_GB2312" w:cs="Times New Roman"/>
          <w:bCs/>
          <w:color w:val="auto"/>
          <w:kern w:val="0"/>
          <w:sz w:val="32"/>
          <w:szCs w:val="32"/>
          <w:highlight w:val="none"/>
          <w:lang w:val="en-US" w:eastAsia="zh-CN" w:bidi="ar"/>
        </w:rPr>
        <w:t>5</w:t>
      </w:r>
      <w:r>
        <w:rPr>
          <w:rFonts w:hint="default" w:ascii="Times New Roman" w:hAnsi="Times New Roman" w:eastAsia="仿宋_GB2312" w:cs="Times New Roman"/>
          <w:bCs/>
          <w:color w:val="auto"/>
          <w:kern w:val="0"/>
          <w:sz w:val="32"/>
          <w:szCs w:val="32"/>
          <w:highlight w:val="none"/>
          <w:lang w:bidi="ar"/>
        </w:rPr>
        <w:t>所，新增公办学位超</w:t>
      </w:r>
      <w:r>
        <w:rPr>
          <w:rFonts w:hint="eastAsia" w:ascii="Times New Roman" w:hAnsi="Times New Roman" w:eastAsia="仿宋_GB2312" w:cs="Times New Roman"/>
          <w:bCs/>
          <w:color w:val="auto"/>
          <w:kern w:val="0"/>
          <w:sz w:val="32"/>
          <w:szCs w:val="32"/>
          <w:highlight w:val="none"/>
          <w:lang w:val="en-US" w:eastAsia="zh-CN" w:bidi="ar"/>
        </w:rPr>
        <w:t>17</w:t>
      </w:r>
      <w:r>
        <w:rPr>
          <w:rFonts w:hint="default" w:ascii="Times New Roman" w:hAnsi="Times New Roman" w:eastAsia="仿宋_GB2312" w:cs="Times New Roman"/>
          <w:bCs/>
          <w:color w:val="auto"/>
          <w:kern w:val="0"/>
          <w:sz w:val="32"/>
          <w:szCs w:val="32"/>
          <w:highlight w:val="none"/>
          <w:lang w:bidi="ar"/>
        </w:rPr>
        <w:t>00个</w:t>
      </w:r>
      <w:r>
        <w:rPr>
          <w:rFonts w:hint="eastAsia" w:ascii="Times New Roman" w:hAnsi="Times New Roman" w:cs="仿宋_GB2312"/>
          <w:szCs w:val="32"/>
          <w:lang w:eastAsia="zh-CN"/>
        </w:rPr>
        <w:t>。</w:t>
      </w:r>
      <w:r>
        <w:rPr>
          <w:rFonts w:hint="eastAsia" w:ascii="Times New Roman" w:hAnsi="Times New Roman" w:cs="仿宋_GB2312"/>
          <w:szCs w:val="32"/>
        </w:rPr>
        <w:t>4.推进“百县千镇万村高质量发展工程”教育行动</w:t>
      </w:r>
      <w:r>
        <w:rPr>
          <w:rFonts w:hint="eastAsia" w:ascii="Times New Roman" w:hAnsi="Times New Roman" w:cs="仿宋_GB2312"/>
          <w:szCs w:val="32"/>
          <w:lang w:eastAsia="zh-CN"/>
        </w:rPr>
        <w:t>，通过开展县中托管帮扶行动、推进城乡教育共同体建设、着力办好“三所学校”、开展“双百行动”，</w:t>
      </w:r>
      <w:r>
        <w:rPr>
          <w:rFonts w:hint="default" w:ascii="Times New Roman" w:hAnsi="Times New Roman" w:eastAsia="仿宋_GB2312" w:cs="Times New Roman"/>
          <w:bCs/>
          <w:color w:val="auto"/>
          <w:kern w:val="0"/>
          <w:sz w:val="32"/>
          <w:szCs w:val="32"/>
          <w:highlight w:val="none"/>
          <w:lang w:bidi="ar"/>
        </w:rPr>
        <w:t>建</w:t>
      </w:r>
      <w:r>
        <w:rPr>
          <w:rFonts w:hint="eastAsia" w:ascii="Times New Roman" w:hAnsi="Times New Roman" w:eastAsia="仿宋_GB2312" w:cs="Times New Roman"/>
          <w:bCs/>
          <w:color w:val="auto"/>
          <w:kern w:val="0"/>
          <w:sz w:val="32"/>
          <w:szCs w:val="32"/>
          <w:highlight w:val="none"/>
          <w:lang w:val="en-US" w:eastAsia="zh-CN" w:bidi="ar"/>
        </w:rPr>
        <w:t>成</w:t>
      </w:r>
      <w:r>
        <w:rPr>
          <w:rFonts w:hint="default" w:ascii="Times New Roman" w:hAnsi="Times New Roman" w:eastAsia="仿宋_GB2312" w:cs="Times New Roman"/>
          <w:bCs/>
          <w:color w:val="auto"/>
          <w:kern w:val="0"/>
          <w:sz w:val="32"/>
          <w:szCs w:val="32"/>
          <w:highlight w:val="none"/>
          <w:lang w:bidi="ar"/>
        </w:rPr>
        <w:t>4个城乡学前教育一体化管理中心，培育6个“省级优质学前教育共同体”。</w:t>
      </w:r>
      <w:r>
        <w:rPr>
          <w:rFonts w:hint="eastAsia" w:ascii="Times New Roman" w:hAnsi="Times New Roman" w:eastAsia="仿宋_GB2312" w:cs="Times New Roman"/>
          <w:bCs/>
          <w:color w:val="auto"/>
          <w:kern w:val="0"/>
          <w:sz w:val="32"/>
          <w:szCs w:val="32"/>
          <w:highlight w:val="none"/>
          <w:lang w:val="en-US" w:eastAsia="zh-CN" w:bidi="ar"/>
        </w:rPr>
        <w:t>建设</w:t>
      </w:r>
      <w:r>
        <w:rPr>
          <w:rFonts w:hint="default" w:ascii="Times New Roman" w:hAnsi="Times New Roman" w:eastAsia="仿宋_GB2312" w:cs="Times New Roman"/>
          <w:bCs/>
          <w:color w:val="auto"/>
          <w:kern w:val="0"/>
          <w:sz w:val="32"/>
          <w:szCs w:val="32"/>
          <w:highlight w:val="none"/>
          <w:lang w:bidi="ar"/>
        </w:rPr>
        <w:t>6所义务教育乡村温馨校园。新构建城乡教育共同体11个</w:t>
      </w:r>
      <w:r>
        <w:rPr>
          <w:rFonts w:hint="eastAsia" w:ascii="Times New Roman" w:hAnsi="Times New Roman" w:eastAsia="仿宋_GB2312" w:cs="Times New Roman"/>
          <w:bCs/>
          <w:color w:val="auto"/>
          <w:kern w:val="0"/>
          <w:sz w:val="32"/>
          <w:szCs w:val="32"/>
          <w:highlight w:val="none"/>
          <w:lang w:eastAsia="zh-CN" w:bidi="ar"/>
        </w:rPr>
        <w:t>，</w:t>
      </w:r>
      <w:r>
        <w:rPr>
          <w:rFonts w:hint="default" w:ascii="Times New Roman" w:hAnsi="Times New Roman" w:eastAsia="仿宋_GB2312" w:cs="Times New Roman"/>
          <w:bCs/>
          <w:color w:val="auto"/>
          <w:kern w:val="0"/>
          <w:sz w:val="32"/>
          <w:szCs w:val="32"/>
          <w:highlight w:val="none"/>
          <w:lang w:bidi="ar"/>
        </w:rPr>
        <w:t>总数达29个，覆盖学校150所、学生20.2万人，所有乡镇全覆盖。</w:t>
      </w:r>
      <w:r>
        <w:rPr>
          <w:rFonts w:hint="eastAsia" w:ascii="Times New Roman" w:hAnsi="Times New Roman" w:cs="仿宋_GB2312"/>
          <w:szCs w:val="32"/>
        </w:rPr>
        <w:t>5.</w:t>
      </w:r>
      <w:r>
        <w:rPr>
          <w:rFonts w:hint="eastAsia" w:ascii="Times New Roman" w:hAnsi="Times New Roman" w:eastAsia="仿宋_GB2312" w:cs="Times New Roman"/>
          <w:b w:val="0"/>
          <w:color w:val="auto"/>
          <w:w w:val="98"/>
          <w:kern w:val="2"/>
          <w:sz w:val="32"/>
          <w:szCs w:val="32"/>
          <w:highlight w:val="none"/>
          <w:lang w:val="en-US" w:eastAsia="zh-CN" w:bidi="ar"/>
        </w:rPr>
        <w:t>推进专门教育发展。</w:t>
      </w:r>
      <w:r>
        <w:rPr>
          <w:rFonts w:hint="default" w:ascii="Times New Roman" w:hAnsi="Times New Roman" w:eastAsia="仿宋_GB2312" w:cs="Times New Roman"/>
          <w:color w:val="auto"/>
          <w:w w:val="98"/>
          <w:sz w:val="32"/>
          <w:szCs w:val="32"/>
          <w:highlight w:val="none"/>
        </w:rPr>
        <w:t>市</w:t>
      </w:r>
      <w:r>
        <w:rPr>
          <w:rFonts w:hint="eastAsia" w:ascii="Times New Roman" w:hAnsi="Times New Roman" w:eastAsia="仿宋_GB2312" w:cs="Times New Roman"/>
          <w:color w:val="auto"/>
          <w:w w:val="98"/>
          <w:sz w:val="32"/>
          <w:szCs w:val="32"/>
          <w:highlight w:val="none"/>
        </w:rPr>
        <w:t>新阳学校</w:t>
      </w:r>
      <w:r>
        <w:rPr>
          <w:rFonts w:hint="default" w:ascii="Times New Roman" w:hAnsi="Times New Roman" w:eastAsia="仿宋_GB2312" w:cs="Times New Roman"/>
          <w:color w:val="auto"/>
          <w:w w:val="98"/>
          <w:sz w:val="32"/>
          <w:szCs w:val="32"/>
          <w:highlight w:val="none"/>
        </w:rPr>
        <w:t>建立起市委政法委与教育部门“双牵头”办学模式</w:t>
      </w:r>
      <w:r>
        <w:rPr>
          <w:rFonts w:hint="default" w:ascii="Times New Roman" w:hAnsi="Times New Roman" w:eastAsia="仿宋_GB2312" w:cs="Times New Roman"/>
          <w:color w:val="auto"/>
          <w:w w:val="98"/>
          <w:sz w:val="32"/>
          <w:szCs w:val="32"/>
          <w:highlight w:val="none"/>
          <w:lang w:eastAsia="zh-CN"/>
        </w:rPr>
        <w:t>，</w:t>
      </w:r>
      <w:r>
        <w:rPr>
          <w:rFonts w:hint="eastAsia" w:ascii="Times New Roman" w:hAnsi="Times New Roman" w:eastAsia="仿宋_GB2312" w:cs="Times New Roman"/>
          <w:color w:val="auto"/>
          <w:w w:val="98"/>
          <w:sz w:val="32"/>
          <w:szCs w:val="32"/>
          <w:highlight w:val="none"/>
        </w:rPr>
        <w:t>累计招生</w:t>
      </w:r>
      <w:r>
        <w:rPr>
          <w:rFonts w:hint="default" w:ascii="Times New Roman" w:hAnsi="Times New Roman" w:eastAsia="仿宋_GB2312" w:cs="Times New Roman"/>
          <w:color w:val="auto"/>
          <w:w w:val="98"/>
          <w:sz w:val="32"/>
          <w:szCs w:val="32"/>
          <w:highlight w:val="none"/>
          <w:lang w:val="en"/>
        </w:rPr>
        <w:t>513</w:t>
      </w:r>
      <w:r>
        <w:rPr>
          <w:rFonts w:hint="eastAsia" w:ascii="Times New Roman" w:hAnsi="Times New Roman" w:eastAsia="仿宋_GB2312" w:cs="Times New Roman"/>
          <w:color w:val="auto"/>
          <w:w w:val="98"/>
          <w:sz w:val="32"/>
          <w:szCs w:val="32"/>
          <w:highlight w:val="none"/>
        </w:rPr>
        <w:t>人，其中已完成矫治</w:t>
      </w:r>
      <w:r>
        <w:rPr>
          <w:rFonts w:hint="default" w:ascii="Times New Roman" w:hAnsi="Times New Roman" w:eastAsia="仿宋_GB2312" w:cs="Times New Roman"/>
          <w:color w:val="auto"/>
          <w:w w:val="98"/>
          <w:sz w:val="32"/>
          <w:szCs w:val="32"/>
          <w:highlight w:val="none"/>
          <w:lang w:val="en"/>
        </w:rPr>
        <w:t>303</w:t>
      </w:r>
      <w:r>
        <w:rPr>
          <w:rFonts w:hint="eastAsia" w:ascii="Times New Roman" w:hAnsi="Times New Roman" w:eastAsia="仿宋_GB2312" w:cs="Times New Roman"/>
          <w:color w:val="auto"/>
          <w:w w:val="98"/>
          <w:sz w:val="32"/>
          <w:szCs w:val="32"/>
          <w:highlight w:val="none"/>
        </w:rPr>
        <w:t>人</w:t>
      </w:r>
      <w:r>
        <w:rPr>
          <w:rFonts w:hint="eastAsia" w:ascii="Times New Roman" w:hAnsi="Times New Roman" w:cs="仿宋_GB2312"/>
          <w:szCs w:val="32"/>
          <w:lang w:eastAsia="zh-CN"/>
        </w:rPr>
        <w:t>。6.</w:t>
      </w:r>
      <w:r>
        <w:rPr>
          <w:rFonts w:hint="eastAsia" w:ascii="Times New Roman" w:hAnsi="Times New Roman" w:cs="仿宋_GB2312"/>
          <w:szCs w:val="32"/>
          <w:lang w:val="en-US" w:eastAsia="zh-CN"/>
        </w:rPr>
        <w:t>推进</w:t>
      </w:r>
      <w:r>
        <w:rPr>
          <w:rFonts w:hint="default" w:ascii="Times New Roman" w:hAnsi="Times New Roman" w:eastAsia="仿宋_GB2312" w:cs="Times New Roman"/>
          <w:color w:val="auto"/>
          <w:sz w:val="32"/>
          <w:szCs w:val="32"/>
          <w:highlight w:val="none"/>
        </w:rPr>
        <w:t>特殊教育</w:t>
      </w:r>
      <w:r>
        <w:rPr>
          <w:rFonts w:hint="default" w:ascii="Times New Roman" w:hAnsi="Times New Roman" w:eastAsia="仿宋_GB2312" w:cs="Times New Roman"/>
          <w:color w:val="auto"/>
          <w:sz w:val="32"/>
          <w:szCs w:val="32"/>
          <w:highlight w:val="none"/>
          <w:lang w:eastAsia="zh-CN"/>
        </w:rPr>
        <w:t>和</w:t>
      </w:r>
      <w:r>
        <w:rPr>
          <w:rFonts w:hint="default" w:ascii="Times New Roman" w:hAnsi="Times New Roman" w:eastAsia="仿宋_GB2312" w:cs="Times New Roman"/>
          <w:color w:val="auto"/>
          <w:sz w:val="32"/>
          <w:szCs w:val="32"/>
          <w:highlight w:val="none"/>
        </w:rPr>
        <w:t>融合教育</w:t>
      </w:r>
      <w:r>
        <w:rPr>
          <w:rFonts w:hint="eastAsia" w:cs="Times New Roman"/>
          <w:color w:val="auto"/>
          <w:sz w:val="32"/>
          <w:szCs w:val="32"/>
          <w:highlight w:val="none"/>
          <w:lang w:val="en-US" w:eastAsia="zh-CN"/>
        </w:rPr>
        <w:t>发展，</w:t>
      </w:r>
      <w:r>
        <w:rPr>
          <w:rFonts w:hint="default" w:ascii="Times New Roman" w:hAnsi="Times New Roman" w:eastAsia="仿宋_GB2312" w:cs="Times New Roman"/>
          <w:color w:val="auto"/>
          <w:sz w:val="32"/>
          <w:szCs w:val="32"/>
          <w:highlight w:val="none"/>
        </w:rPr>
        <w:t>全市共建成5个市县级特殊教育资源中心，其中2个入选广东省优质特殊教育资源中心</w:t>
      </w:r>
      <w:r>
        <w:rPr>
          <w:rFonts w:hint="eastAsia" w:cs="Times New Roman"/>
          <w:color w:val="auto"/>
          <w:sz w:val="32"/>
          <w:szCs w:val="32"/>
          <w:highlight w:val="none"/>
          <w:lang w:eastAsia="zh-CN"/>
        </w:rPr>
        <w:t>。</w:t>
      </w:r>
      <w:r>
        <w:rPr>
          <w:rFonts w:hint="eastAsia" w:cs="Times New Roman"/>
          <w:color w:val="auto"/>
          <w:sz w:val="32"/>
          <w:szCs w:val="32"/>
          <w:highlight w:val="none"/>
          <w:lang w:val="en-US" w:eastAsia="zh-CN"/>
        </w:rPr>
        <w:t>7.</w:t>
      </w:r>
      <w:r>
        <w:rPr>
          <w:rFonts w:hint="eastAsia" w:ascii="Times New Roman" w:hAnsi="Times New Roman" w:cs="仿宋_GB2312"/>
          <w:szCs w:val="32"/>
          <w:lang w:eastAsia="zh-CN"/>
        </w:rPr>
        <w:t>实施“新强师工程”，分层分级分类组织开展中小学教师研修培训，</w:t>
      </w:r>
      <w:r>
        <w:rPr>
          <w:rFonts w:hint="default" w:ascii="Times New Roman" w:hAnsi="Times New Roman" w:eastAsia="仿宋_GB2312" w:cs="Times New Roman"/>
          <w:color w:val="auto"/>
          <w:kern w:val="0"/>
          <w:sz w:val="32"/>
          <w:szCs w:val="32"/>
          <w:highlight w:val="none"/>
        </w:rPr>
        <w:t>组织开展36个市级骨干教师培训项目，累计培训教师9300余人次</w:t>
      </w:r>
      <w:r>
        <w:rPr>
          <w:rFonts w:hint="eastAsia" w:ascii="Times New Roman" w:hAnsi="Times New Roman" w:cs="仿宋_GB2312"/>
          <w:szCs w:val="32"/>
          <w:lang w:val="en-US" w:eastAsia="zh-CN"/>
        </w:rPr>
        <w:t>。</w:t>
      </w:r>
      <w:r>
        <w:rPr>
          <w:rFonts w:hint="default" w:ascii="Times New Roman" w:hAnsi="Times New Roman" w:eastAsia="仿宋_GB2312" w:cs="Times New Roman"/>
          <w:i w:val="0"/>
          <w:iCs w:val="0"/>
          <w:caps w:val="0"/>
          <w:color w:val="auto"/>
          <w:spacing w:val="0"/>
          <w:kern w:val="0"/>
          <w:sz w:val="32"/>
          <w:szCs w:val="32"/>
          <w:highlight w:val="none"/>
          <w:shd w:val="clear" w:color="auto" w:fill="auto"/>
          <w:lang w:val="en-US" w:eastAsia="zh-CN" w:bidi="ar"/>
        </w:rPr>
        <w:t>全年开展教研活动250场，受益师生近9万人次。开展人工智能、智慧教育平台应用等专题培训7场，覆盖教师700余人次，其中AI工具课堂应用率在三个月内提升40%。</w:t>
      </w:r>
      <w:r>
        <w:rPr>
          <w:rFonts w:hint="eastAsia" w:cs="Times New Roman"/>
          <w:i w:val="0"/>
          <w:iCs w:val="0"/>
          <w:caps w:val="0"/>
          <w:color w:val="auto"/>
          <w:spacing w:val="0"/>
          <w:kern w:val="0"/>
          <w:sz w:val="32"/>
          <w:szCs w:val="32"/>
          <w:highlight w:val="none"/>
          <w:shd w:val="clear" w:color="auto" w:fill="auto"/>
          <w:lang w:val="en-US" w:eastAsia="zh-CN" w:bidi="ar"/>
        </w:rPr>
        <w:t>8</w:t>
      </w:r>
      <w:r>
        <w:rPr>
          <w:rFonts w:hint="eastAsia" w:ascii="Times New Roman" w:hAnsi="Times New Roman" w:cs="仿宋_GB2312"/>
          <w:szCs w:val="32"/>
          <w:lang w:val="en-US" w:eastAsia="zh-CN"/>
        </w:rPr>
        <w:t>.做好全年13大类21场次考试工作，考试正常运行率100%,确保全市考试安全、规范、有序，提高实行信息化管理水平和服务。9.开</w:t>
      </w:r>
      <w:r>
        <w:rPr>
          <w:rFonts w:hint="default" w:ascii="Times New Roman" w:hAnsi="Times New Roman" w:cs="仿宋_GB2312"/>
          <w:szCs w:val="32"/>
          <w:lang w:val="en-US" w:eastAsia="zh-CN"/>
        </w:rPr>
        <w:t>展更高水平平安校园建设</w:t>
      </w:r>
      <w:r>
        <w:rPr>
          <w:rFonts w:hint="eastAsia" w:ascii="Times New Roman" w:hAnsi="Times New Roman" w:cs="仿宋_GB2312"/>
          <w:szCs w:val="32"/>
          <w:lang w:val="en-US" w:eastAsia="zh-CN"/>
        </w:rPr>
        <w:t>，全市校园重大安全事故发生数零发生</w:t>
      </w:r>
      <w:r>
        <w:rPr>
          <w:rFonts w:hint="eastAsia" w:ascii="Times New Roman" w:hAnsi="Times New Roman" w:cs="仿宋_GB2312"/>
          <w:szCs w:val="32"/>
          <w:lang w:eastAsia="zh-CN"/>
        </w:rPr>
        <w:t>。</w:t>
      </w:r>
      <w:r>
        <w:rPr>
          <w:rFonts w:hint="default" w:ascii="Times New Roman" w:hAnsi="Times New Roman" w:eastAsia="仿宋_GB2312" w:cs="Times New Roman"/>
          <w:color w:val="auto"/>
          <w:sz w:val="32"/>
          <w:szCs w:val="32"/>
          <w:highlight w:val="none"/>
        </w:rPr>
        <w:t>落实安防“四个100%”，投入459万元改造校门口防撞栏2577处</w:t>
      </w:r>
      <w:r>
        <w:rPr>
          <w:rFonts w:hint="default" w:ascii="Times New Roman" w:hAnsi="Times New Roman" w:eastAsia="仿宋_GB2312" w:cs="Times New Roman"/>
          <w:b w:val="0"/>
          <w:bCs w:val="0"/>
          <w:color w:val="auto"/>
          <w:sz w:val="32"/>
          <w:szCs w:val="32"/>
          <w:highlight w:val="none"/>
        </w:rPr>
        <w:t>。</w:t>
      </w:r>
      <w:r>
        <w:rPr>
          <w:rFonts w:hint="eastAsia" w:cs="Times New Roman"/>
          <w:b w:val="0"/>
          <w:bCs w:val="0"/>
          <w:color w:val="auto"/>
          <w:sz w:val="32"/>
          <w:szCs w:val="32"/>
          <w:highlight w:val="none"/>
          <w:lang w:val="en-US" w:eastAsia="zh-CN"/>
        </w:rPr>
        <w:t>开展校园餐整治，</w:t>
      </w:r>
      <w:r>
        <w:rPr>
          <w:rFonts w:hint="eastAsia" w:ascii="Times New Roman" w:hAnsi="Times New Roman" w:eastAsia="仿宋_GB2312" w:cs="Times New Roman"/>
          <w:color w:val="auto"/>
          <w:sz w:val="32"/>
          <w:szCs w:val="32"/>
          <w:highlight w:val="none"/>
          <w:lang w:bidi="ar-SA"/>
        </w:rPr>
        <w:t>推动全市770家学校、幼儿园食堂实现“六个百分百”，惠及50多万师生。</w:t>
      </w:r>
    </w:p>
    <w:p w14:paraId="22085950">
      <w:pPr>
        <w:keepNext w:val="0"/>
        <w:keepLines w:val="0"/>
        <w:pageBreakBefore w:val="0"/>
        <w:widowControl w:val="0"/>
        <w:kinsoku/>
        <w:wordWrap/>
        <w:overflowPunct/>
        <w:topLinePunct w:val="0"/>
        <w:autoSpaceDE/>
        <w:autoSpaceDN/>
        <w:bidi w:val="0"/>
        <w:adjustRightInd/>
        <w:spacing w:line="540" w:lineRule="exact"/>
        <w:ind w:firstLine="616" w:firstLineChars="200"/>
        <w:textAlignment w:val="auto"/>
        <w:outlineLvl w:val="9"/>
        <w:rPr>
          <w:rFonts w:hint="eastAsia" w:ascii="Times New Roman" w:eastAsia="方正小标宋简体"/>
          <w:lang w:eastAsia="zh-CN"/>
        </w:rPr>
      </w:pPr>
      <w:bookmarkStart w:id="13" w:name="_Toc4514_WPSOffice_Level1"/>
      <w:bookmarkStart w:id="14" w:name="_Toc22180"/>
      <w:r>
        <w:rPr>
          <w:rFonts w:hint="eastAsia" w:ascii="Times New Roman" w:eastAsia="方正小标宋简体"/>
          <w:lang w:eastAsia="zh-CN"/>
        </w:rPr>
        <w:t>二、上一年度绩效评价整改情况</w:t>
      </w:r>
    </w:p>
    <w:p w14:paraId="55E2BF44">
      <w:pPr>
        <w:keepNext w:val="0"/>
        <w:keepLines w:val="0"/>
        <w:pageBreakBefore w:val="0"/>
        <w:widowControl w:val="0"/>
        <w:kinsoku/>
        <w:wordWrap/>
        <w:overflowPunct/>
        <w:topLinePunct w:val="0"/>
        <w:autoSpaceDE/>
        <w:autoSpaceDN/>
        <w:bidi w:val="0"/>
        <w:adjustRightInd/>
        <w:snapToGrid w:val="0"/>
        <w:spacing w:line="540" w:lineRule="exact"/>
        <w:ind w:firstLine="616" w:firstLineChars="200"/>
        <w:textAlignment w:val="auto"/>
        <w:outlineLvl w:val="9"/>
        <w:rPr>
          <w:rFonts w:hint="eastAsia" w:ascii="Times New Roman" w:hAnsi="Times New Roman" w:cs="仿宋_GB2312"/>
          <w:szCs w:val="32"/>
          <w:lang w:val="en-US" w:eastAsia="zh-CN"/>
        </w:rPr>
      </w:pPr>
      <w:r>
        <w:rPr>
          <w:rFonts w:hint="eastAsia" w:ascii="Times New Roman" w:hAnsi="Times New Roman" w:cs="仿宋_GB2312"/>
          <w:szCs w:val="32"/>
          <w:lang w:eastAsia="zh-CN"/>
        </w:rPr>
        <w:t>针对</w:t>
      </w:r>
      <w:r>
        <w:rPr>
          <w:rFonts w:hint="eastAsia" w:ascii="Times New Roman" w:hAnsi="Times New Roman" w:cs="仿宋_GB2312"/>
          <w:szCs w:val="32"/>
          <w:lang w:val="en-US" w:eastAsia="zh-CN"/>
        </w:rPr>
        <w:t>上一</w:t>
      </w:r>
      <w:r>
        <w:rPr>
          <w:rFonts w:hint="eastAsia" w:ascii="Times New Roman" w:hAnsi="Times New Roman" w:cs="仿宋_GB2312"/>
          <w:szCs w:val="32"/>
          <w:lang w:eastAsia="zh-CN"/>
        </w:rPr>
        <w:t>年度重点绩效评价</w:t>
      </w:r>
      <w:r>
        <w:rPr>
          <w:rFonts w:hint="eastAsia" w:ascii="Times New Roman" w:hAnsi="Times New Roman" w:cs="仿宋_GB2312"/>
          <w:szCs w:val="32"/>
          <w:lang w:val="en-US" w:eastAsia="zh-CN"/>
        </w:rPr>
        <w:t>中指出问题，本单位认真分析原因并制定整改措施完成整改，具体整改如下：</w:t>
      </w:r>
    </w:p>
    <w:p w14:paraId="7D5F03D2">
      <w:pPr>
        <w:keepNext w:val="0"/>
        <w:keepLines w:val="0"/>
        <w:pageBreakBefore w:val="0"/>
        <w:widowControl w:val="0"/>
        <w:numPr>
          <w:ilvl w:val="0"/>
          <w:numId w:val="1"/>
        </w:numPr>
        <w:kinsoku/>
        <w:wordWrap/>
        <w:overflowPunct/>
        <w:topLinePunct w:val="0"/>
        <w:autoSpaceDE/>
        <w:autoSpaceDN/>
        <w:bidi w:val="0"/>
        <w:adjustRightInd/>
        <w:snapToGrid w:val="0"/>
        <w:spacing w:line="540" w:lineRule="exact"/>
        <w:ind w:firstLine="616" w:firstLineChars="200"/>
        <w:textAlignment w:val="auto"/>
        <w:outlineLvl w:val="9"/>
        <w:rPr>
          <w:rFonts w:hint="eastAsia" w:ascii="Times New Roman" w:eastAsia="楷体_GB2312"/>
          <w:b/>
          <w:bCs/>
          <w:szCs w:val="32"/>
          <w:lang w:eastAsia="zh-CN"/>
        </w:rPr>
      </w:pPr>
      <w:r>
        <w:rPr>
          <w:rFonts w:hint="eastAsia" w:ascii="Times New Roman" w:eastAsia="楷体_GB2312"/>
          <w:b/>
          <w:bCs/>
          <w:szCs w:val="32"/>
        </w:rPr>
        <w:t>部</w:t>
      </w:r>
      <w:r>
        <w:rPr>
          <w:rFonts w:hint="eastAsia" w:ascii="Times New Roman" w:eastAsia="楷体_GB2312"/>
          <w:b/>
          <w:bCs/>
          <w:szCs w:val="32"/>
          <w:lang w:eastAsia="zh-CN"/>
        </w:rPr>
        <w:t>分工作实施效果欠佳，需进一步落实</w:t>
      </w:r>
    </w:p>
    <w:p w14:paraId="78794E98">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firstLine="616" w:firstLineChars="200"/>
        <w:textAlignment w:val="auto"/>
        <w:outlineLvl w:val="9"/>
        <w:rPr>
          <w:rFonts w:hint="eastAsia" w:ascii="Times New Roman" w:eastAsia="仿宋_GB2312"/>
          <w:b/>
          <w:bCs/>
          <w:szCs w:val="32"/>
          <w:lang w:val="en-US" w:eastAsia="zh-CN"/>
        </w:rPr>
      </w:pPr>
      <w:r>
        <w:rPr>
          <w:rFonts w:hint="eastAsia" w:ascii="Times New Roman" w:hAnsi="Times New Roman" w:cs="仿宋_GB2312"/>
          <w:szCs w:val="32"/>
          <w:lang w:eastAsia="zh-CN"/>
        </w:rPr>
        <w:t>一是师资队伍建设工作有待提升，双师型和高中专任教师硕士研究生比例偏低及下降。原因主要是近年来相关学校根据学校教学实际招录重点高校本科毕业生占多数（重点高校硕士研究生选择阳江地区工作的较少），从而导致比例下降。鉴于此，我市持续投入学历提升专项资金，旨在开展在职教师学历提升计划，同时积极开展招才引智，引进高学历教师充实教师队伍，从而提高研究生学历比例。对于双师型教师，开展教师技能培训，鼓励教师考取技能证书，提高双师型教师比例。二是“双减”工作需进一步落实，针对作业布置及课后服务形式单一问题，</w:t>
      </w:r>
      <w:r>
        <w:rPr>
          <w:rFonts w:hint="eastAsia" w:ascii="Times New Roman" w:hAnsi="Times New Roman" w:eastAsia="仿宋_GB2312" w:cs="仿宋_GB2312"/>
          <w:sz w:val="32"/>
          <w:szCs w:val="32"/>
          <w:lang w:val="en-US" w:eastAsia="zh-CN"/>
        </w:rPr>
        <w:t>各级</w:t>
      </w:r>
      <w:r>
        <w:rPr>
          <w:rFonts w:hint="default" w:ascii="Times New Roman" w:hAnsi="Times New Roman" w:eastAsia="仿宋_GB2312" w:cs="仿宋_GB2312"/>
          <w:sz w:val="32"/>
          <w:szCs w:val="32"/>
        </w:rPr>
        <w:t>教育行政部门指导学校完善作业管理细则，明确具体工作要求，学校切实履行作业管理主体责任，建立以校长为第一责任人的工作机制，加强作业全过程管理，</w:t>
      </w:r>
      <w:r>
        <w:rPr>
          <w:rFonts w:hint="eastAsia" w:ascii="Times New Roman" w:hAnsi="Times New Roman" w:eastAsia="仿宋_GB2312" w:cs="仿宋_GB2312"/>
          <w:sz w:val="32"/>
          <w:szCs w:val="32"/>
          <w:lang w:val="en-US" w:eastAsia="zh-CN"/>
        </w:rPr>
        <w:t>落实</w:t>
      </w:r>
      <w:r>
        <w:rPr>
          <w:rFonts w:hint="default" w:ascii="Times New Roman" w:hAnsi="Times New Roman" w:eastAsia="仿宋_GB2312" w:cs="仿宋_GB2312"/>
          <w:sz w:val="32"/>
          <w:szCs w:val="32"/>
        </w:rPr>
        <w:t>作业校内公示制度</w:t>
      </w:r>
      <w:r>
        <w:rPr>
          <w:rFonts w:hint="eastAsia" w:ascii="Times New Roman" w:hAnsi="Times New Roman" w:eastAsia="仿宋_GB2312" w:cs="仿宋_GB2312"/>
          <w:sz w:val="32"/>
          <w:szCs w:val="32"/>
          <w:lang w:eastAsia="zh-CN"/>
        </w:rPr>
        <w:t>，</w:t>
      </w:r>
      <w:r>
        <w:rPr>
          <w:rFonts w:hint="default" w:ascii="Times New Roman" w:hAnsi="Times New Roman" w:eastAsia="仿宋_GB2312" w:cs="仿宋_GB2312"/>
          <w:sz w:val="32"/>
          <w:szCs w:val="32"/>
        </w:rPr>
        <w:t>做到“一县一策”、“一校一案”</w:t>
      </w:r>
      <w:r>
        <w:rPr>
          <w:rFonts w:hint="eastAsia" w:ascii="Times New Roman" w:hAnsi="Times New Roman" w:eastAsia="仿宋_GB2312" w:cs="仿宋_GB2312"/>
          <w:sz w:val="32"/>
          <w:szCs w:val="32"/>
          <w:lang w:eastAsia="zh-CN"/>
        </w:rPr>
        <w:t>。</w:t>
      </w:r>
      <w:r>
        <w:rPr>
          <w:rFonts w:hint="eastAsia" w:ascii="Times New Roman" w:hAnsi="Times New Roman" w:eastAsia="仿宋_GB2312" w:cs="黑体"/>
          <w:color w:val="auto"/>
          <w:kern w:val="0"/>
          <w:sz w:val="32"/>
          <w:szCs w:val="32"/>
          <w:lang w:eastAsia="zh-CN"/>
        </w:rPr>
        <w:t>把开展</w:t>
      </w:r>
      <w:r>
        <w:rPr>
          <w:rFonts w:hint="eastAsia" w:ascii="Times New Roman" w:hAnsi="Times New Roman" w:eastAsia="仿宋_GB2312" w:cs="黑体"/>
          <w:color w:val="auto"/>
          <w:kern w:val="0"/>
          <w:sz w:val="32"/>
          <w:szCs w:val="32"/>
        </w:rPr>
        <w:t>课后服务作为解决家长“急难愁盼”问题的一项重要民生工程来抓</w:t>
      </w:r>
      <w:r>
        <w:rPr>
          <w:rFonts w:hint="eastAsia" w:ascii="Times New Roman" w:hAnsi="Times New Roman" w:cs="黑体"/>
          <w:color w:val="auto"/>
          <w:kern w:val="0"/>
          <w:sz w:val="32"/>
          <w:szCs w:val="32"/>
          <w:lang w:eastAsia="zh-CN"/>
        </w:rPr>
        <w:t>，</w:t>
      </w:r>
      <w:r>
        <w:rPr>
          <w:rFonts w:hint="eastAsia" w:ascii="Times New Roman" w:hAnsi="Times New Roman" w:eastAsia="仿宋_GB2312" w:cs="黑体"/>
          <w:color w:val="auto"/>
          <w:kern w:val="0"/>
          <w:sz w:val="32"/>
          <w:szCs w:val="32"/>
        </w:rPr>
        <w:t>实现</w:t>
      </w:r>
      <w:r>
        <w:rPr>
          <w:rFonts w:hint="eastAsia" w:ascii="Times New Roman" w:hAnsi="Times New Roman" w:cs="黑体"/>
          <w:color w:val="auto"/>
          <w:kern w:val="0"/>
          <w:sz w:val="32"/>
          <w:szCs w:val="32"/>
          <w:lang w:eastAsia="zh-CN"/>
        </w:rPr>
        <w:t>了</w:t>
      </w:r>
      <w:r>
        <w:rPr>
          <w:rFonts w:hint="eastAsia" w:ascii="Times New Roman" w:hAnsi="Times New Roman" w:eastAsia="仿宋_GB2312" w:cs="黑体"/>
          <w:color w:val="auto"/>
          <w:kern w:val="0"/>
          <w:sz w:val="32"/>
          <w:szCs w:val="32"/>
        </w:rPr>
        <w:t>课后服务两个</w:t>
      </w:r>
      <w:r>
        <w:rPr>
          <w:rFonts w:hint="eastAsia" w:ascii="Times New Roman" w:hAnsi="Times New Roman" w:eastAsia="仿宋_GB2312" w:cs="黑体"/>
          <w:color w:val="auto"/>
          <w:kern w:val="0"/>
          <w:sz w:val="32"/>
          <w:szCs w:val="32"/>
          <w:lang w:eastAsia="zh-CN"/>
        </w:rPr>
        <w:t>“</w:t>
      </w:r>
      <w:r>
        <w:rPr>
          <w:rFonts w:hint="eastAsia" w:ascii="Times New Roman" w:hAnsi="Times New Roman" w:eastAsia="仿宋_GB2312" w:cs="黑体"/>
          <w:color w:val="auto"/>
          <w:kern w:val="0"/>
          <w:sz w:val="32"/>
          <w:szCs w:val="32"/>
        </w:rPr>
        <w:t>全覆盖</w:t>
      </w:r>
      <w:r>
        <w:rPr>
          <w:rFonts w:hint="eastAsia" w:ascii="Times New Roman" w:hAnsi="Times New Roman" w:eastAsia="仿宋_GB2312" w:cs="黑体"/>
          <w:color w:val="auto"/>
          <w:kern w:val="0"/>
          <w:sz w:val="32"/>
          <w:szCs w:val="32"/>
          <w:lang w:eastAsia="zh-CN"/>
        </w:rPr>
        <w:t>”（</w:t>
      </w:r>
      <w:r>
        <w:rPr>
          <w:rFonts w:hint="eastAsia" w:ascii="Times New Roman" w:hAnsi="Times New Roman" w:eastAsia="仿宋_GB2312" w:cs="黑体"/>
          <w:color w:val="auto"/>
          <w:kern w:val="0"/>
          <w:sz w:val="32"/>
          <w:szCs w:val="32"/>
        </w:rPr>
        <w:t>应开展课后服务学校实现全覆盖，有需求学生实现全覆盖</w:t>
      </w:r>
      <w:r>
        <w:rPr>
          <w:rFonts w:hint="eastAsia" w:ascii="Times New Roman" w:hAnsi="Times New Roman" w:eastAsia="仿宋_GB2312" w:cs="黑体"/>
          <w:color w:val="auto"/>
          <w:kern w:val="0"/>
          <w:sz w:val="32"/>
          <w:szCs w:val="32"/>
          <w:lang w:eastAsia="zh-CN"/>
        </w:rPr>
        <w:t>）</w:t>
      </w:r>
      <w:r>
        <w:rPr>
          <w:rFonts w:hint="eastAsia" w:ascii="Times New Roman" w:hAnsi="Times New Roman" w:cs="黑体"/>
          <w:color w:val="auto"/>
          <w:kern w:val="0"/>
          <w:sz w:val="32"/>
          <w:szCs w:val="32"/>
          <w:lang w:eastAsia="zh-CN"/>
        </w:rPr>
        <w:t>，</w:t>
      </w:r>
      <w:r>
        <w:rPr>
          <w:rFonts w:hint="eastAsia" w:cs="仿宋_GB2312"/>
          <w:sz w:val="32"/>
          <w:szCs w:val="32"/>
          <w:lang w:val="en-US" w:eastAsia="zh-CN"/>
        </w:rPr>
        <w:t>深化</w:t>
      </w:r>
      <w:r>
        <w:rPr>
          <w:rFonts w:hint="eastAsia" w:ascii="Times New Roman" w:hAnsi="Times New Roman" w:eastAsia="仿宋_GB2312" w:cs="仿宋_GB2312"/>
          <w:sz w:val="32"/>
          <w:szCs w:val="32"/>
          <w:lang w:val="en-US" w:eastAsia="zh-CN"/>
        </w:rPr>
        <w:t>“基本服务＋拓展服务”的服务模式。基本服务包括看护、指导完成作业、对学生进行个别辅导与答疑等；拓展服务为学生拓展学习空间，开展丰富多彩的科普、文体、艺术、劳动、阅读等项目的兴趣小组及社团活动，为学生、家长“暖心”护航。</w:t>
      </w:r>
    </w:p>
    <w:p w14:paraId="4D8177F9">
      <w:pPr>
        <w:keepNext w:val="0"/>
        <w:keepLines w:val="0"/>
        <w:pageBreakBefore w:val="0"/>
        <w:widowControl w:val="0"/>
        <w:numPr>
          <w:ilvl w:val="0"/>
          <w:numId w:val="1"/>
        </w:numPr>
        <w:kinsoku/>
        <w:wordWrap/>
        <w:overflowPunct/>
        <w:topLinePunct w:val="0"/>
        <w:autoSpaceDE/>
        <w:autoSpaceDN/>
        <w:bidi w:val="0"/>
        <w:adjustRightInd/>
        <w:snapToGrid w:val="0"/>
        <w:spacing w:line="540" w:lineRule="exact"/>
        <w:ind w:firstLine="616" w:firstLineChars="200"/>
        <w:textAlignment w:val="auto"/>
        <w:outlineLvl w:val="9"/>
        <w:rPr>
          <w:rFonts w:hint="eastAsia" w:ascii="Times New Roman" w:eastAsia="楷体_GB2312"/>
          <w:b/>
          <w:bCs/>
          <w:szCs w:val="32"/>
          <w:lang w:val="en-US" w:eastAsia="zh-CN"/>
        </w:rPr>
      </w:pPr>
      <w:r>
        <w:rPr>
          <w:rFonts w:hint="eastAsia" w:ascii="Times New Roman" w:eastAsia="楷体_GB2312"/>
          <w:b/>
          <w:bCs/>
          <w:szCs w:val="32"/>
          <w:lang w:val="en-US" w:eastAsia="zh-CN"/>
        </w:rPr>
        <w:t>预算编制科学性不足，实际支出与预算偏差较大</w:t>
      </w:r>
    </w:p>
    <w:p w14:paraId="64EAD697">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firstLine="616" w:firstLineChars="200"/>
        <w:textAlignment w:val="auto"/>
        <w:outlineLvl w:val="9"/>
        <w:rPr>
          <w:rFonts w:hint="default" w:ascii="Times New Roman" w:eastAsia="楷体_GB2312"/>
          <w:b/>
          <w:bCs/>
          <w:szCs w:val="32"/>
          <w:lang w:val="en-US" w:eastAsia="zh-CN"/>
        </w:rPr>
      </w:pPr>
      <w:r>
        <w:rPr>
          <w:rFonts w:hint="eastAsia" w:ascii="Times New Roman" w:hAnsi="Times New Roman" w:cs="仿宋_GB2312"/>
          <w:sz w:val="32"/>
          <w:szCs w:val="32"/>
          <w:lang w:val="en-US" w:eastAsia="zh-CN"/>
        </w:rPr>
        <w:t>一是部门整体预算调整率大，原因主要是固定资产投资加大，新建、改扩建学校较多，预算投入增加较大，导致预算调整率较大。接下来，我们将详细分析往年决算，结合当年年度重点投资计划，做好预算测算工作，提升部门预算的科学合理性及预算执行准确性、预算执行率。二是部分重点工作任务支出率偏低，如教师培训、高考备考经费、招生考试工作等，主要原因是财政资金调度困难，相关资金未能及时拨付。接下来，部门将做好与相关部门的对接，争取资金早到位、早实施、早支出。</w:t>
      </w:r>
    </w:p>
    <w:p w14:paraId="4FAAADCD">
      <w:pPr>
        <w:keepNext w:val="0"/>
        <w:keepLines w:val="0"/>
        <w:pageBreakBefore w:val="0"/>
        <w:widowControl w:val="0"/>
        <w:numPr>
          <w:ilvl w:val="0"/>
          <w:numId w:val="1"/>
        </w:numPr>
        <w:kinsoku/>
        <w:wordWrap/>
        <w:overflowPunct/>
        <w:topLinePunct w:val="0"/>
        <w:autoSpaceDE/>
        <w:autoSpaceDN/>
        <w:bidi w:val="0"/>
        <w:adjustRightInd/>
        <w:snapToGrid w:val="0"/>
        <w:spacing w:line="540" w:lineRule="exact"/>
        <w:ind w:firstLine="616" w:firstLineChars="200"/>
        <w:textAlignment w:val="auto"/>
        <w:outlineLvl w:val="9"/>
        <w:rPr>
          <w:rFonts w:hint="eastAsia" w:ascii="Times New Roman" w:eastAsia="楷体_GB2312"/>
          <w:b/>
          <w:bCs/>
          <w:szCs w:val="32"/>
          <w:lang w:val="en-US" w:eastAsia="zh-CN"/>
        </w:rPr>
      </w:pPr>
      <w:r>
        <w:rPr>
          <w:rFonts w:hint="eastAsia" w:ascii="Times New Roman" w:eastAsia="楷体_GB2312"/>
          <w:b/>
          <w:bCs/>
          <w:szCs w:val="32"/>
          <w:lang w:val="en-US" w:eastAsia="zh-CN"/>
        </w:rPr>
        <w:t>部分项目实施规范性有所不足</w:t>
      </w:r>
    </w:p>
    <w:p w14:paraId="22B165E2">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firstLine="616" w:firstLineChars="200"/>
        <w:textAlignment w:val="auto"/>
        <w:outlineLvl w:val="9"/>
        <w:rPr>
          <w:rFonts w:hint="default" w:ascii="Times New Roman" w:eastAsia="楷体_GB2312"/>
          <w:b/>
          <w:bCs/>
          <w:szCs w:val="32"/>
          <w:lang w:val="en-US" w:eastAsia="zh-CN"/>
        </w:rPr>
      </w:pPr>
      <w:r>
        <w:rPr>
          <w:rFonts w:hint="eastAsia" w:ascii="Times New Roman" w:hAnsi="Times New Roman" w:cs="仿宋_GB2312"/>
          <w:sz w:val="32"/>
          <w:szCs w:val="32"/>
          <w:lang w:val="en-US" w:eastAsia="zh-CN"/>
        </w:rPr>
        <w:t>一是部分项目缺少验收资料。加强会计人员业务知识培训，严格按照账务管理规范开展支出工作，同时做好对相关项目单位的业务指导，规范项目支出。加强对项目验收过程的监督和检查，完善内控工作，避免资料缺失或不合规的情况。二是个别合同签订规范性不足问题，明确相关科室责任和任务分工，加强合同审核工作，杜绝类似情况再次发生。</w:t>
      </w:r>
    </w:p>
    <w:p w14:paraId="30AE6ABB">
      <w:pPr>
        <w:keepNext w:val="0"/>
        <w:keepLines w:val="0"/>
        <w:pageBreakBefore w:val="0"/>
        <w:widowControl w:val="0"/>
        <w:numPr>
          <w:ilvl w:val="0"/>
          <w:numId w:val="1"/>
        </w:numPr>
        <w:kinsoku/>
        <w:wordWrap/>
        <w:overflowPunct/>
        <w:topLinePunct w:val="0"/>
        <w:autoSpaceDE/>
        <w:autoSpaceDN/>
        <w:bidi w:val="0"/>
        <w:adjustRightInd/>
        <w:snapToGrid w:val="0"/>
        <w:spacing w:line="540" w:lineRule="exact"/>
        <w:ind w:firstLine="616" w:firstLineChars="200"/>
        <w:textAlignment w:val="auto"/>
        <w:outlineLvl w:val="9"/>
        <w:rPr>
          <w:rFonts w:hint="eastAsia" w:ascii="Times New Roman" w:eastAsia="楷体_GB2312"/>
          <w:b/>
          <w:bCs/>
          <w:szCs w:val="32"/>
          <w:lang w:val="en-US" w:eastAsia="zh-CN"/>
        </w:rPr>
      </w:pPr>
      <w:r>
        <w:rPr>
          <w:rFonts w:hint="eastAsia" w:ascii="Times New Roman" w:eastAsia="楷体_GB2312"/>
          <w:b/>
          <w:bCs/>
          <w:szCs w:val="32"/>
          <w:lang w:val="en-US" w:eastAsia="zh-CN"/>
        </w:rPr>
        <w:t>财务核算规范性不足，资产管理不够完善</w:t>
      </w:r>
    </w:p>
    <w:p w14:paraId="5ED29D7A">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firstLine="616" w:firstLineChars="200"/>
        <w:textAlignment w:val="auto"/>
        <w:outlineLvl w:val="9"/>
        <w:rPr>
          <w:rFonts w:hint="default" w:ascii="Times New Roman" w:eastAsia="仿宋_GB2312"/>
          <w:b/>
          <w:bCs/>
          <w:szCs w:val="32"/>
          <w:lang w:val="en-US" w:eastAsia="zh-CN"/>
        </w:rPr>
      </w:pPr>
      <w:r>
        <w:rPr>
          <w:rFonts w:hint="eastAsia" w:ascii="Times New Roman" w:hAnsi="Times New Roman" w:cs="仿宋_GB2312"/>
          <w:sz w:val="32"/>
          <w:szCs w:val="32"/>
          <w:lang w:val="en-US" w:eastAsia="zh-CN"/>
        </w:rPr>
        <w:t>一是账表不符的情况，督促会计岗对相关账目和决算报表存在差额部分进行进一步核算，查找原因及时修正错误，同时总结分析原因，避免再次出现类似错误。二是个别费用列支未能按政府收支经济分类科目正确列支的问题，将加强会计岗位培训，及时总结，举一反三，避免类似错误再次出现。三是历史挂账问题，针对具体问题具体分析，一问题一方案，及时化解挂账问题</w:t>
      </w:r>
      <w:r>
        <w:rPr>
          <w:rFonts w:hint="eastAsia" w:cs="仿宋_GB2312"/>
          <w:highlight w:val="none"/>
          <w:lang w:val="en-US" w:eastAsia="zh-CN"/>
        </w:rPr>
        <w:t>。</w:t>
      </w:r>
    </w:p>
    <w:p w14:paraId="785B01B8">
      <w:pPr>
        <w:keepNext w:val="0"/>
        <w:keepLines w:val="0"/>
        <w:pageBreakBefore w:val="0"/>
        <w:widowControl w:val="0"/>
        <w:numPr>
          <w:ilvl w:val="0"/>
          <w:numId w:val="1"/>
        </w:numPr>
        <w:kinsoku/>
        <w:wordWrap/>
        <w:overflowPunct/>
        <w:topLinePunct w:val="0"/>
        <w:autoSpaceDE/>
        <w:autoSpaceDN/>
        <w:bidi w:val="0"/>
        <w:adjustRightInd/>
        <w:snapToGrid w:val="0"/>
        <w:spacing w:line="540" w:lineRule="exact"/>
        <w:ind w:firstLine="616" w:firstLineChars="200"/>
        <w:textAlignment w:val="auto"/>
        <w:outlineLvl w:val="9"/>
        <w:rPr>
          <w:rFonts w:hint="eastAsia" w:ascii="Times New Roman" w:eastAsia="楷体_GB2312"/>
          <w:b/>
          <w:bCs/>
          <w:szCs w:val="32"/>
          <w:lang w:val="en-US" w:eastAsia="zh-CN"/>
        </w:rPr>
      </w:pPr>
      <w:r>
        <w:rPr>
          <w:rFonts w:hint="eastAsia" w:ascii="Times New Roman" w:eastAsia="楷体_GB2312"/>
          <w:b/>
          <w:bCs/>
          <w:szCs w:val="32"/>
          <w:lang w:val="en-US" w:eastAsia="zh-CN"/>
        </w:rPr>
        <w:t>绩效工作存在瑕疵，预算绩效管理意识有待提高</w:t>
      </w:r>
    </w:p>
    <w:p w14:paraId="3132E698">
      <w:pPr>
        <w:keepNext w:val="0"/>
        <w:keepLines w:val="0"/>
        <w:pageBreakBefore w:val="0"/>
        <w:widowControl w:val="0"/>
        <w:kinsoku/>
        <w:wordWrap/>
        <w:overflowPunct/>
        <w:topLinePunct w:val="0"/>
        <w:autoSpaceDE/>
        <w:autoSpaceDN/>
        <w:bidi w:val="0"/>
        <w:adjustRightInd/>
        <w:snapToGrid w:val="0"/>
        <w:spacing w:line="540" w:lineRule="exact"/>
        <w:ind w:firstLine="616" w:firstLineChars="200"/>
        <w:textAlignment w:val="auto"/>
        <w:outlineLvl w:val="9"/>
        <w:rPr>
          <w:rFonts w:hint="default" w:ascii="Times New Roman" w:hAnsi="Times New Roman" w:cs="仿宋_GB2312"/>
          <w:szCs w:val="32"/>
          <w:lang w:val="en-US" w:eastAsia="zh-CN"/>
        </w:rPr>
      </w:pPr>
      <w:r>
        <w:rPr>
          <w:rFonts w:hint="eastAsia" w:ascii="Times New Roman" w:hAnsi="Times New Roman" w:cs="仿宋_GB2312"/>
          <w:sz w:val="32"/>
          <w:szCs w:val="32"/>
          <w:lang w:val="en-US" w:eastAsia="zh-CN"/>
        </w:rPr>
        <w:t>一是绩效目标设定不够全面规范，接下来将按要求填报《绩效目标申报表》，对重点工作开展充分且明确阐述工作的具体开展方式、预期实现的成效，反映部门履职要达到的总体产出和效果。二是相关指标设置合理性、可衡量性不足问题，接下来将尽量增加定量指标，定性指标设定要具有前后对比和可衡量性，易于进行评价。三是自评工作完成情况欠佳，改正实际完成值是区间值的问题，举一反三，做好往后指标填报工作。接下来，本单位将推进绩效评价工作常态化，提高部门重视程度，组织开展绩效管理实操培训，加强部门的绩效管理意识及实操能力。</w:t>
      </w:r>
    </w:p>
    <w:p w14:paraId="2497C3F2">
      <w:pPr>
        <w:keepNext w:val="0"/>
        <w:keepLines w:val="0"/>
        <w:pageBreakBefore w:val="0"/>
        <w:widowControl w:val="0"/>
        <w:kinsoku/>
        <w:wordWrap/>
        <w:overflowPunct/>
        <w:topLinePunct w:val="0"/>
        <w:autoSpaceDE/>
        <w:autoSpaceDN/>
        <w:bidi w:val="0"/>
        <w:adjustRightInd/>
        <w:spacing w:line="540" w:lineRule="exact"/>
        <w:ind w:firstLine="616" w:firstLineChars="200"/>
        <w:textAlignment w:val="auto"/>
        <w:outlineLvl w:val="9"/>
        <w:rPr>
          <w:rFonts w:ascii="Times New Roman" w:eastAsia="方正小标宋简体"/>
        </w:rPr>
      </w:pPr>
      <w:r>
        <w:rPr>
          <w:rFonts w:hint="eastAsia" w:ascii="Times New Roman" w:eastAsia="方正小标宋简体"/>
          <w:lang w:eastAsia="zh-CN"/>
        </w:rPr>
        <w:t>三</w:t>
      </w:r>
      <w:r>
        <w:rPr>
          <w:rFonts w:hint="eastAsia" w:ascii="Times New Roman" w:eastAsia="方正小标宋简体"/>
        </w:rPr>
        <w:t>、绩效自评结论</w:t>
      </w:r>
      <w:bookmarkEnd w:id="13"/>
      <w:bookmarkEnd w:id="14"/>
    </w:p>
    <w:p w14:paraId="17B3BE3E">
      <w:pPr>
        <w:snapToGrid w:val="0"/>
        <w:spacing w:line="360" w:lineRule="auto"/>
        <w:ind w:firstLine="616" w:firstLineChars="200"/>
        <w:rPr>
          <w:rFonts w:hint="default" w:ascii="Times New Roman" w:hAnsi="Times New Roman" w:eastAsia="仿宋_GB2312" w:cs="仿宋_GB2312"/>
          <w:sz w:val="32"/>
          <w:szCs w:val="32"/>
          <w:lang w:val="en-US" w:eastAsia="zh-CN"/>
        </w:rPr>
      </w:pPr>
      <w:r>
        <w:rPr>
          <w:rFonts w:hint="eastAsia" w:ascii="Times New Roman" w:hAnsi="Times New Roman" w:cs="仿宋_GB2312"/>
          <w:sz w:val="32"/>
          <w:szCs w:val="32"/>
          <w:lang w:val="en-US" w:eastAsia="zh-CN"/>
        </w:rPr>
        <w:t>2025年在财政资金进一步紧张的情况下，本单位牢固树立过紧日子思想，坚持要把钱用在最急需的地方，用在最关键的地方，紧紧围绕教育发展目标和年初预算安排，统筹用好财政资金，发挥资金效能，并对不同时期教育改革发展的中心任务和重点工作予以优先安排和重点保障，促进教育公平，办好人民满意的教育，取得显著成效。对照2025年度绩效目标申报情况，部门已全部完成产出指标和效益指标，核心业务指标均达到或超过预期，重点项目按计划落地，有效支撑了部门职能的履行。在部门重点工作任务落实中，如基础教育高质量发展方面，</w:t>
      </w:r>
      <w:r>
        <w:rPr>
          <w:rFonts w:hint="default" w:ascii="Times New Roman" w:hAnsi="Times New Roman" w:eastAsia="仿宋_GB2312" w:cs="Times New Roman"/>
          <w:bCs/>
          <w:color w:val="auto"/>
          <w:kern w:val="0"/>
          <w:sz w:val="32"/>
          <w:szCs w:val="32"/>
          <w:highlight w:val="none"/>
          <w:lang w:bidi="ar"/>
        </w:rPr>
        <w:t>新构建城乡教育共同体11个</w:t>
      </w:r>
      <w:r>
        <w:rPr>
          <w:rFonts w:hint="eastAsia" w:ascii="Times New Roman" w:hAnsi="Times New Roman" w:eastAsia="仿宋_GB2312" w:cs="Times New Roman"/>
          <w:bCs/>
          <w:color w:val="auto"/>
          <w:kern w:val="0"/>
          <w:sz w:val="32"/>
          <w:szCs w:val="32"/>
          <w:highlight w:val="none"/>
          <w:lang w:eastAsia="zh-CN" w:bidi="ar"/>
        </w:rPr>
        <w:t>，</w:t>
      </w:r>
      <w:r>
        <w:rPr>
          <w:rFonts w:hint="default" w:ascii="Times New Roman" w:hAnsi="Times New Roman" w:eastAsia="仿宋_GB2312" w:cs="Times New Roman"/>
          <w:bCs/>
          <w:color w:val="auto"/>
          <w:kern w:val="0"/>
          <w:sz w:val="32"/>
          <w:szCs w:val="32"/>
          <w:highlight w:val="none"/>
          <w:lang w:bidi="ar"/>
        </w:rPr>
        <w:t>总数达29个，覆盖学校150所、学生20.2万人，所有乡镇全覆盖</w:t>
      </w:r>
      <w:r>
        <w:rPr>
          <w:rFonts w:hint="eastAsia" w:cs="Times New Roman"/>
          <w:bCs/>
          <w:color w:val="auto"/>
          <w:kern w:val="0"/>
          <w:sz w:val="32"/>
          <w:szCs w:val="32"/>
          <w:highlight w:val="none"/>
          <w:lang w:eastAsia="zh-CN" w:bidi="ar"/>
        </w:rPr>
        <w:t>。</w:t>
      </w:r>
      <w:r>
        <w:rPr>
          <w:rFonts w:hint="default" w:ascii="Times New Roman" w:hAnsi="Times New Roman" w:eastAsia="仿宋_GB2312" w:cs="Times New Roman"/>
          <w:bCs/>
          <w:color w:val="auto"/>
          <w:kern w:val="0"/>
          <w:sz w:val="32"/>
          <w:szCs w:val="32"/>
          <w:highlight w:val="none"/>
          <w:lang w:bidi="ar"/>
        </w:rPr>
        <w:t>建</w:t>
      </w:r>
      <w:r>
        <w:rPr>
          <w:rFonts w:hint="eastAsia" w:ascii="Times New Roman" w:hAnsi="Times New Roman" w:eastAsia="仿宋_GB2312" w:cs="Times New Roman"/>
          <w:bCs/>
          <w:color w:val="auto"/>
          <w:kern w:val="0"/>
          <w:sz w:val="32"/>
          <w:szCs w:val="32"/>
          <w:highlight w:val="none"/>
          <w:lang w:val="en-US" w:eastAsia="zh-CN" w:bidi="ar"/>
        </w:rPr>
        <w:t>成</w:t>
      </w:r>
      <w:r>
        <w:rPr>
          <w:rFonts w:hint="default" w:ascii="Times New Roman" w:hAnsi="Times New Roman" w:eastAsia="仿宋_GB2312" w:cs="Times New Roman"/>
          <w:bCs/>
          <w:color w:val="auto"/>
          <w:kern w:val="0"/>
          <w:sz w:val="32"/>
          <w:szCs w:val="32"/>
          <w:highlight w:val="none"/>
          <w:lang w:bidi="ar"/>
        </w:rPr>
        <w:t>4个城乡学前教育一体化管理中心，培育6个“省级优质学前教育共同体”</w:t>
      </w:r>
      <w:r>
        <w:rPr>
          <w:rFonts w:hint="eastAsia" w:cs="Times New Roman"/>
          <w:bCs/>
          <w:color w:val="auto"/>
          <w:kern w:val="0"/>
          <w:sz w:val="32"/>
          <w:szCs w:val="32"/>
          <w:highlight w:val="none"/>
          <w:lang w:eastAsia="zh-CN" w:bidi="ar"/>
        </w:rPr>
        <w:t>，</w:t>
      </w:r>
      <w:r>
        <w:rPr>
          <w:rFonts w:hint="eastAsia" w:ascii="Times New Roman" w:hAnsi="Times New Roman" w:eastAsia="仿宋_GB2312" w:cs="Times New Roman"/>
          <w:bCs/>
          <w:color w:val="auto"/>
          <w:kern w:val="0"/>
          <w:sz w:val="32"/>
          <w:szCs w:val="32"/>
          <w:highlight w:val="none"/>
          <w:lang w:val="en-US" w:eastAsia="zh-CN" w:bidi="ar"/>
        </w:rPr>
        <w:t>建设</w:t>
      </w:r>
      <w:r>
        <w:rPr>
          <w:rFonts w:hint="default" w:ascii="Times New Roman" w:hAnsi="Times New Roman" w:eastAsia="仿宋_GB2312" w:cs="Times New Roman"/>
          <w:bCs/>
          <w:color w:val="auto"/>
          <w:kern w:val="0"/>
          <w:sz w:val="32"/>
          <w:szCs w:val="32"/>
          <w:highlight w:val="none"/>
          <w:lang w:bidi="ar"/>
        </w:rPr>
        <w:t>6所义务教育乡村温馨校园</w:t>
      </w:r>
      <w:r>
        <w:rPr>
          <w:rFonts w:hint="eastAsia" w:cs="Times New Roman"/>
          <w:bCs/>
          <w:color w:val="auto"/>
          <w:kern w:val="0"/>
          <w:sz w:val="32"/>
          <w:szCs w:val="32"/>
          <w:highlight w:val="none"/>
          <w:lang w:eastAsia="zh-CN" w:bidi="ar"/>
        </w:rPr>
        <w:t>，</w:t>
      </w:r>
      <w:r>
        <w:rPr>
          <w:rFonts w:hint="default" w:ascii="Times New Roman" w:hAnsi="Times New Roman" w:eastAsia="仿宋_GB2312" w:cs="Times New Roman"/>
          <w:bCs/>
          <w:color w:val="auto"/>
          <w:kern w:val="0"/>
          <w:sz w:val="32"/>
          <w:szCs w:val="32"/>
          <w:highlight w:val="none"/>
          <w:lang w:bidi="ar"/>
        </w:rPr>
        <w:t>6所学校入选2026年广东省首批100所普通高中多样化特色发展改革试点培育对象</w:t>
      </w:r>
      <w:r>
        <w:rPr>
          <w:rFonts w:hint="eastAsia" w:cs="Times New Roman"/>
          <w:bCs/>
          <w:color w:val="auto"/>
          <w:kern w:val="0"/>
          <w:sz w:val="32"/>
          <w:szCs w:val="32"/>
          <w:highlight w:val="none"/>
          <w:lang w:val="en-US" w:eastAsia="zh-CN" w:bidi="ar"/>
        </w:rPr>
        <w:t>等等</w:t>
      </w:r>
      <w:r>
        <w:rPr>
          <w:rFonts w:hint="default" w:ascii="Times New Roman" w:hAnsi="Times New Roman" w:eastAsia="仿宋_GB2312" w:cs="Times New Roman"/>
          <w:bCs/>
          <w:color w:val="auto"/>
          <w:kern w:val="0"/>
          <w:sz w:val="32"/>
          <w:szCs w:val="32"/>
          <w:highlight w:val="none"/>
          <w:lang w:bidi="ar"/>
        </w:rPr>
        <w:t>。教师继续教育</w:t>
      </w:r>
      <w:r>
        <w:rPr>
          <w:rFonts w:hint="eastAsia" w:cs="Times New Roman"/>
          <w:bCs/>
          <w:color w:val="auto"/>
          <w:kern w:val="0"/>
          <w:sz w:val="32"/>
          <w:szCs w:val="32"/>
          <w:highlight w:val="none"/>
          <w:lang w:val="en-US" w:eastAsia="zh-CN" w:bidi="ar"/>
        </w:rPr>
        <w:t>方面，</w:t>
      </w:r>
      <w:r>
        <w:rPr>
          <w:rFonts w:hint="default" w:ascii="Times New Roman" w:hAnsi="Times New Roman" w:eastAsia="仿宋_GB2312" w:cs="Times New Roman"/>
          <w:color w:val="auto"/>
          <w:kern w:val="0"/>
          <w:sz w:val="32"/>
          <w:szCs w:val="32"/>
          <w:highlight w:val="none"/>
        </w:rPr>
        <w:t>组织开展36个市级骨干教师培训项目，累计培训教师9300余人次</w:t>
      </w:r>
      <w:r>
        <w:rPr>
          <w:rFonts w:hint="eastAsia" w:cs="Times New Roman"/>
          <w:color w:val="auto"/>
          <w:kern w:val="0"/>
          <w:sz w:val="32"/>
          <w:szCs w:val="32"/>
          <w:highlight w:val="none"/>
          <w:lang w:eastAsia="zh-CN"/>
        </w:rPr>
        <w:t>，</w:t>
      </w:r>
      <w:r>
        <w:rPr>
          <w:rFonts w:hint="eastAsia" w:cs="Times New Roman"/>
          <w:color w:val="auto"/>
          <w:kern w:val="0"/>
          <w:sz w:val="32"/>
          <w:szCs w:val="32"/>
          <w:highlight w:val="none"/>
          <w:lang w:val="en-US" w:eastAsia="zh-CN"/>
        </w:rPr>
        <w:t>远超申报指标4000人次。教研和学科建设方面，</w:t>
      </w:r>
      <w:r>
        <w:rPr>
          <w:rFonts w:hint="default" w:ascii="Times New Roman" w:hAnsi="Times New Roman" w:eastAsia="仿宋_GB2312" w:cs="Times New Roman"/>
          <w:i w:val="0"/>
          <w:iCs w:val="0"/>
          <w:caps w:val="0"/>
          <w:color w:val="auto"/>
          <w:spacing w:val="0"/>
          <w:kern w:val="0"/>
          <w:sz w:val="32"/>
          <w:szCs w:val="32"/>
          <w:highlight w:val="none"/>
          <w:shd w:val="clear" w:color="auto" w:fill="auto"/>
          <w:lang w:val="en-US" w:eastAsia="zh-CN" w:bidi="ar"/>
        </w:rPr>
        <w:t>全年开展教研活动250场，受益师生近9万人次。</w:t>
      </w:r>
      <w:r>
        <w:rPr>
          <w:rFonts w:hint="eastAsia" w:cs="Times New Roman"/>
          <w:i w:val="0"/>
          <w:iCs w:val="0"/>
          <w:caps w:val="0"/>
          <w:color w:val="auto"/>
          <w:spacing w:val="0"/>
          <w:kern w:val="0"/>
          <w:sz w:val="32"/>
          <w:szCs w:val="32"/>
          <w:highlight w:val="none"/>
          <w:shd w:val="clear" w:color="auto" w:fill="auto"/>
          <w:lang w:val="en-US" w:eastAsia="zh-CN" w:bidi="ar"/>
        </w:rPr>
        <w:t>高考备考方面，</w:t>
      </w:r>
      <w:r>
        <w:rPr>
          <w:rFonts w:hint="default" w:ascii="Times New Roman" w:hAnsi="Times New Roman" w:eastAsia="仿宋_GB2312" w:cs="Times New Roman"/>
          <w:bCs/>
          <w:i w:val="0"/>
          <w:iCs w:val="0"/>
          <w:caps w:val="0"/>
          <w:color w:val="auto"/>
          <w:spacing w:val="0"/>
          <w:kern w:val="0"/>
          <w:sz w:val="32"/>
          <w:szCs w:val="32"/>
          <w:highlight w:val="none"/>
          <w:shd w:val="clear" w:color="auto" w:fill="auto"/>
          <w:lang w:val="en-US" w:eastAsia="zh-CN" w:bidi="ar"/>
        </w:rPr>
        <w:t>2025年</w:t>
      </w:r>
      <w:r>
        <w:rPr>
          <w:rFonts w:hint="default" w:ascii="Times New Roman" w:hAnsi="Times New Roman" w:eastAsia="仿宋_GB2312" w:cs="Times New Roman"/>
          <w:b w:val="0"/>
          <w:bCs/>
          <w:color w:val="auto"/>
          <w:w w:val="100"/>
          <w:kern w:val="0"/>
          <w:sz w:val="32"/>
          <w:szCs w:val="32"/>
          <w:highlight w:val="none"/>
          <w:lang w:val="en-US" w:eastAsia="zh-CN" w:bidi="ar"/>
        </w:rPr>
        <w:t>高考取得新突破</w:t>
      </w:r>
      <w:r>
        <w:rPr>
          <w:rFonts w:hint="eastAsia" w:cs="Times New Roman"/>
          <w:b w:val="0"/>
          <w:bCs/>
          <w:color w:val="auto"/>
          <w:w w:val="100"/>
          <w:kern w:val="0"/>
          <w:sz w:val="32"/>
          <w:szCs w:val="32"/>
          <w:highlight w:val="none"/>
          <w:lang w:val="en-US" w:eastAsia="zh-CN" w:bidi="ar"/>
        </w:rPr>
        <w:t>，特控线、本科线、艺体生上线率均取得新突破。招生考试工作方面，</w:t>
      </w:r>
      <w:r>
        <w:rPr>
          <w:rFonts w:hint="eastAsia" w:ascii="Times New Roman" w:hAnsi="Times New Roman" w:cs="仿宋_GB2312"/>
          <w:szCs w:val="32"/>
          <w:lang w:val="en-US" w:eastAsia="zh-CN"/>
        </w:rPr>
        <w:t>考试正常运行率100%，确保全市考试安全、规范、有序。</w:t>
      </w:r>
      <w:r>
        <w:rPr>
          <w:rFonts w:hint="default" w:ascii="Times New Roman" w:hAnsi="Times New Roman" w:cs="仿宋_GB2312"/>
          <w:szCs w:val="32"/>
          <w:lang w:val="en-US" w:eastAsia="zh-CN"/>
        </w:rPr>
        <w:t>平安校园建设</w:t>
      </w:r>
      <w:r>
        <w:rPr>
          <w:rFonts w:hint="eastAsia" w:ascii="Times New Roman" w:hAnsi="Times New Roman" w:cs="仿宋_GB2312"/>
          <w:szCs w:val="32"/>
          <w:lang w:val="en-US" w:eastAsia="zh-CN"/>
        </w:rPr>
        <w:t>方面，全市校园重大安全事故发生数零发生</w:t>
      </w:r>
      <w:r>
        <w:rPr>
          <w:rFonts w:hint="eastAsia" w:ascii="Times New Roman" w:hAnsi="Times New Roman" w:cs="仿宋_GB2312"/>
          <w:szCs w:val="32"/>
          <w:lang w:eastAsia="zh-CN"/>
        </w:rPr>
        <w:t>。在经济性方面，部门坚持成本管控优先。</w:t>
      </w:r>
      <w:r>
        <w:rPr>
          <w:rFonts w:hint="eastAsia" w:ascii="Times New Roman" w:hAnsi="Times New Roman" w:cs="仿宋_GB2312"/>
          <w:szCs w:val="32"/>
          <w:lang w:val="en-US" w:eastAsia="zh-CN"/>
        </w:rPr>
        <w:t>其中三公经费</w:t>
      </w:r>
      <w:r>
        <w:rPr>
          <w:rFonts w:hint="eastAsia" w:ascii="Times New Roman" w:hAnsi="Times New Roman" w:cs="仿宋_GB2312"/>
          <w:bCs/>
          <w:szCs w:val="32"/>
          <w:lang w:val="en-US" w:eastAsia="zh-CN"/>
        </w:rPr>
        <w:t>支出2.54万元，较预算安排减少14.96万元；通过优化采购流程、推行无纸化办公及资源共享，在业务量增加的情况下，全年日常公用经费支出与上一年持平。在效率性方面，部门着力流程再造，通过加快审批和部门协同，推进相关项目实施，实现财政资金效益的快速释放。在效果性方面，工作成果显著，服务对象满意度进一步提升，关键质量指标全面达标，为上级决策提供了有力支撑，社会及经济效益双丰收。在公平性方面，相关指标进一步显示促进教育公平，全市义务教育优质均衡发展得到进一步提升。</w:t>
      </w:r>
    </w:p>
    <w:p w14:paraId="6A7F02CF">
      <w:pPr>
        <w:snapToGrid w:val="0"/>
        <w:spacing w:line="360" w:lineRule="auto"/>
        <w:ind w:firstLine="616" w:firstLineChars="200"/>
        <w:rPr>
          <w:rFonts w:hint="eastAsia" w:ascii="Times New Roman" w:hAnsi="Times New Roman" w:cs="仿宋_GB2312"/>
          <w:szCs w:val="32"/>
        </w:rPr>
      </w:pPr>
      <w:r>
        <w:rPr>
          <w:rFonts w:hint="eastAsia" w:ascii="Times New Roman" w:hAnsi="Times New Roman" w:cs="仿宋_GB2312"/>
          <w:b/>
          <w:highlight w:val="none"/>
        </w:rPr>
        <w:t>整体支出自评分数</w:t>
      </w:r>
      <w:r>
        <w:rPr>
          <w:rFonts w:hint="eastAsia" w:ascii="Times New Roman" w:hAnsi="Times New Roman" w:cs="仿宋_GB2312"/>
          <w:b/>
          <w:highlight w:val="none"/>
          <w:lang w:val="en-US" w:eastAsia="zh-CN"/>
        </w:rPr>
        <w:t>98</w:t>
      </w:r>
      <w:r>
        <w:rPr>
          <w:rFonts w:hint="eastAsia" w:ascii="Times New Roman" w:hAnsi="Times New Roman" w:cs="仿宋_GB2312"/>
          <w:b/>
          <w:highlight w:val="none"/>
        </w:rPr>
        <w:t>分，自评等级A级。</w:t>
      </w:r>
    </w:p>
    <w:p w14:paraId="05B0E466">
      <w:pPr>
        <w:keepNext w:val="0"/>
        <w:keepLines w:val="0"/>
        <w:pageBreakBefore w:val="0"/>
        <w:widowControl w:val="0"/>
        <w:kinsoku/>
        <w:wordWrap/>
        <w:overflowPunct/>
        <w:topLinePunct w:val="0"/>
        <w:autoSpaceDE/>
        <w:autoSpaceDN/>
        <w:bidi w:val="0"/>
        <w:adjustRightInd/>
        <w:spacing w:line="540" w:lineRule="exact"/>
        <w:ind w:firstLine="616" w:firstLineChars="200"/>
        <w:textAlignment w:val="auto"/>
        <w:outlineLvl w:val="9"/>
        <w:rPr>
          <w:rFonts w:ascii="Times New Roman" w:eastAsia="方正小标宋简体"/>
          <w:highlight w:val="none"/>
        </w:rPr>
      </w:pPr>
      <w:bookmarkStart w:id="15" w:name="_Toc2072"/>
      <w:bookmarkStart w:id="16" w:name="_Toc2998_WPSOffice_Level1"/>
      <w:r>
        <w:rPr>
          <w:rFonts w:hint="eastAsia" w:ascii="Times New Roman" w:eastAsia="方正小标宋简体"/>
          <w:highlight w:val="none"/>
          <w:lang w:eastAsia="zh-CN"/>
        </w:rPr>
        <w:t>四</w:t>
      </w:r>
      <w:r>
        <w:rPr>
          <w:rFonts w:hint="eastAsia" w:ascii="Times New Roman" w:eastAsia="方正小标宋简体"/>
          <w:highlight w:val="none"/>
        </w:rPr>
        <w:t>、绩效自评分析</w:t>
      </w:r>
      <w:bookmarkEnd w:id="15"/>
      <w:bookmarkEnd w:id="16"/>
    </w:p>
    <w:p w14:paraId="53A41018">
      <w:pPr>
        <w:keepNext w:val="0"/>
        <w:keepLines w:val="0"/>
        <w:pageBreakBefore w:val="0"/>
        <w:widowControl w:val="0"/>
        <w:kinsoku/>
        <w:wordWrap/>
        <w:overflowPunct/>
        <w:topLinePunct w:val="0"/>
        <w:autoSpaceDE/>
        <w:autoSpaceDN/>
        <w:bidi w:val="0"/>
        <w:adjustRightInd/>
        <w:spacing w:line="540" w:lineRule="exact"/>
        <w:ind w:firstLine="616" w:firstLineChars="200"/>
        <w:textAlignment w:val="auto"/>
        <w:outlineLvl w:val="9"/>
        <w:rPr>
          <w:rFonts w:hint="eastAsia" w:ascii="Times New Roman" w:eastAsia="楷体_GB2312"/>
          <w:b/>
          <w:bCs/>
          <w:szCs w:val="32"/>
          <w:lang w:eastAsia="zh-CN"/>
        </w:rPr>
      </w:pPr>
      <w:bookmarkStart w:id="17" w:name="_Toc27392_WPSOffice_Level2"/>
      <w:bookmarkStart w:id="18" w:name="_Toc22677"/>
      <w:bookmarkStart w:id="19" w:name="_Toc19924"/>
      <w:bookmarkStart w:id="20" w:name="_Toc26765_WPSOffice_Level3"/>
      <w:r>
        <w:rPr>
          <w:rFonts w:hint="eastAsia" w:ascii="Times New Roman" w:eastAsia="楷体_GB2312"/>
          <w:b/>
          <w:bCs/>
          <w:szCs w:val="32"/>
        </w:rPr>
        <w:t>（一）</w:t>
      </w:r>
      <w:bookmarkEnd w:id="17"/>
      <w:bookmarkEnd w:id="18"/>
      <w:bookmarkEnd w:id="19"/>
      <w:bookmarkEnd w:id="20"/>
      <w:r>
        <w:rPr>
          <w:rFonts w:hint="eastAsia" w:ascii="Times New Roman" w:eastAsia="楷体_GB2312"/>
          <w:b/>
          <w:bCs/>
          <w:szCs w:val="32"/>
          <w:lang w:eastAsia="zh-CN"/>
        </w:rPr>
        <w:t>履职效能</w:t>
      </w:r>
    </w:p>
    <w:p w14:paraId="41894E6A">
      <w:pPr>
        <w:keepNext w:val="0"/>
        <w:keepLines w:val="0"/>
        <w:pageBreakBefore w:val="0"/>
        <w:widowControl w:val="0"/>
        <w:kinsoku/>
        <w:wordWrap/>
        <w:overflowPunct/>
        <w:topLinePunct w:val="0"/>
        <w:autoSpaceDE/>
        <w:autoSpaceDN/>
        <w:bidi w:val="0"/>
        <w:adjustRightInd/>
        <w:snapToGrid/>
        <w:spacing w:line="540" w:lineRule="exact"/>
        <w:ind w:firstLine="616" w:firstLineChars="200"/>
        <w:textAlignment w:val="auto"/>
        <w:outlineLvl w:val="9"/>
        <w:rPr>
          <w:rFonts w:hint="eastAsia" w:ascii="Times New Roman" w:hAnsi="Times New Roman" w:cs="仿宋_GB2312"/>
          <w:b/>
          <w:bCs/>
          <w:szCs w:val="32"/>
          <w:lang w:eastAsia="zh-CN"/>
        </w:rPr>
      </w:pPr>
      <w:bookmarkStart w:id="21" w:name="_Toc4521"/>
      <w:r>
        <w:rPr>
          <w:rFonts w:hint="eastAsia" w:cs="仿宋_GB2312"/>
          <w:b/>
          <w:bCs/>
          <w:szCs w:val="32"/>
        </w:rPr>
        <w:t>1</w:t>
      </w:r>
      <w:r>
        <w:rPr>
          <w:rFonts w:hint="eastAsia" w:ascii="Times New Roman" w:hAnsi="Times New Roman" w:cs="仿宋_GB2312"/>
          <w:b/>
          <w:bCs/>
          <w:szCs w:val="32"/>
        </w:rPr>
        <w:t>.</w:t>
      </w:r>
      <w:bookmarkEnd w:id="21"/>
      <w:r>
        <w:rPr>
          <w:rFonts w:hint="eastAsia" w:ascii="Times New Roman" w:hAnsi="Times New Roman" w:cs="仿宋_GB2312"/>
          <w:b/>
          <w:bCs/>
          <w:szCs w:val="32"/>
          <w:lang w:eastAsia="zh-CN"/>
        </w:rPr>
        <w:t>整体效能。</w:t>
      </w:r>
    </w:p>
    <w:p w14:paraId="55B43C8A">
      <w:pPr>
        <w:keepNext w:val="0"/>
        <w:keepLines w:val="0"/>
        <w:pageBreakBefore w:val="0"/>
        <w:widowControl w:val="0"/>
        <w:kinsoku/>
        <w:wordWrap/>
        <w:overflowPunct/>
        <w:topLinePunct w:val="0"/>
        <w:autoSpaceDE/>
        <w:autoSpaceDN/>
        <w:bidi w:val="0"/>
        <w:adjustRightInd/>
        <w:snapToGrid/>
        <w:spacing w:line="540" w:lineRule="exact"/>
        <w:ind w:firstLine="616" w:firstLineChars="200"/>
        <w:textAlignment w:val="auto"/>
        <w:outlineLvl w:val="9"/>
        <w:rPr>
          <w:rFonts w:hint="default" w:cs="Times New Roman"/>
          <w:szCs w:val="32"/>
          <w:lang w:val="en-US" w:eastAsia="zh-CN"/>
        </w:rPr>
      </w:pPr>
      <w:r>
        <w:rPr>
          <w:rFonts w:hint="eastAsia" w:cs="Times New Roman"/>
          <w:szCs w:val="32"/>
          <w:lang w:val="en-US" w:eastAsia="zh-CN"/>
        </w:rPr>
        <w:t>根据2025年部门预算整体支出绩效目标申报表，对照部门整体支出绩效目标产出指标和效益指标情况，本单位相关指标完成率100%。</w:t>
      </w:r>
      <w:r>
        <w:rPr>
          <w:rFonts w:hint="eastAsia" w:ascii="Times New Roman" w:hAnsi="Times New Roman" w:cs="Times New Roman"/>
          <w:szCs w:val="32"/>
          <w:lang w:val="en-US" w:eastAsia="zh-CN"/>
        </w:rPr>
        <w:t>年度重点工作完成率100%。</w:t>
      </w:r>
    </w:p>
    <w:p w14:paraId="17AC46F1">
      <w:pPr>
        <w:keepNext w:val="0"/>
        <w:keepLines w:val="0"/>
        <w:pageBreakBefore w:val="0"/>
        <w:widowControl w:val="0"/>
        <w:kinsoku/>
        <w:wordWrap/>
        <w:overflowPunct/>
        <w:topLinePunct w:val="0"/>
        <w:autoSpaceDE/>
        <w:autoSpaceDN/>
        <w:bidi w:val="0"/>
        <w:adjustRightInd/>
        <w:snapToGrid/>
        <w:spacing w:line="540" w:lineRule="exact"/>
        <w:ind w:firstLine="616" w:firstLineChars="200"/>
        <w:textAlignment w:val="auto"/>
        <w:outlineLvl w:val="9"/>
        <w:rPr>
          <w:rFonts w:hint="eastAsia" w:cs="Times New Roman"/>
          <w:szCs w:val="32"/>
          <w:lang w:val="en-US" w:eastAsia="zh-CN"/>
        </w:rPr>
      </w:pPr>
      <w:bookmarkStart w:id="22" w:name="_Toc8156"/>
      <w:r>
        <w:rPr>
          <w:rFonts w:hint="default" w:ascii="Times New Roman" w:hAnsi="Times New Roman" w:cs="Times New Roman"/>
          <w:b/>
          <w:bCs/>
          <w:szCs w:val="32"/>
        </w:rPr>
        <w:t>2.</w:t>
      </w:r>
      <w:bookmarkEnd w:id="22"/>
      <w:r>
        <w:rPr>
          <w:rFonts w:hint="default" w:ascii="Times New Roman" w:hAnsi="Times New Roman" w:cs="Times New Roman"/>
          <w:b/>
          <w:bCs/>
          <w:szCs w:val="32"/>
          <w:lang w:eastAsia="zh-CN"/>
        </w:rPr>
        <w:t>专项效能</w:t>
      </w:r>
      <w:r>
        <w:rPr>
          <w:rFonts w:hint="eastAsia" w:cs="Times New Roman"/>
          <w:b/>
          <w:bCs/>
          <w:szCs w:val="32"/>
          <w:lang w:eastAsia="zh-CN"/>
        </w:rPr>
        <w:t>。</w:t>
      </w:r>
    </w:p>
    <w:p w14:paraId="61B3A450">
      <w:pPr>
        <w:keepNext w:val="0"/>
        <w:keepLines w:val="0"/>
        <w:pageBreakBefore w:val="0"/>
        <w:widowControl w:val="0"/>
        <w:kinsoku/>
        <w:wordWrap/>
        <w:overflowPunct/>
        <w:topLinePunct w:val="0"/>
        <w:autoSpaceDE/>
        <w:autoSpaceDN/>
        <w:bidi w:val="0"/>
        <w:adjustRightInd/>
        <w:snapToGrid/>
        <w:spacing w:line="540" w:lineRule="exact"/>
        <w:ind w:firstLine="616" w:firstLineChars="200"/>
        <w:textAlignment w:val="auto"/>
        <w:outlineLvl w:val="9"/>
        <w:rPr>
          <w:rFonts w:hint="default" w:cs="Times New Roman"/>
          <w:szCs w:val="32"/>
          <w:lang w:val="en-US" w:eastAsia="zh-CN"/>
        </w:rPr>
      </w:pPr>
      <w:r>
        <w:rPr>
          <w:rFonts w:hint="eastAsia" w:cs="Times New Roman"/>
          <w:szCs w:val="32"/>
          <w:lang w:val="en-US" w:eastAsia="zh-CN"/>
        </w:rPr>
        <w:t>部门专项资金申报、批复符合专项资金管理办法有关规定，资金分配使用经党组会审议通过，</w:t>
      </w:r>
      <w:r>
        <w:rPr>
          <w:rFonts w:hint="eastAsia" w:ascii="Times New Roman" w:hAnsi="Times New Roman" w:cs="仿宋"/>
          <w:highlight w:val="none"/>
        </w:rPr>
        <w:t>项目单位按规定履行项目报批程序，并按规定严格执行项目招投标、建设、验收等</w:t>
      </w:r>
      <w:r>
        <w:rPr>
          <w:rFonts w:hint="eastAsia" w:ascii="Times New Roman" w:hAnsi="Times New Roman" w:cs="仿宋"/>
          <w:highlight w:val="none"/>
          <w:lang w:eastAsia="zh-CN"/>
        </w:rPr>
        <w:t>，</w:t>
      </w:r>
      <w:r>
        <w:rPr>
          <w:rFonts w:hint="eastAsia" w:ascii="Times New Roman" w:hAnsi="Times New Roman" w:cs="仿宋"/>
          <w:highlight w:val="none"/>
        </w:rPr>
        <w:t>为保证项目资金管理的规范性、合理性和效率性，加强项目事前、事中、事后全过程监管，切实做到“事前有预测、事中有控制、事后有监督”，对专项资金进行财务管理和会计核算，接受局党组和相关部门对专项资金的检查、考核、验收、询问、督导并开展项目绩效自评</w:t>
      </w:r>
      <w:r>
        <w:rPr>
          <w:rFonts w:hint="eastAsia" w:cs="Times New Roman"/>
          <w:szCs w:val="32"/>
          <w:lang w:val="en-US" w:eastAsia="zh-CN"/>
        </w:rPr>
        <w:t>。</w:t>
      </w:r>
    </w:p>
    <w:p w14:paraId="4AA6065F">
      <w:pPr>
        <w:keepNext w:val="0"/>
        <w:keepLines w:val="0"/>
        <w:pageBreakBefore w:val="0"/>
        <w:widowControl w:val="0"/>
        <w:kinsoku/>
        <w:wordWrap/>
        <w:overflowPunct/>
        <w:topLinePunct w:val="0"/>
        <w:autoSpaceDE/>
        <w:autoSpaceDN/>
        <w:bidi w:val="0"/>
        <w:adjustRightInd/>
        <w:spacing w:line="540" w:lineRule="exact"/>
        <w:ind w:firstLine="616" w:firstLineChars="200"/>
        <w:textAlignment w:val="auto"/>
        <w:outlineLvl w:val="9"/>
        <w:rPr>
          <w:rFonts w:hint="eastAsia" w:ascii="Times New Roman" w:eastAsia="楷体_GB2312"/>
          <w:b/>
          <w:bCs/>
          <w:szCs w:val="32"/>
          <w:lang w:eastAsia="zh-CN"/>
        </w:rPr>
      </w:pPr>
      <w:bookmarkStart w:id="23" w:name="_Toc5828_WPSOffice_Level3"/>
      <w:bookmarkStart w:id="24" w:name="_Toc19200_WPSOffice_Level2"/>
      <w:bookmarkStart w:id="25" w:name="_Toc32482"/>
      <w:bookmarkStart w:id="26" w:name="_Toc13662"/>
      <w:r>
        <w:rPr>
          <w:rFonts w:hint="eastAsia" w:ascii="Times New Roman" w:eastAsia="楷体_GB2312"/>
          <w:b/>
          <w:bCs/>
          <w:szCs w:val="32"/>
        </w:rPr>
        <w:t>（二）</w:t>
      </w:r>
      <w:bookmarkEnd w:id="23"/>
      <w:bookmarkEnd w:id="24"/>
      <w:bookmarkEnd w:id="25"/>
      <w:bookmarkEnd w:id="26"/>
      <w:r>
        <w:rPr>
          <w:rFonts w:hint="eastAsia" w:ascii="Times New Roman" w:eastAsia="楷体_GB2312"/>
          <w:b/>
          <w:bCs/>
          <w:szCs w:val="32"/>
          <w:lang w:eastAsia="zh-CN"/>
        </w:rPr>
        <w:t>管理效率</w:t>
      </w:r>
    </w:p>
    <w:p w14:paraId="7A99B80D">
      <w:pPr>
        <w:keepNext w:val="0"/>
        <w:keepLines w:val="0"/>
        <w:pageBreakBefore w:val="0"/>
        <w:widowControl w:val="0"/>
        <w:kinsoku/>
        <w:wordWrap/>
        <w:overflowPunct/>
        <w:topLinePunct w:val="0"/>
        <w:autoSpaceDE/>
        <w:autoSpaceDN/>
        <w:bidi w:val="0"/>
        <w:adjustRightInd/>
        <w:snapToGrid/>
        <w:spacing w:line="540" w:lineRule="exact"/>
        <w:ind w:firstLine="616" w:firstLineChars="200"/>
        <w:textAlignment w:val="auto"/>
        <w:outlineLvl w:val="9"/>
        <w:rPr>
          <w:rFonts w:hint="eastAsia" w:ascii="Times New Roman" w:hAnsi="Times New Roman" w:cs="仿宋_GB2312"/>
          <w:bCs/>
          <w:szCs w:val="32"/>
        </w:rPr>
      </w:pPr>
      <w:r>
        <w:rPr>
          <w:rFonts w:hint="eastAsia" w:cs="仿宋_GB2312"/>
          <w:b/>
          <w:bCs/>
          <w:szCs w:val="32"/>
        </w:rPr>
        <w:t>1</w:t>
      </w:r>
      <w:r>
        <w:rPr>
          <w:rFonts w:hint="eastAsia" w:ascii="Times New Roman" w:hAnsi="Times New Roman" w:cs="仿宋_GB2312"/>
          <w:b/>
          <w:bCs/>
          <w:szCs w:val="32"/>
        </w:rPr>
        <w:t>.</w:t>
      </w:r>
      <w:r>
        <w:rPr>
          <w:rFonts w:hint="eastAsia" w:ascii="Times New Roman" w:hAnsi="Times New Roman" w:cs="仿宋_GB2312"/>
          <w:b/>
          <w:bCs/>
          <w:szCs w:val="32"/>
          <w:lang w:eastAsia="zh-CN"/>
        </w:rPr>
        <w:t>预算编制</w:t>
      </w:r>
      <w:r>
        <w:rPr>
          <w:rFonts w:hint="eastAsia" w:ascii="Times New Roman" w:hAnsi="Times New Roman" w:cs="仿宋_GB2312"/>
          <w:b/>
          <w:bCs/>
          <w:szCs w:val="32"/>
        </w:rPr>
        <w:t>。</w:t>
      </w:r>
    </w:p>
    <w:p w14:paraId="5F817993">
      <w:pPr>
        <w:snapToGrid w:val="0"/>
        <w:spacing w:line="360" w:lineRule="auto"/>
        <w:ind w:firstLine="616" w:firstLineChars="200"/>
        <w:rPr>
          <w:rFonts w:hint="eastAsia" w:ascii="Times New Roman" w:hAnsi="Times New Roman" w:cs="仿宋_GB2312"/>
          <w:bCs/>
          <w:highlight w:val="none"/>
        </w:rPr>
      </w:pPr>
      <w:r>
        <w:rPr>
          <w:rFonts w:hint="eastAsia" w:ascii="Times New Roman" w:hAnsi="Times New Roman" w:cs="Times New Roman"/>
          <w:szCs w:val="32"/>
          <w:lang w:val="en-US" w:eastAsia="zh-CN"/>
        </w:rPr>
        <w:t>（1）预算编制合理性及规范性。根据市委市政府方针政策和工作要求、本部门工作职责、年度工作重点和各项目的轻重缓急严格制定本部门年度预算。预算编制工作严格按照当年市财政部门印发的预算编制工作方案要求执行，在“数字政府”财政管理</w:t>
      </w:r>
      <w:r>
        <w:rPr>
          <w:rFonts w:hint="eastAsia" w:ascii="Times New Roman" w:hAnsi="Times New Roman" w:cs="仿宋_GB2312"/>
          <w:bCs/>
          <w:highlight w:val="none"/>
        </w:rPr>
        <w:t>平台做好部门项目入库管理和预算编制“二上二下”工作，规范预算编制。</w:t>
      </w:r>
    </w:p>
    <w:p w14:paraId="4DE3CBCF">
      <w:pPr>
        <w:keepNext w:val="0"/>
        <w:keepLines w:val="0"/>
        <w:pageBreakBefore w:val="0"/>
        <w:widowControl w:val="0"/>
        <w:kinsoku/>
        <w:wordWrap/>
        <w:overflowPunct/>
        <w:topLinePunct w:val="0"/>
        <w:autoSpaceDE/>
        <w:autoSpaceDN/>
        <w:bidi w:val="0"/>
        <w:adjustRightInd/>
        <w:snapToGrid/>
        <w:spacing w:line="540" w:lineRule="exact"/>
        <w:ind w:firstLine="616" w:firstLineChars="200"/>
        <w:textAlignment w:val="auto"/>
        <w:outlineLvl w:val="9"/>
        <w:rPr>
          <w:rFonts w:hint="eastAsia" w:ascii="Times New Roman" w:hAnsi="Times New Roman" w:cs="仿宋_GB2312"/>
          <w:bCs/>
          <w:szCs w:val="32"/>
        </w:rPr>
      </w:pPr>
      <w:r>
        <w:rPr>
          <w:rFonts w:hint="eastAsia" w:ascii="Times New Roman" w:hAnsi="Times New Roman" w:cs="仿宋_GB2312"/>
          <w:bCs/>
          <w:highlight w:val="none"/>
          <w:lang w:eastAsia="zh-CN"/>
        </w:rPr>
        <w:t>（</w:t>
      </w:r>
      <w:r>
        <w:rPr>
          <w:rFonts w:hint="eastAsia" w:ascii="Times New Roman" w:hAnsi="Times New Roman" w:cs="仿宋_GB2312"/>
          <w:bCs/>
          <w:highlight w:val="none"/>
          <w:lang w:val="en-US" w:eastAsia="zh-CN"/>
        </w:rPr>
        <w:t>2）</w:t>
      </w:r>
      <w:r>
        <w:rPr>
          <w:rFonts w:hint="eastAsia" w:ascii="Times New Roman" w:hAnsi="Times New Roman" w:cs="仿宋_GB2312"/>
          <w:bCs/>
          <w:highlight w:val="none"/>
        </w:rPr>
        <w:t>目标设置情况。根据绩效目标“合理性、完整性、明确性”原则做好绩效目标设置工作。一是整体绩效目标和项目绩效设置结合部门年度工作计划进行设置，并结合年度预算资金安排，合理安排资金项目，项目可行性得到进一步提高。二是按要求设置并申报部门整体绩效目标及项目绩效目标，202</w:t>
      </w:r>
      <w:r>
        <w:rPr>
          <w:rFonts w:hint="eastAsia" w:ascii="Times New Roman" w:hAnsi="Times New Roman" w:cs="仿宋_GB2312"/>
          <w:bCs/>
          <w:highlight w:val="none"/>
          <w:lang w:val="en-US" w:eastAsia="zh-CN"/>
        </w:rPr>
        <w:t>5</w:t>
      </w:r>
      <w:r>
        <w:rPr>
          <w:rFonts w:hint="eastAsia" w:ascii="Times New Roman" w:hAnsi="Times New Roman" w:cs="仿宋_GB2312"/>
          <w:bCs/>
          <w:highlight w:val="none"/>
        </w:rPr>
        <w:t>年根据市工作方案要求，我局申报了202</w:t>
      </w:r>
      <w:r>
        <w:rPr>
          <w:rFonts w:hint="eastAsia" w:ascii="Times New Roman" w:hAnsi="Times New Roman" w:cs="仿宋_GB2312"/>
          <w:bCs/>
          <w:highlight w:val="none"/>
          <w:lang w:val="en-US" w:eastAsia="zh-CN"/>
        </w:rPr>
        <w:t>5</w:t>
      </w:r>
      <w:r>
        <w:rPr>
          <w:rFonts w:hint="eastAsia" w:ascii="Times New Roman" w:hAnsi="Times New Roman" w:cs="仿宋_GB2312"/>
          <w:bCs/>
          <w:highlight w:val="none"/>
        </w:rPr>
        <w:t>年部门整体绩效目标和100万以上各项目的绩效目标，绩效目标申报覆盖全面、内容完整。三是认真学习对照《广东省省级财政预算绩效目标编制审核指南》和《阳江市财政支出项目绩效评价指标体系》，准确理解各类绩效指标内涵，结合项目具体特点，设置科学合理的绩效指标，将项目产出指标量化。</w:t>
      </w:r>
    </w:p>
    <w:p w14:paraId="579A4755">
      <w:pPr>
        <w:keepNext w:val="0"/>
        <w:keepLines w:val="0"/>
        <w:pageBreakBefore w:val="0"/>
        <w:widowControl w:val="0"/>
        <w:kinsoku/>
        <w:wordWrap/>
        <w:overflowPunct/>
        <w:topLinePunct w:val="0"/>
        <w:autoSpaceDE/>
        <w:autoSpaceDN/>
        <w:bidi w:val="0"/>
        <w:adjustRightInd/>
        <w:snapToGrid/>
        <w:spacing w:line="540" w:lineRule="exact"/>
        <w:ind w:firstLine="616" w:firstLineChars="200"/>
        <w:textAlignment w:val="auto"/>
        <w:outlineLvl w:val="9"/>
        <w:rPr>
          <w:rFonts w:hint="eastAsia" w:ascii="Times New Roman" w:hAnsi="Times New Roman" w:cs="仿宋_GB2312"/>
          <w:bCs/>
          <w:szCs w:val="32"/>
          <w:lang w:eastAsia="zh-CN"/>
        </w:rPr>
      </w:pPr>
      <w:bookmarkStart w:id="27" w:name="_Toc3319"/>
      <w:r>
        <w:rPr>
          <w:rFonts w:hint="eastAsia" w:cs="仿宋_GB2312"/>
          <w:b/>
          <w:bCs/>
          <w:szCs w:val="32"/>
        </w:rPr>
        <w:t>2</w:t>
      </w:r>
      <w:r>
        <w:rPr>
          <w:rFonts w:hint="eastAsia" w:ascii="Times New Roman" w:hAnsi="Times New Roman" w:cs="仿宋_GB2312"/>
          <w:b/>
          <w:bCs/>
          <w:szCs w:val="32"/>
        </w:rPr>
        <w:t>.</w:t>
      </w:r>
      <w:r>
        <w:rPr>
          <w:rFonts w:hint="eastAsia" w:ascii="Times New Roman" w:hAnsi="Times New Roman" w:cs="仿宋_GB2312"/>
          <w:b/>
          <w:bCs/>
          <w:szCs w:val="32"/>
          <w:lang w:eastAsia="zh-CN"/>
        </w:rPr>
        <w:t>预算执行</w:t>
      </w:r>
      <w:r>
        <w:rPr>
          <w:rFonts w:hint="eastAsia" w:ascii="Times New Roman" w:hAnsi="Times New Roman" w:cs="仿宋_GB2312"/>
          <w:b/>
          <w:bCs/>
          <w:szCs w:val="32"/>
        </w:rPr>
        <w:t>。</w:t>
      </w:r>
      <w:bookmarkEnd w:id="27"/>
    </w:p>
    <w:p w14:paraId="36A43D0D">
      <w:pPr>
        <w:keepNext w:val="0"/>
        <w:keepLines w:val="0"/>
        <w:pageBreakBefore w:val="0"/>
        <w:widowControl w:val="0"/>
        <w:kinsoku/>
        <w:wordWrap/>
        <w:overflowPunct/>
        <w:topLinePunct w:val="0"/>
        <w:autoSpaceDE/>
        <w:autoSpaceDN/>
        <w:bidi w:val="0"/>
        <w:adjustRightInd/>
        <w:snapToGrid/>
        <w:spacing w:line="540" w:lineRule="exact"/>
        <w:ind w:firstLine="616" w:firstLineChars="200"/>
        <w:textAlignment w:val="auto"/>
        <w:outlineLvl w:val="9"/>
        <w:rPr>
          <w:rFonts w:hint="eastAsia" w:ascii="Times New Roman" w:hAnsi="Times New Roman" w:cs="仿宋_GB2312"/>
          <w:bCs/>
          <w:szCs w:val="32"/>
          <w:lang w:eastAsia="zh-CN"/>
        </w:rPr>
      </w:pPr>
      <w:r>
        <w:rPr>
          <w:rFonts w:hint="eastAsia" w:ascii="Times New Roman" w:hAnsi="Times New Roman" w:cs="仿宋_GB2312"/>
          <w:bCs/>
          <w:szCs w:val="32"/>
        </w:rPr>
        <w:t>预算编制约束性</w:t>
      </w:r>
      <w:r>
        <w:rPr>
          <w:rFonts w:hint="eastAsia" w:ascii="Times New Roman" w:hAnsi="Times New Roman" w:cs="仿宋_GB2312"/>
          <w:bCs/>
          <w:szCs w:val="32"/>
          <w:lang w:val="en-US" w:eastAsia="zh-CN"/>
        </w:rPr>
        <w:t>,</w:t>
      </w:r>
      <w:r>
        <w:rPr>
          <w:rFonts w:hint="eastAsia" w:ascii="Times New Roman" w:hAnsi="Times New Roman" w:cs="仿宋_GB2312"/>
          <w:highlight w:val="none"/>
        </w:rPr>
        <w:t>印发了《阳江市教育局预算绩效管理制度》《阳江市教育局内部控制制度》等制度，制度涵盖了预算绩效管理、日常收支管理、</w:t>
      </w:r>
      <w:r>
        <w:rPr>
          <w:rFonts w:hint="eastAsia" w:ascii="Times New Roman" w:hAnsi="Times New Roman" w:cs="仿宋_GB2312"/>
          <w:highlight w:val="none"/>
          <w:lang w:eastAsia="zh-CN"/>
        </w:rPr>
        <w:t>内部约束、</w:t>
      </w:r>
      <w:r>
        <w:rPr>
          <w:rFonts w:hint="eastAsia" w:ascii="Times New Roman" w:hAnsi="Times New Roman" w:cs="仿宋_GB2312"/>
          <w:highlight w:val="none"/>
        </w:rPr>
        <w:t>风险管理等各方面，加强岗位设置，提高部门业务管理水平和风险管理能力。</w:t>
      </w:r>
      <w:r>
        <w:rPr>
          <w:rFonts w:hint="eastAsia" w:ascii="Times New Roman" w:hAnsi="Times New Roman" w:cs="仿宋"/>
          <w:highlight w:val="none"/>
        </w:rPr>
        <w:t>资金下达合规性</w:t>
      </w:r>
      <w:r>
        <w:rPr>
          <w:rFonts w:hint="eastAsia" w:ascii="Times New Roman" w:hAnsi="Times New Roman" w:cs="仿宋"/>
          <w:highlight w:val="none"/>
          <w:lang w:val="en-US" w:eastAsia="zh-CN"/>
        </w:rPr>
        <w:t>,</w:t>
      </w:r>
      <w:r>
        <w:rPr>
          <w:rFonts w:hint="eastAsia" w:ascii="Times New Roman" w:hAnsi="Times New Roman" w:cs="仿宋"/>
          <w:highlight w:val="none"/>
        </w:rPr>
        <w:t>预算支出经过充分论证决策，部门预算、项目预算及支出均经我局党组集体论证决策；项目资金根据市财务管理制度按程序及时下达，资金到位及时</w:t>
      </w:r>
      <w:r>
        <w:rPr>
          <w:rFonts w:hint="eastAsia" w:ascii="Times New Roman" w:hAnsi="Times New Roman" w:cs="仿宋_GB2312"/>
          <w:highlight w:val="none"/>
          <w:lang w:eastAsia="zh-CN"/>
        </w:rPr>
        <w:t>。</w:t>
      </w:r>
      <w:r>
        <w:rPr>
          <w:rFonts w:hint="eastAsia" w:ascii="Times New Roman" w:hAnsi="Times New Roman" w:cs="仿宋_GB2312"/>
          <w:bCs/>
          <w:szCs w:val="32"/>
        </w:rPr>
        <w:t>财务管理合规性</w:t>
      </w:r>
      <w:r>
        <w:rPr>
          <w:rFonts w:hint="eastAsia" w:ascii="Times New Roman" w:hAnsi="Times New Roman" w:cs="仿宋_GB2312"/>
          <w:bCs/>
          <w:szCs w:val="32"/>
          <w:lang w:eastAsia="zh-CN"/>
        </w:rPr>
        <w:t>，</w:t>
      </w:r>
      <w:r>
        <w:rPr>
          <w:rFonts w:hint="eastAsia" w:ascii="Times New Roman" w:hAnsi="Times New Roman" w:cs="仿宋"/>
          <w:highlight w:val="none"/>
        </w:rPr>
        <w:t>基本支出管理、项目资金管理严格执行单位财务管理制度，会计核算规范，不存在支出依据不合规、虚列项目支出的情况，不存在截留、挤占、挪用项目资金情况。</w:t>
      </w:r>
    </w:p>
    <w:p w14:paraId="2692F83D">
      <w:pPr>
        <w:keepNext w:val="0"/>
        <w:keepLines w:val="0"/>
        <w:pageBreakBefore w:val="0"/>
        <w:widowControl w:val="0"/>
        <w:numPr>
          <w:ilvl w:val="0"/>
          <w:numId w:val="2"/>
        </w:numPr>
        <w:kinsoku/>
        <w:wordWrap/>
        <w:overflowPunct/>
        <w:topLinePunct w:val="0"/>
        <w:autoSpaceDE/>
        <w:autoSpaceDN/>
        <w:bidi w:val="0"/>
        <w:adjustRightInd/>
        <w:snapToGrid/>
        <w:spacing w:line="540" w:lineRule="exact"/>
        <w:ind w:left="0" w:leftChars="0" w:firstLine="616" w:firstLineChars="0"/>
        <w:textAlignment w:val="auto"/>
        <w:outlineLvl w:val="9"/>
        <w:rPr>
          <w:rFonts w:hint="eastAsia" w:ascii="Times New Roman" w:hAnsi="Times New Roman" w:cs="仿宋_GB2312"/>
          <w:szCs w:val="32"/>
        </w:rPr>
      </w:pPr>
      <w:bookmarkStart w:id="28" w:name="_Toc29827"/>
      <w:r>
        <w:rPr>
          <w:rFonts w:hint="eastAsia" w:ascii="Times New Roman" w:hAnsi="Times New Roman" w:cs="仿宋_GB2312"/>
          <w:b/>
          <w:bCs/>
          <w:szCs w:val="32"/>
          <w:lang w:eastAsia="zh-CN"/>
        </w:rPr>
        <w:t>信息公开</w:t>
      </w:r>
      <w:r>
        <w:rPr>
          <w:rFonts w:hint="eastAsia" w:ascii="Times New Roman" w:hAnsi="Times New Roman" w:cs="仿宋_GB2312"/>
          <w:b/>
          <w:bCs/>
          <w:szCs w:val="32"/>
        </w:rPr>
        <w:t>。</w:t>
      </w:r>
      <w:bookmarkEnd w:id="28"/>
    </w:p>
    <w:p w14:paraId="2B7A1B9C">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16" w:firstLineChars="200"/>
        <w:textAlignment w:val="auto"/>
        <w:outlineLvl w:val="9"/>
        <w:rPr>
          <w:rFonts w:hint="eastAsia" w:ascii="Times New Roman" w:hAnsi="Times New Roman" w:cs="仿宋_GB2312"/>
          <w:szCs w:val="32"/>
        </w:rPr>
      </w:pPr>
      <w:r>
        <w:rPr>
          <w:rFonts w:hint="eastAsia" w:eastAsia="仿宋_GB2312" w:cs="仿宋_GB2312"/>
          <w:color w:val="000000"/>
          <w:sz w:val="32"/>
          <w:szCs w:val="32"/>
          <w:highlight w:val="none"/>
        </w:rPr>
        <w:t>在财政部门批复本部门预算后，</w:t>
      </w:r>
      <w:r>
        <w:rPr>
          <w:rFonts w:hint="eastAsia" w:eastAsia="仿宋_GB2312" w:cs="仿宋_GB2312"/>
          <w:color w:val="000000"/>
          <w:sz w:val="32"/>
          <w:szCs w:val="32"/>
          <w:highlight w:val="none"/>
          <w:lang w:val="en-US" w:eastAsia="zh-CN"/>
        </w:rPr>
        <w:t>15日内</w:t>
      </w:r>
      <w:r>
        <w:rPr>
          <w:rFonts w:hint="eastAsia" w:eastAsia="仿宋_GB2312" w:cs="仿宋_GB2312"/>
          <w:color w:val="000000"/>
          <w:sz w:val="32"/>
          <w:szCs w:val="32"/>
          <w:highlight w:val="none"/>
        </w:rPr>
        <w:t>向所属各单位批复预算</w:t>
      </w:r>
      <w:r>
        <w:rPr>
          <w:rFonts w:hint="eastAsia" w:eastAsia="仿宋_GB2312" w:cs="仿宋_GB2312"/>
          <w:color w:val="000000"/>
          <w:sz w:val="32"/>
          <w:szCs w:val="32"/>
          <w:highlight w:val="none"/>
          <w:lang w:eastAsia="zh-CN"/>
        </w:rPr>
        <w:t>，</w:t>
      </w:r>
      <w:r>
        <w:rPr>
          <w:rFonts w:hint="eastAsia" w:eastAsia="仿宋_GB2312" w:cs="仿宋_GB2312"/>
          <w:color w:val="000000"/>
          <w:sz w:val="32"/>
          <w:szCs w:val="32"/>
          <w:highlight w:val="none"/>
          <w:lang w:val="en-US" w:eastAsia="zh-CN"/>
        </w:rPr>
        <w:t>20日内在</w:t>
      </w:r>
      <w:r>
        <w:rPr>
          <w:rFonts w:hint="eastAsia" w:eastAsia="仿宋_GB2312" w:cs="仿宋_GB2312"/>
          <w:color w:val="000000"/>
          <w:sz w:val="32"/>
          <w:szCs w:val="32"/>
          <w:highlight w:val="none"/>
          <w:lang w:eastAsia="zh-CN"/>
        </w:rPr>
        <w:t>政府网及时、完整、规范公开部门</w:t>
      </w:r>
      <w:r>
        <w:rPr>
          <w:rFonts w:hint="eastAsia" w:eastAsia="仿宋_GB2312" w:cs="仿宋_GB2312"/>
          <w:color w:val="000000"/>
          <w:sz w:val="32"/>
          <w:szCs w:val="32"/>
          <w:highlight w:val="none"/>
          <w:lang w:val="en-US" w:eastAsia="zh-CN"/>
        </w:rPr>
        <w:t>202</w:t>
      </w:r>
      <w:r>
        <w:rPr>
          <w:rFonts w:hint="eastAsia" w:cs="仿宋_GB2312"/>
          <w:color w:val="000000"/>
          <w:sz w:val="32"/>
          <w:szCs w:val="32"/>
          <w:highlight w:val="none"/>
          <w:lang w:val="en-US" w:eastAsia="zh-CN"/>
        </w:rPr>
        <w:t>5</w:t>
      </w:r>
      <w:r>
        <w:rPr>
          <w:rFonts w:hint="eastAsia" w:eastAsia="仿宋_GB2312" w:cs="仿宋_GB2312"/>
          <w:color w:val="000000"/>
          <w:sz w:val="32"/>
          <w:szCs w:val="32"/>
          <w:highlight w:val="none"/>
          <w:lang w:val="en-US" w:eastAsia="zh-CN"/>
        </w:rPr>
        <w:t>年</w:t>
      </w:r>
      <w:r>
        <w:rPr>
          <w:rFonts w:hint="eastAsia" w:eastAsia="仿宋_GB2312" w:cs="仿宋_GB2312"/>
          <w:color w:val="000000"/>
          <w:sz w:val="32"/>
          <w:szCs w:val="32"/>
          <w:highlight w:val="none"/>
          <w:lang w:eastAsia="zh-CN"/>
        </w:rPr>
        <w:t>预算；在财政部门批复本部门决算后，</w:t>
      </w:r>
      <w:r>
        <w:rPr>
          <w:rFonts w:hint="eastAsia" w:eastAsia="仿宋_GB2312" w:cs="仿宋_GB2312"/>
          <w:color w:val="000000"/>
          <w:sz w:val="32"/>
          <w:szCs w:val="32"/>
          <w:highlight w:val="none"/>
          <w:lang w:val="en-US" w:eastAsia="zh-CN"/>
        </w:rPr>
        <w:t>20日内</w:t>
      </w:r>
      <w:r>
        <w:rPr>
          <w:rFonts w:hint="eastAsia" w:eastAsia="仿宋_GB2312" w:cs="仿宋_GB2312"/>
          <w:color w:val="000000"/>
          <w:sz w:val="32"/>
          <w:szCs w:val="32"/>
          <w:highlight w:val="none"/>
          <w:lang w:eastAsia="zh-CN"/>
        </w:rPr>
        <w:t>在政府网及时、完整、规范公开部门</w:t>
      </w:r>
      <w:r>
        <w:rPr>
          <w:rFonts w:hint="eastAsia" w:eastAsia="仿宋_GB2312" w:cs="仿宋_GB2312"/>
          <w:color w:val="000000"/>
          <w:sz w:val="32"/>
          <w:szCs w:val="32"/>
          <w:highlight w:val="none"/>
          <w:lang w:val="en-US" w:eastAsia="zh-CN"/>
        </w:rPr>
        <w:t>202</w:t>
      </w:r>
      <w:r>
        <w:rPr>
          <w:rFonts w:hint="eastAsia" w:cs="仿宋_GB2312"/>
          <w:color w:val="000000"/>
          <w:sz w:val="32"/>
          <w:szCs w:val="32"/>
          <w:highlight w:val="none"/>
          <w:lang w:val="en-US" w:eastAsia="zh-CN"/>
        </w:rPr>
        <w:t>4</w:t>
      </w:r>
      <w:r>
        <w:rPr>
          <w:rFonts w:hint="eastAsia" w:eastAsia="仿宋_GB2312" w:cs="仿宋_GB2312"/>
          <w:color w:val="000000"/>
          <w:sz w:val="32"/>
          <w:szCs w:val="32"/>
          <w:highlight w:val="none"/>
          <w:lang w:val="en-US" w:eastAsia="zh-CN"/>
        </w:rPr>
        <w:t>年</w:t>
      </w:r>
      <w:r>
        <w:rPr>
          <w:rFonts w:hint="eastAsia" w:eastAsia="仿宋_GB2312" w:cs="仿宋_GB2312"/>
          <w:color w:val="000000"/>
          <w:sz w:val="32"/>
          <w:szCs w:val="32"/>
          <w:highlight w:val="none"/>
          <w:lang w:eastAsia="zh-CN"/>
        </w:rPr>
        <w:t>决算</w:t>
      </w:r>
      <w:r>
        <w:rPr>
          <w:rFonts w:hint="eastAsia" w:cs="仿宋_GB2312"/>
          <w:color w:val="000000"/>
          <w:sz w:val="32"/>
          <w:szCs w:val="32"/>
          <w:highlight w:val="none"/>
          <w:lang w:eastAsia="zh-CN"/>
        </w:rPr>
        <w:t>。部门整体绩效评价报告、第三方绩效评价报告等及时主动</w:t>
      </w:r>
      <w:r>
        <w:rPr>
          <w:rFonts w:hint="eastAsia" w:ascii="Times New Roman" w:hAnsi="Times New Roman" w:eastAsia="仿宋_GB2312" w:cs="仿宋_GB2312"/>
          <w:b w:val="0"/>
          <w:bCs w:val="0"/>
          <w:highlight w:val="none"/>
          <w:lang w:val="en-US" w:eastAsia="zh-CN"/>
        </w:rPr>
        <w:t>在政府网公开绩效评价信息</w:t>
      </w:r>
      <w:r>
        <w:rPr>
          <w:rFonts w:hint="eastAsia" w:cs="仿宋_GB2312"/>
          <w:b w:val="0"/>
          <w:bCs w:val="0"/>
          <w:highlight w:val="none"/>
          <w:lang w:val="en-US" w:eastAsia="zh-CN"/>
        </w:rPr>
        <w:t>。</w:t>
      </w:r>
    </w:p>
    <w:p w14:paraId="7B459FEE">
      <w:pPr>
        <w:keepNext w:val="0"/>
        <w:keepLines w:val="0"/>
        <w:pageBreakBefore w:val="0"/>
        <w:widowControl w:val="0"/>
        <w:numPr>
          <w:ilvl w:val="0"/>
          <w:numId w:val="2"/>
        </w:numPr>
        <w:kinsoku/>
        <w:wordWrap/>
        <w:overflowPunct/>
        <w:topLinePunct w:val="0"/>
        <w:autoSpaceDE/>
        <w:autoSpaceDN/>
        <w:bidi w:val="0"/>
        <w:adjustRightInd/>
        <w:snapToGrid/>
        <w:spacing w:line="540" w:lineRule="exact"/>
        <w:ind w:left="0" w:leftChars="0" w:firstLine="616" w:firstLineChars="0"/>
        <w:textAlignment w:val="auto"/>
        <w:outlineLvl w:val="9"/>
        <w:rPr>
          <w:rFonts w:hint="eastAsia" w:ascii="Times New Roman" w:hAnsi="Times New Roman" w:cs="仿宋_GB2312"/>
          <w:szCs w:val="32"/>
          <w:lang w:eastAsia="zh-CN"/>
        </w:rPr>
      </w:pPr>
      <w:bookmarkStart w:id="29" w:name="_Toc3788"/>
      <w:r>
        <w:rPr>
          <w:rFonts w:hint="eastAsia" w:ascii="Times New Roman" w:hAnsi="Times New Roman" w:cs="仿宋_GB2312"/>
          <w:b/>
          <w:bCs/>
          <w:szCs w:val="32"/>
          <w:lang w:eastAsia="zh-CN"/>
        </w:rPr>
        <w:t>绩效</w:t>
      </w:r>
      <w:r>
        <w:rPr>
          <w:rFonts w:hint="eastAsia" w:ascii="Times New Roman" w:hAnsi="Times New Roman" w:cs="仿宋_GB2312"/>
          <w:b/>
          <w:bCs/>
          <w:szCs w:val="32"/>
        </w:rPr>
        <w:t>管理。</w:t>
      </w:r>
      <w:bookmarkEnd w:id="29"/>
    </w:p>
    <w:p w14:paraId="760FD272">
      <w:pPr>
        <w:keepNext w:val="0"/>
        <w:keepLines w:val="0"/>
        <w:pageBreakBefore w:val="0"/>
        <w:widowControl w:val="0"/>
        <w:kinsoku/>
        <w:wordWrap/>
        <w:overflowPunct/>
        <w:topLinePunct w:val="0"/>
        <w:autoSpaceDE/>
        <w:autoSpaceDN/>
        <w:bidi w:val="0"/>
        <w:adjustRightInd/>
        <w:snapToGrid/>
        <w:spacing w:line="540" w:lineRule="exact"/>
        <w:ind w:firstLine="616" w:firstLineChars="200"/>
        <w:textAlignment w:val="auto"/>
        <w:outlineLvl w:val="9"/>
        <w:rPr>
          <w:rFonts w:hint="eastAsia" w:ascii="Times New Roman" w:hAnsi="Times New Roman" w:cs="仿宋_GB2312"/>
          <w:szCs w:val="32"/>
          <w:lang w:eastAsia="zh-CN"/>
        </w:rPr>
      </w:pPr>
      <w:r>
        <w:rPr>
          <w:rFonts w:hint="eastAsia" w:ascii="Times New Roman" w:hAnsi="Times New Roman" w:cs="仿宋_GB2312"/>
          <w:szCs w:val="32"/>
          <w:lang w:eastAsia="zh-CN"/>
        </w:rPr>
        <w:t>印发了《阳江市教育局预算绩效管理制度》，建立了内部绩效管理机制，开展事前、事中、事后绩效管理，年初制定预算绩效申报表，项目执行过程中跟踪绩效效益，项目执行后进行绩效评价并加强结果应用。</w:t>
      </w:r>
      <w:r>
        <w:rPr>
          <w:rFonts w:hint="eastAsia" w:ascii="Times New Roman" w:hAnsi="Times New Roman" w:cs="仿宋_GB2312"/>
          <w:szCs w:val="32"/>
          <w:lang w:val="en-US" w:eastAsia="zh-CN"/>
        </w:rPr>
        <w:t>202</w:t>
      </w:r>
      <w:r>
        <w:rPr>
          <w:rFonts w:hint="eastAsia" w:ascii="Times New Roman" w:hAnsi="Times New Roman" w:cs="仿宋_GB2312"/>
          <w:szCs w:val="32"/>
          <w:lang w:val="en-US" w:eastAsia="zh"/>
          <w:woUserID w:val="1"/>
        </w:rPr>
        <w:t>5</w:t>
      </w:r>
      <w:r>
        <w:rPr>
          <w:rFonts w:hint="eastAsia" w:ascii="Times New Roman" w:hAnsi="Times New Roman" w:cs="仿宋_GB2312"/>
          <w:szCs w:val="32"/>
          <w:lang w:val="en-US" w:eastAsia="zh-CN"/>
        </w:rPr>
        <w:t>年共开展了市本级教育费附加、地方教育费附加、教育专款、民生实事项目的绩效评价工作。</w:t>
      </w:r>
    </w:p>
    <w:p w14:paraId="466315B4">
      <w:pPr>
        <w:keepNext w:val="0"/>
        <w:keepLines w:val="0"/>
        <w:pageBreakBefore w:val="0"/>
        <w:widowControl w:val="0"/>
        <w:numPr>
          <w:ilvl w:val="0"/>
          <w:numId w:val="2"/>
        </w:numPr>
        <w:kinsoku/>
        <w:wordWrap/>
        <w:overflowPunct/>
        <w:topLinePunct w:val="0"/>
        <w:autoSpaceDE/>
        <w:autoSpaceDN/>
        <w:bidi w:val="0"/>
        <w:adjustRightInd/>
        <w:snapToGrid/>
        <w:spacing w:line="540" w:lineRule="exact"/>
        <w:ind w:left="0" w:leftChars="0" w:firstLine="616" w:firstLineChars="0"/>
        <w:textAlignment w:val="auto"/>
        <w:outlineLvl w:val="9"/>
        <w:rPr>
          <w:rFonts w:hint="default" w:ascii="Times New Roman" w:hAnsi="Times New Roman" w:cs="Times New Roman"/>
          <w:szCs w:val="32"/>
          <w:lang w:val="en-US" w:eastAsia="zh-CN"/>
        </w:rPr>
      </w:pPr>
      <w:r>
        <w:rPr>
          <w:rFonts w:hint="default" w:ascii="Times New Roman" w:hAnsi="Times New Roman" w:cs="Times New Roman"/>
          <w:b/>
          <w:bCs/>
          <w:szCs w:val="32"/>
          <w:lang w:val="en-US" w:eastAsia="zh-CN"/>
        </w:rPr>
        <w:t>采购管理。</w:t>
      </w:r>
    </w:p>
    <w:p w14:paraId="4311C38B">
      <w:pPr>
        <w:keepNext w:val="0"/>
        <w:keepLines w:val="0"/>
        <w:pageBreakBefore w:val="0"/>
        <w:widowControl w:val="0"/>
        <w:kinsoku/>
        <w:wordWrap/>
        <w:overflowPunct/>
        <w:topLinePunct w:val="0"/>
        <w:autoSpaceDE/>
        <w:autoSpaceDN/>
        <w:bidi w:val="0"/>
        <w:adjustRightInd/>
        <w:snapToGrid/>
        <w:spacing w:line="540" w:lineRule="exact"/>
        <w:ind w:firstLine="616" w:firstLineChars="200"/>
        <w:textAlignment w:val="auto"/>
        <w:outlineLvl w:val="9"/>
        <w:rPr>
          <w:rFonts w:hint="default" w:ascii="Times New Roman" w:hAnsi="Times New Roman" w:cs="Times New Roman"/>
          <w:szCs w:val="32"/>
          <w:lang w:val="en-US" w:eastAsia="zh-CN"/>
        </w:rPr>
      </w:pPr>
      <w:r>
        <w:rPr>
          <w:rFonts w:hint="eastAsia" w:ascii="Times New Roman" w:hAnsi="Times New Roman" w:cs="Times New Roman"/>
          <w:szCs w:val="32"/>
          <w:lang w:val="en-US" w:eastAsia="zh-CN"/>
        </w:rPr>
        <w:t>严格执行政府采购制度，印发了《阳江市教育局政府采购管理制度（试行）》，按要求在“广东政府采购智慧云平台”开展采购，按平台流程执行采购活动，保证了采购</w:t>
      </w:r>
      <w:r>
        <w:rPr>
          <w:rFonts w:hint="default" w:ascii="Times New Roman" w:hAnsi="Times New Roman" w:cs="Times New Roman"/>
          <w:szCs w:val="32"/>
          <w:lang w:val="en-US" w:eastAsia="zh-CN"/>
        </w:rPr>
        <w:t>采购活动</w:t>
      </w:r>
      <w:r>
        <w:rPr>
          <w:rFonts w:hint="eastAsia" w:cs="Times New Roman"/>
          <w:szCs w:val="32"/>
          <w:lang w:val="en-US" w:eastAsia="zh-CN"/>
        </w:rPr>
        <w:t>的</w:t>
      </w:r>
      <w:r>
        <w:rPr>
          <w:rFonts w:hint="default" w:ascii="Times New Roman" w:hAnsi="Times New Roman" w:cs="Times New Roman"/>
          <w:szCs w:val="32"/>
          <w:lang w:val="en-US" w:eastAsia="zh-CN"/>
        </w:rPr>
        <w:t>合规性、采购合同签订</w:t>
      </w:r>
      <w:r>
        <w:rPr>
          <w:rFonts w:hint="eastAsia" w:cs="Times New Roman"/>
          <w:szCs w:val="32"/>
          <w:lang w:val="en-US" w:eastAsia="zh-CN"/>
        </w:rPr>
        <w:t>的</w:t>
      </w:r>
      <w:r>
        <w:rPr>
          <w:rFonts w:hint="default" w:ascii="Times New Roman" w:hAnsi="Times New Roman" w:cs="Times New Roman"/>
          <w:szCs w:val="32"/>
          <w:lang w:val="en-US" w:eastAsia="zh-CN"/>
        </w:rPr>
        <w:t>时效性、采购信息公开</w:t>
      </w:r>
      <w:r>
        <w:rPr>
          <w:rFonts w:hint="eastAsia" w:cs="Times New Roman"/>
          <w:szCs w:val="32"/>
          <w:lang w:val="en-US" w:eastAsia="zh-CN"/>
        </w:rPr>
        <w:t>透明</w:t>
      </w:r>
      <w:r>
        <w:rPr>
          <w:rFonts w:hint="default" w:ascii="Times New Roman" w:hAnsi="Times New Roman" w:cs="Times New Roman"/>
          <w:szCs w:val="32"/>
          <w:lang w:val="en-US" w:eastAsia="zh-CN"/>
        </w:rPr>
        <w:t>、采购履约及验收</w:t>
      </w:r>
      <w:r>
        <w:rPr>
          <w:rFonts w:hint="eastAsia" w:cs="Times New Roman"/>
          <w:szCs w:val="32"/>
          <w:lang w:val="en-US" w:eastAsia="zh-CN"/>
        </w:rPr>
        <w:t>手续齐备。</w:t>
      </w:r>
    </w:p>
    <w:p w14:paraId="06079727">
      <w:pPr>
        <w:keepNext w:val="0"/>
        <w:keepLines w:val="0"/>
        <w:pageBreakBefore w:val="0"/>
        <w:widowControl w:val="0"/>
        <w:numPr>
          <w:ilvl w:val="0"/>
          <w:numId w:val="2"/>
        </w:numPr>
        <w:kinsoku/>
        <w:wordWrap/>
        <w:overflowPunct/>
        <w:topLinePunct w:val="0"/>
        <w:autoSpaceDE/>
        <w:autoSpaceDN/>
        <w:bidi w:val="0"/>
        <w:adjustRightInd/>
        <w:snapToGrid/>
        <w:spacing w:line="540" w:lineRule="exact"/>
        <w:ind w:left="0" w:leftChars="0" w:firstLine="616" w:firstLineChars="0"/>
        <w:textAlignment w:val="auto"/>
        <w:outlineLvl w:val="9"/>
        <w:rPr>
          <w:rFonts w:hint="default" w:ascii="Times New Roman" w:hAnsi="Times New Roman" w:cs="Times New Roman"/>
          <w:szCs w:val="32"/>
          <w:lang w:val="en-US" w:eastAsia="zh-CN"/>
        </w:rPr>
      </w:pPr>
      <w:r>
        <w:rPr>
          <w:rFonts w:hint="default" w:ascii="Times New Roman" w:hAnsi="Times New Roman" w:cs="Times New Roman"/>
          <w:b/>
          <w:bCs/>
          <w:szCs w:val="32"/>
          <w:lang w:val="en-US" w:eastAsia="zh-CN"/>
        </w:rPr>
        <w:t>资产管理。</w:t>
      </w:r>
    </w:p>
    <w:p w14:paraId="7E0F586F">
      <w:pPr>
        <w:keepNext w:val="0"/>
        <w:keepLines w:val="0"/>
        <w:pageBreakBefore w:val="0"/>
        <w:widowControl w:val="0"/>
        <w:kinsoku/>
        <w:wordWrap/>
        <w:overflowPunct/>
        <w:topLinePunct w:val="0"/>
        <w:autoSpaceDE/>
        <w:autoSpaceDN/>
        <w:bidi w:val="0"/>
        <w:adjustRightInd/>
        <w:snapToGrid/>
        <w:spacing w:line="540" w:lineRule="exact"/>
        <w:ind w:firstLine="616" w:firstLineChars="200"/>
        <w:textAlignment w:val="auto"/>
        <w:outlineLvl w:val="9"/>
        <w:rPr>
          <w:rFonts w:hint="default" w:ascii="Times New Roman" w:hAnsi="Times New Roman" w:cs="Times New Roman"/>
          <w:szCs w:val="32"/>
          <w:lang w:val="en-US" w:eastAsia="zh-CN"/>
        </w:rPr>
      </w:pPr>
      <w:r>
        <w:rPr>
          <w:rFonts w:hint="eastAsia" w:cs="仿宋_GB2312"/>
          <w:highlight w:val="none"/>
        </w:rPr>
        <w:t>制定了《阳江市教育局机关固定资产管理制度》,认真做好资产的日常管理工作，明晰产权关系，实施产权管理，保障资产的安全和完整，推动资产的合理配置和节约、有效使用；对使用的国有资产定期清查、统计，做到账账相符、账实相符，防止资产流失。</w:t>
      </w:r>
      <w:r>
        <w:rPr>
          <w:rFonts w:hint="eastAsia" w:cs="仿宋_GB2312"/>
          <w:highlight w:val="none"/>
          <w:lang w:val="en-US" w:eastAsia="zh-CN"/>
        </w:rPr>
        <w:t>聘请了第三方机构完成对我局固定资产盘点项目工作，进一步完善资产台账，做到账实相符。</w:t>
      </w:r>
    </w:p>
    <w:p w14:paraId="07E6248C">
      <w:pPr>
        <w:keepNext w:val="0"/>
        <w:keepLines w:val="0"/>
        <w:pageBreakBefore w:val="0"/>
        <w:widowControl w:val="0"/>
        <w:numPr>
          <w:ilvl w:val="0"/>
          <w:numId w:val="2"/>
        </w:numPr>
        <w:kinsoku/>
        <w:wordWrap/>
        <w:overflowPunct/>
        <w:topLinePunct w:val="0"/>
        <w:autoSpaceDE/>
        <w:autoSpaceDN/>
        <w:bidi w:val="0"/>
        <w:adjustRightInd/>
        <w:snapToGrid/>
        <w:spacing w:line="540" w:lineRule="exact"/>
        <w:ind w:left="0" w:leftChars="0" w:firstLine="616" w:firstLineChars="0"/>
        <w:textAlignment w:val="auto"/>
        <w:outlineLvl w:val="9"/>
        <w:rPr>
          <w:rFonts w:hint="eastAsia" w:cs="Times New Roman"/>
          <w:szCs w:val="32"/>
          <w:lang w:val="en-US" w:eastAsia="zh-CN"/>
        </w:rPr>
      </w:pPr>
      <w:r>
        <w:rPr>
          <w:rFonts w:hint="default" w:ascii="Times New Roman" w:hAnsi="Times New Roman" w:cs="Times New Roman"/>
          <w:b/>
          <w:bCs/>
          <w:szCs w:val="32"/>
          <w:lang w:val="en-US" w:eastAsia="zh-CN"/>
        </w:rPr>
        <w:t>运行成本。</w:t>
      </w:r>
    </w:p>
    <w:p w14:paraId="1F3BE211">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16" w:firstLineChars="200"/>
        <w:textAlignment w:val="auto"/>
        <w:outlineLvl w:val="9"/>
        <w:rPr>
          <w:rFonts w:hint="default" w:cs="Times New Roman"/>
          <w:szCs w:val="32"/>
          <w:lang w:val="en-US" w:eastAsia="zh-CN"/>
        </w:rPr>
      </w:pPr>
      <w:r>
        <w:rPr>
          <w:rFonts w:hint="eastAsia" w:ascii="Times New Roman" w:hAnsi="Times New Roman" w:cs="仿宋_GB2312"/>
          <w:highlight w:val="none"/>
          <w:lang w:val="en-US" w:eastAsia="zh-CN"/>
        </w:rPr>
        <w:t>2025年度“三公”经费财政拨款支出决算为2.54万元，完成预算17.5万元的14.51%。其中：因公出国（境）支出决算为0万元，完成预算4万元的0%；公务用车购置及运行费支出决算为1.19万元，完成预算6.5万元的18.31%；公务接待费支出决算为1.36万元，完成预算7万元的19.43%。综上，202</w:t>
      </w:r>
      <w:r>
        <w:rPr>
          <w:rFonts w:hint="eastAsia" w:cs="仿宋_GB2312"/>
          <w:highlight w:val="none"/>
          <w:lang w:val="en-US" w:eastAsia="zh"/>
          <w:woUserID w:val="1"/>
        </w:rPr>
        <w:t>5</w:t>
      </w:r>
      <w:r>
        <w:rPr>
          <w:rFonts w:hint="eastAsia" w:ascii="Times New Roman" w:hAnsi="Times New Roman" w:cs="仿宋_GB2312"/>
          <w:highlight w:val="none"/>
          <w:lang w:val="en-US" w:eastAsia="zh-CN"/>
        </w:rPr>
        <w:t>年“三公”经费支出均低于预算安排经费。</w:t>
      </w:r>
    </w:p>
    <w:p w14:paraId="7030F59D">
      <w:pPr>
        <w:keepNext w:val="0"/>
        <w:keepLines w:val="0"/>
        <w:pageBreakBefore w:val="0"/>
        <w:widowControl w:val="0"/>
        <w:kinsoku/>
        <w:wordWrap/>
        <w:overflowPunct/>
        <w:topLinePunct w:val="0"/>
        <w:autoSpaceDE/>
        <w:autoSpaceDN/>
        <w:bidi w:val="0"/>
        <w:adjustRightInd/>
        <w:spacing w:line="540" w:lineRule="exact"/>
        <w:ind w:firstLine="616" w:firstLineChars="200"/>
        <w:textAlignment w:val="auto"/>
        <w:outlineLvl w:val="9"/>
        <w:rPr>
          <w:rFonts w:ascii="Times New Roman" w:eastAsia="方正小标宋简体"/>
        </w:rPr>
      </w:pPr>
      <w:bookmarkStart w:id="30" w:name="_Toc18975"/>
      <w:r>
        <w:rPr>
          <w:rFonts w:hint="eastAsia" w:ascii="Times New Roman" w:eastAsia="方正小标宋简体"/>
          <w:lang w:eastAsia="zh-CN"/>
        </w:rPr>
        <w:t>五</w:t>
      </w:r>
      <w:r>
        <w:rPr>
          <w:rFonts w:hint="eastAsia" w:ascii="Times New Roman" w:eastAsia="方正小标宋简体"/>
        </w:rPr>
        <w:t>、存在的问题、原因分析及改进措施</w:t>
      </w:r>
    </w:p>
    <w:p w14:paraId="1D43CA33">
      <w:pPr>
        <w:keepNext w:val="0"/>
        <w:keepLines w:val="0"/>
        <w:pageBreakBefore w:val="0"/>
        <w:widowControl w:val="0"/>
        <w:kinsoku/>
        <w:wordWrap/>
        <w:overflowPunct/>
        <w:topLinePunct w:val="0"/>
        <w:autoSpaceDE/>
        <w:autoSpaceDN/>
        <w:bidi w:val="0"/>
        <w:adjustRightInd/>
        <w:spacing w:line="540" w:lineRule="exact"/>
        <w:ind w:firstLine="616" w:firstLineChars="200"/>
        <w:textAlignment w:val="auto"/>
        <w:outlineLvl w:val="9"/>
        <w:rPr>
          <w:rFonts w:hint="eastAsia"/>
        </w:rPr>
      </w:pPr>
      <w:r>
        <w:rPr>
          <w:rFonts w:hint="eastAsia"/>
          <w:highlight w:val="none"/>
        </w:rPr>
        <w:t>近年来，财政部门推行了很多新的改革措施，部门预算编制、绩效评价等工作日趋完善，精细水平不断提高，实际工作中我局对标市里工作要求，仍然存在一些问题，如绩效管理意识薄弱、个别项目单位未制定项目实施方案、个别资金拨付不及时、项目实施进度缓慢、项目实施缺乏有效监管、绩效指标内容设置不合理等问题。针对问题，我局高度重视，对照标准认真查摆问题、分析原因，找出症结存在，提出改进措施：一是强化预算管理、严格按程序进行预算编制，确保预算编制的科学有效。二是认真学习相关制度办法，落实绩效管理职责，树立“有效安排、低效压减、无效问责”的绩效理念，更加注重结果导向、强调成本效益、硬化责任约束，通过绩效管理，进一步强化资金运用效能。三是加强项目调研，督促项目单位制定项目实施方案，合理合规安排财政专项资金。四是进一步加强资金使用效率，及时下拨资金，跟踪资金的支出进度，提高资金使用效率。五是完善制度体系建设，对项目实施全过程监管，特别是建立有效的考核管理机制，加强项目事前、事中、事后全过程监管，切实做到“事前有预测、事中有控制、事后有监督”。六是认真学习《广东省省级财政预算绩效目标编制审核指南》和《阳江市财政支出项目绩效评价指标体系》，准确理解各类绩效指标内涵，结合项目具体特点，设置科学合理的绩效指标，提高指标编制能力。</w:t>
      </w:r>
    </w:p>
    <w:p w14:paraId="70823FFE">
      <w:pPr>
        <w:keepNext w:val="0"/>
        <w:keepLines w:val="0"/>
        <w:pageBreakBefore w:val="0"/>
        <w:widowControl w:val="0"/>
        <w:kinsoku/>
        <w:wordWrap/>
        <w:overflowPunct/>
        <w:topLinePunct w:val="0"/>
        <w:autoSpaceDE/>
        <w:autoSpaceDN/>
        <w:bidi w:val="0"/>
        <w:adjustRightInd/>
        <w:spacing w:line="540" w:lineRule="exact"/>
        <w:ind w:firstLine="616" w:firstLineChars="200"/>
        <w:textAlignment w:val="auto"/>
        <w:outlineLvl w:val="9"/>
        <w:rPr>
          <w:rFonts w:ascii="Times New Roman" w:eastAsia="方正小标宋简体"/>
        </w:rPr>
      </w:pPr>
      <w:r>
        <w:rPr>
          <w:rFonts w:hint="eastAsia" w:ascii="Times New Roman" w:eastAsia="方正小标宋简体"/>
          <w:lang w:eastAsia="zh-CN"/>
        </w:rPr>
        <w:t>六、</w:t>
      </w:r>
      <w:r>
        <w:rPr>
          <w:rFonts w:hint="eastAsia" w:ascii="Times New Roman" w:eastAsia="方正小标宋简体"/>
        </w:rPr>
        <w:t>其他需要说明的情况</w:t>
      </w:r>
    </w:p>
    <w:bookmarkEnd w:id="30"/>
    <w:p w14:paraId="50DBE496">
      <w:pPr>
        <w:rPr>
          <w:rFonts w:hint="default" w:eastAsia="仿宋_GB2312"/>
          <w:lang w:val="en-US" w:eastAsia="zh-CN"/>
        </w:rPr>
      </w:pPr>
      <w:r>
        <w:rPr>
          <w:rFonts w:hint="eastAsia"/>
          <w:lang w:val="en-US" w:eastAsia="zh-CN"/>
        </w:rPr>
        <w:t xml:space="preserve">    无。</w:t>
      </w:r>
    </w:p>
    <w:sectPr>
      <w:headerReference r:id="rId3" w:type="default"/>
      <w:footerReference r:id="rId4" w:type="default"/>
      <w:pgSz w:w="11906" w:h="16838"/>
      <w:pgMar w:top="1701" w:right="1588" w:bottom="1644" w:left="1701" w:header="851" w:footer="992" w:gutter="0"/>
      <w:cols w:space="425" w:num="1"/>
      <w:docGrid w:type="linesAndChars" w:linePitch="562" w:charSpace="-25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F"/>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53984B9-F526-4F57-8DC8-7B12C4D4B4BD}"/>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embedRegular r:id="rId2" w:fontKey="{BF37F1B8-DB07-4DEC-8137-C645CF812A79}"/>
  </w:font>
  <w:font w:name="方正小标宋简体">
    <w:panose1 w:val="03000509000000000000"/>
    <w:charset w:val="86"/>
    <w:family w:val="auto"/>
    <w:pitch w:val="default"/>
    <w:sig w:usb0="00000001" w:usb1="080E0000" w:usb2="00000000" w:usb3="00000000" w:csb0="00040000" w:csb1="00000000"/>
    <w:embedRegular r:id="rId3" w:fontKey="{7C458038-366C-4668-8015-57F808EA02CC}"/>
  </w:font>
  <w:font w:name="楷体_GB2312">
    <w:panose1 w:val="02010609030101010101"/>
    <w:charset w:val="86"/>
    <w:family w:val="modern"/>
    <w:pitch w:val="default"/>
    <w:sig w:usb0="00000001" w:usb1="080E0000" w:usb2="00000000" w:usb3="00000000" w:csb0="00040000" w:csb1="00000000"/>
    <w:embedRegular r:id="rId4" w:fontKey="{8365F92A-8ED1-45A0-87E2-3FD7C94E7A7C}"/>
  </w:font>
  <w:font w:name="仿宋">
    <w:panose1 w:val="02010609060101010101"/>
    <w:charset w:val="86"/>
    <w:family w:val="auto"/>
    <w:pitch w:val="default"/>
    <w:sig w:usb0="800002BF" w:usb1="38CF7CFA" w:usb2="00000016" w:usb3="00000000" w:csb0="00040001" w:csb1="00000000"/>
    <w:embedRegular r:id="rId5" w:fontKey="{A9BF7E5F-66F8-4F7C-BBB8-B9FD7E7759B9}"/>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76DF7">
    <w:pPr>
      <w:pStyle w:val="3"/>
      <w:jc w:val="center"/>
    </w:pPr>
    <w:r>
      <w:fldChar w:fldCharType="begin"/>
    </w:r>
    <w:r>
      <w:instrText xml:space="preserve">PAGE   \* MERGEFORMAT</w:instrText>
    </w:r>
    <w:r>
      <w:fldChar w:fldCharType="separate"/>
    </w:r>
    <w:r>
      <w:rPr>
        <w:lang w:val="zh-CN"/>
      </w:rPr>
      <w:t>4</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3204C8">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7EA224"/>
    <w:multiLevelType w:val="singleLevel"/>
    <w:tmpl w:val="BF7EA224"/>
    <w:lvl w:ilvl="0" w:tentative="0">
      <w:start w:val="3"/>
      <w:numFmt w:val="decimal"/>
      <w:suff w:val="space"/>
      <w:lvlText w:val="%1."/>
      <w:lvlJc w:val="left"/>
      <w:pPr>
        <w:ind w:left="0" w:firstLine="616"/>
      </w:pPr>
    </w:lvl>
  </w:abstractNum>
  <w:abstractNum w:abstractNumId="1">
    <w:nsid w:val="0E10C937"/>
    <w:multiLevelType w:val="singleLevel"/>
    <w:tmpl w:val="0E10C937"/>
    <w:lvl w:ilvl="0" w:tentative="0">
      <w:start w:val="1"/>
      <w:numFmt w:val="chineseCounting"/>
      <w:suff w:val="nothing"/>
      <w:lvlText w:val="（%1）"/>
      <w:lvlJc w:val="left"/>
      <w:rPr>
        <w:rFonts w:hint="eastAsia"/>
      </w:r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yang">
    <w15:presenceInfo w15:providerId="WPS Office" w15:userId="249069539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trackRevisions w:val="1"/>
  <w:documentProtection w:enforcement="0"/>
  <w:defaultTabStop w:val="420"/>
  <w:drawingGridHorizontalSpacing w:val="160"/>
  <w:drawingGridVerticalSpacing w:val="435"/>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04CD"/>
    <w:rsid w:val="00000560"/>
    <w:rsid w:val="00007A67"/>
    <w:rsid w:val="00022542"/>
    <w:rsid w:val="000258AA"/>
    <w:rsid w:val="000D1E99"/>
    <w:rsid w:val="0012286D"/>
    <w:rsid w:val="00132593"/>
    <w:rsid w:val="00145B76"/>
    <w:rsid w:val="00170E39"/>
    <w:rsid w:val="001834A3"/>
    <w:rsid w:val="00195019"/>
    <w:rsid w:val="001B111B"/>
    <w:rsid w:val="001B4856"/>
    <w:rsid w:val="001D33F5"/>
    <w:rsid w:val="001E1FDF"/>
    <w:rsid w:val="001F07DA"/>
    <w:rsid w:val="001F096B"/>
    <w:rsid w:val="0023428B"/>
    <w:rsid w:val="00235EDE"/>
    <w:rsid w:val="00267E35"/>
    <w:rsid w:val="002A7F8F"/>
    <w:rsid w:val="002C4D92"/>
    <w:rsid w:val="002D7EDF"/>
    <w:rsid w:val="002E516E"/>
    <w:rsid w:val="002E5CB6"/>
    <w:rsid w:val="002F1311"/>
    <w:rsid w:val="00314DC0"/>
    <w:rsid w:val="00331AA1"/>
    <w:rsid w:val="00347820"/>
    <w:rsid w:val="00347914"/>
    <w:rsid w:val="00395359"/>
    <w:rsid w:val="003B7E05"/>
    <w:rsid w:val="003D4D40"/>
    <w:rsid w:val="004078CE"/>
    <w:rsid w:val="00410146"/>
    <w:rsid w:val="00413B2F"/>
    <w:rsid w:val="00421D22"/>
    <w:rsid w:val="0043014F"/>
    <w:rsid w:val="004531CF"/>
    <w:rsid w:val="004749F5"/>
    <w:rsid w:val="00486009"/>
    <w:rsid w:val="004B2E77"/>
    <w:rsid w:val="004D35D6"/>
    <w:rsid w:val="004D736E"/>
    <w:rsid w:val="00510F6B"/>
    <w:rsid w:val="00537F7E"/>
    <w:rsid w:val="00566EB1"/>
    <w:rsid w:val="00572A0D"/>
    <w:rsid w:val="00574D73"/>
    <w:rsid w:val="005B06B5"/>
    <w:rsid w:val="005B07DD"/>
    <w:rsid w:val="005B6EB7"/>
    <w:rsid w:val="005C28C3"/>
    <w:rsid w:val="005D4C3F"/>
    <w:rsid w:val="005E6FE2"/>
    <w:rsid w:val="00606F30"/>
    <w:rsid w:val="00620700"/>
    <w:rsid w:val="0062264E"/>
    <w:rsid w:val="006265B7"/>
    <w:rsid w:val="006317C3"/>
    <w:rsid w:val="00665117"/>
    <w:rsid w:val="00675A9A"/>
    <w:rsid w:val="006B0F8D"/>
    <w:rsid w:val="006D4795"/>
    <w:rsid w:val="00736CB1"/>
    <w:rsid w:val="0074594E"/>
    <w:rsid w:val="0075049C"/>
    <w:rsid w:val="00754811"/>
    <w:rsid w:val="007705F1"/>
    <w:rsid w:val="00781B6C"/>
    <w:rsid w:val="0078264B"/>
    <w:rsid w:val="007A1F56"/>
    <w:rsid w:val="007A7399"/>
    <w:rsid w:val="00804DCB"/>
    <w:rsid w:val="00816A2A"/>
    <w:rsid w:val="008428B2"/>
    <w:rsid w:val="0084340E"/>
    <w:rsid w:val="0086235A"/>
    <w:rsid w:val="00876A57"/>
    <w:rsid w:val="00880F2C"/>
    <w:rsid w:val="008B525A"/>
    <w:rsid w:val="008C30AE"/>
    <w:rsid w:val="008E75C3"/>
    <w:rsid w:val="0090022C"/>
    <w:rsid w:val="00982492"/>
    <w:rsid w:val="009D75F0"/>
    <w:rsid w:val="00A66BD5"/>
    <w:rsid w:val="00A813BE"/>
    <w:rsid w:val="00A8644D"/>
    <w:rsid w:val="00A91495"/>
    <w:rsid w:val="00AC5B70"/>
    <w:rsid w:val="00AF7207"/>
    <w:rsid w:val="00B05F42"/>
    <w:rsid w:val="00B12D08"/>
    <w:rsid w:val="00B32B1B"/>
    <w:rsid w:val="00B55F8F"/>
    <w:rsid w:val="00B857D8"/>
    <w:rsid w:val="00B953DC"/>
    <w:rsid w:val="00BA5204"/>
    <w:rsid w:val="00BF3EFE"/>
    <w:rsid w:val="00BF4502"/>
    <w:rsid w:val="00C005AF"/>
    <w:rsid w:val="00C10A76"/>
    <w:rsid w:val="00C112EA"/>
    <w:rsid w:val="00C13943"/>
    <w:rsid w:val="00C65605"/>
    <w:rsid w:val="00C8769E"/>
    <w:rsid w:val="00CD5F4B"/>
    <w:rsid w:val="00D24C0F"/>
    <w:rsid w:val="00D41CC7"/>
    <w:rsid w:val="00D45282"/>
    <w:rsid w:val="00D67E60"/>
    <w:rsid w:val="00D73EB4"/>
    <w:rsid w:val="00D74AD4"/>
    <w:rsid w:val="00D82FAA"/>
    <w:rsid w:val="00DA04CD"/>
    <w:rsid w:val="00DA43A7"/>
    <w:rsid w:val="00DA5CEB"/>
    <w:rsid w:val="00DC37C4"/>
    <w:rsid w:val="00DC4199"/>
    <w:rsid w:val="00DE17BB"/>
    <w:rsid w:val="00DF7A41"/>
    <w:rsid w:val="00E03302"/>
    <w:rsid w:val="00E21FA4"/>
    <w:rsid w:val="00E23CAC"/>
    <w:rsid w:val="00E3272E"/>
    <w:rsid w:val="00E71A39"/>
    <w:rsid w:val="00E82D5B"/>
    <w:rsid w:val="00EA4E69"/>
    <w:rsid w:val="00EC4520"/>
    <w:rsid w:val="00ED3E32"/>
    <w:rsid w:val="00ED5CA9"/>
    <w:rsid w:val="00EF1D42"/>
    <w:rsid w:val="00F04107"/>
    <w:rsid w:val="00F14CD1"/>
    <w:rsid w:val="00F43167"/>
    <w:rsid w:val="00F43EA4"/>
    <w:rsid w:val="00F57915"/>
    <w:rsid w:val="00FF40BF"/>
    <w:rsid w:val="0416746A"/>
    <w:rsid w:val="04C238BE"/>
    <w:rsid w:val="053E4A03"/>
    <w:rsid w:val="09E309A5"/>
    <w:rsid w:val="0CAD24F6"/>
    <w:rsid w:val="0CF55157"/>
    <w:rsid w:val="0E2D2A30"/>
    <w:rsid w:val="10A67D57"/>
    <w:rsid w:val="11B357C7"/>
    <w:rsid w:val="12252338"/>
    <w:rsid w:val="1A3A17E5"/>
    <w:rsid w:val="1BBD409D"/>
    <w:rsid w:val="1DF83068"/>
    <w:rsid w:val="1EF6633E"/>
    <w:rsid w:val="244F4FEC"/>
    <w:rsid w:val="25A927F6"/>
    <w:rsid w:val="279F4671"/>
    <w:rsid w:val="28D62840"/>
    <w:rsid w:val="2C496873"/>
    <w:rsid w:val="2CA36A90"/>
    <w:rsid w:val="2CB674DA"/>
    <w:rsid w:val="2EC5212D"/>
    <w:rsid w:val="31BD2380"/>
    <w:rsid w:val="32396FAE"/>
    <w:rsid w:val="342E6DE4"/>
    <w:rsid w:val="363177CB"/>
    <w:rsid w:val="389A2952"/>
    <w:rsid w:val="3B3F1DAA"/>
    <w:rsid w:val="3DFC546C"/>
    <w:rsid w:val="40694DC0"/>
    <w:rsid w:val="40E203D3"/>
    <w:rsid w:val="414478E0"/>
    <w:rsid w:val="4597570B"/>
    <w:rsid w:val="46F71DB9"/>
    <w:rsid w:val="473C2565"/>
    <w:rsid w:val="483E2094"/>
    <w:rsid w:val="4890686D"/>
    <w:rsid w:val="48E20AA3"/>
    <w:rsid w:val="4B4A046A"/>
    <w:rsid w:val="4C2A2851"/>
    <w:rsid w:val="4D0455E5"/>
    <w:rsid w:val="4E054177"/>
    <w:rsid w:val="4F0F23EC"/>
    <w:rsid w:val="50446AF2"/>
    <w:rsid w:val="5163582E"/>
    <w:rsid w:val="578D647B"/>
    <w:rsid w:val="58AA1B0C"/>
    <w:rsid w:val="59A42175"/>
    <w:rsid w:val="59C129EA"/>
    <w:rsid w:val="5E102850"/>
    <w:rsid w:val="5E666DE2"/>
    <w:rsid w:val="600128AE"/>
    <w:rsid w:val="611B2826"/>
    <w:rsid w:val="619F5BD5"/>
    <w:rsid w:val="64437109"/>
    <w:rsid w:val="657704D8"/>
    <w:rsid w:val="66AB66D0"/>
    <w:rsid w:val="6A3401EC"/>
    <w:rsid w:val="6A47279A"/>
    <w:rsid w:val="6E0C7681"/>
    <w:rsid w:val="6E0D40C6"/>
    <w:rsid w:val="6E796721"/>
    <w:rsid w:val="6F3F292C"/>
    <w:rsid w:val="70056C8F"/>
    <w:rsid w:val="700C488E"/>
    <w:rsid w:val="717107DF"/>
    <w:rsid w:val="74350750"/>
    <w:rsid w:val="7565081C"/>
    <w:rsid w:val="76BE1C0E"/>
    <w:rsid w:val="79A50E6D"/>
    <w:rsid w:val="7CE57054"/>
    <w:rsid w:val="7DAF7182"/>
    <w:rsid w:val="BAB2B9D8"/>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semiHidden/>
    <w:qFormat/>
    <w:uiPriority w:val="0"/>
    <w:rPr>
      <w:sz w:val="18"/>
      <w:szCs w:val="18"/>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7">
    <w:name w:val="Strong"/>
    <w:basedOn w:val="6"/>
    <w:qFormat/>
    <w:uiPriority w:val="0"/>
    <w:rPr>
      <w:b/>
    </w:rPr>
  </w:style>
  <w:style w:type="paragraph" w:customStyle="1" w:styleId="8">
    <w:name w:val="_Style 5"/>
    <w:qFormat/>
    <w:uiPriority w:val="0"/>
    <w:pPr>
      <w:widowControl w:val="0"/>
      <w:ind w:firstLine="200" w:firstLineChars="200"/>
      <w:jc w:val="both"/>
    </w:pPr>
    <w:rPr>
      <w:rFonts w:ascii="Calibri" w:hAnsi="Calibri" w:eastAsia="宋体" w:cs="Times New Roman"/>
      <w:kern w:val="2"/>
      <w:sz w:val="24"/>
      <w:szCs w:val="22"/>
      <w:lang w:val="en-US" w:eastAsia="zh-CN" w:bidi="ar-SA"/>
    </w:rPr>
  </w:style>
  <w:style w:type="paragraph" w:customStyle="1" w:styleId="9">
    <w:name w:val="正文首行缩进 21"/>
    <w:basedOn w:val="1"/>
    <w:qFormat/>
    <w:uiPriority w:val="0"/>
    <w:pPr>
      <w:spacing w:line="360" w:lineRule="auto"/>
      <w:ind w:firstLine="420" w:firstLineChars="200"/>
      <w:textAlignment w:val="baseline"/>
    </w:pPr>
    <w:rPr>
      <w:rFonts w:eastAsia="宋体"/>
      <w:sz w:val="24"/>
    </w:rPr>
  </w:style>
  <w:style w:type="character" w:customStyle="1" w:styleId="10">
    <w:name w:val="UserStyle_0"/>
    <w:basedOn w:val="11"/>
    <w:qFormat/>
    <w:uiPriority w:val="0"/>
  </w:style>
  <w:style w:type="character" w:customStyle="1" w:styleId="11">
    <w:name w:val="NormalCharacter"/>
    <w:qFormat/>
    <w:uiPriority w:val="0"/>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Microsoft</Company>
  <Pages>17</Pages>
  <Words>9473</Words>
  <Characters>9980</Characters>
  <Lines>21</Lines>
  <Paragraphs>10</Paragraphs>
  <TotalTime>11</TotalTime>
  <ScaleCrop>false</ScaleCrop>
  <LinksUpToDate>false</LinksUpToDate>
  <CharactersWithSpaces>10033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2020-07-15T00:14:00Z</dcterms:created>
  <dc:creator>shx</dc:creator>
  <cp:lastModifiedBy>yang</cp:lastModifiedBy>
  <cp:lastPrinted>2026-05-19T00:13:00Z</cp:lastPrinted>
  <dcterms:modified xsi:type="dcterms:W3CDTF">2026-06-11T03:20:56Z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eyJoZGlkIjoiMWE0ZmMxMThjOGExYTI3MjBmOGM3NjEyZDQ2ZGI0ZDIiLCJ1c2VySWQiOiIzMzUxODYwOTQifQ==</vt:lpwstr>
  </property>
  <property fmtid="{D5CDD505-2E9C-101B-9397-08002B2CF9AE}" pid="4" name="ICV">
    <vt:lpwstr>37B32FEB1818411CB2A93BCB763D6FE7_13</vt:lpwstr>
  </property>
</Properties>
</file>