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E8079">
      <w:pPr>
        <w:spacing w:line="360" w:lineRule="auto"/>
        <w:jc w:val="center"/>
        <w:rPr>
          <w:rFonts w:ascii="方正小标宋简体" w:eastAsia="方正小标宋简体"/>
          <w:sz w:val="44"/>
          <w:szCs w:val="44"/>
        </w:rPr>
      </w:pPr>
      <w:r>
        <w:rPr>
          <w:rFonts w:hint="eastAsia" w:ascii="方正小标宋简体" w:eastAsia="方正小标宋简体"/>
          <w:sz w:val="44"/>
          <w:szCs w:val="44"/>
        </w:rPr>
        <w:t>部门整体支出绩效自评报告</w:t>
      </w:r>
    </w:p>
    <w:p w14:paraId="133B11C7">
      <w:pPr>
        <w:spacing w:line="360" w:lineRule="auto"/>
        <w:jc w:val="center"/>
        <w:rPr>
          <w:rFonts w:ascii="仿宋_GB2312"/>
          <w:szCs w:val="44"/>
        </w:rPr>
      </w:pPr>
    </w:p>
    <w:p w14:paraId="2B098F2F"/>
    <w:p w14:paraId="1A68D5A5"/>
    <w:p w14:paraId="0758CB86"/>
    <w:p w14:paraId="7040074C">
      <w:bookmarkStart w:id="29" w:name="_GoBack"/>
      <w:bookmarkEnd w:id="29"/>
    </w:p>
    <w:p w14:paraId="79B2F2CA">
      <w:pPr>
        <w:ind w:firstLine="1823" w:firstLineChars="592"/>
      </w:pPr>
      <w:r>
        <w:rPr>
          <w:rFonts w:hint="eastAsia"/>
        </w:rPr>
        <w:t>部门名称（公章）：</w:t>
      </w:r>
      <w:r>
        <w:rPr>
          <w:rFonts w:hint="eastAsia" w:ascii="仿宋_GB2312"/>
          <w:highlight w:val="none"/>
        </w:rPr>
        <w:t>阳江市教育局</w:t>
      </w:r>
    </w:p>
    <w:p w14:paraId="3B02CDFD">
      <w:pPr>
        <w:ind w:firstLine="1823" w:firstLineChars="592"/>
        <w:rPr>
          <w:rFonts w:hint="default" w:eastAsia="仿宋_GB2312"/>
          <w:lang w:val="en-US" w:eastAsia="zh-CN"/>
        </w:rPr>
      </w:pPr>
      <w:r>
        <w:rPr>
          <w:rFonts w:hint="eastAsia"/>
        </w:rPr>
        <w:t>填报人姓名：</w:t>
      </w:r>
      <w:r>
        <w:rPr>
          <w:rFonts w:hint="eastAsia"/>
          <w:lang w:eastAsia="zh-CN"/>
        </w:rPr>
        <w:t>张立飞</w:t>
      </w:r>
    </w:p>
    <w:p w14:paraId="38E2A0EF">
      <w:pPr>
        <w:ind w:firstLine="1823" w:firstLineChars="592"/>
        <w:rPr>
          <w:rFonts w:hint="default" w:eastAsia="仿宋_GB2312"/>
          <w:lang w:val="en-US" w:eastAsia="zh-CN"/>
        </w:rPr>
      </w:pPr>
      <w:r>
        <w:rPr>
          <w:rFonts w:hint="eastAsia"/>
        </w:rPr>
        <w:t>联系电话：</w:t>
      </w:r>
      <w:r>
        <w:rPr>
          <w:rFonts w:hint="eastAsia"/>
          <w:lang w:val="en-US" w:eastAsia="zh-CN"/>
        </w:rPr>
        <w:t>0662-3333501</w:t>
      </w:r>
    </w:p>
    <w:p w14:paraId="3A2C67E8">
      <w:pPr>
        <w:ind w:firstLine="1823" w:firstLineChars="592"/>
      </w:pPr>
      <w:r>
        <w:rPr>
          <w:rFonts w:hint="eastAsia"/>
        </w:rPr>
        <w:t>填报日期：2025年5月15日</w:t>
      </w:r>
    </w:p>
    <w:p w14:paraId="434D0F79"/>
    <w:p w14:paraId="06F15A17"/>
    <w:p w14:paraId="02C77D86"/>
    <w:p w14:paraId="22578117"/>
    <w:p w14:paraId="16422831">
      <w:pPr>
        <w:rPr>
          <w:rFonts w:hint="eastAsia"/>
        </w:rPr>
      </w:pPr>
      <w:r>
        <w:rPr>
          <w:rFonts w:hint="eastAsia"/>
        </w:rPr>
        <w:t xml:space="preserve">                    </w:t>
      </w:r>
    </w:p>
    <w:p w14:paraId="137800F0">
      <w:pPr>
        <w:rPr>
          <w:rFonts w:hint="eastAsia"/>
        </w:rPr>
      </w:pPr>
    </w:p>
    <w:p w14:paraId="4940306B">
      <w:pPr>
        <w:rPr>
          <w:rFonts w:hint="eastAsia"/>
        </w:rPr>
      </w:pPr>
    </w:p>
    <w:p w14:paraId="5FB58245">
      <w:pPr>
        <w:rPr>
          <w:rFonts w:hint="eastAsia"/>
        </w:rPr>
      </w:pPr>
    </w:p>
    <w:p w14:paraId="4B64E733">
      <w:pPr>
        <w:jc w:val="center"/>
      </w:pPr>
      <w:r>
        <w:rPr>
          <w:rFonts w:hint="eastAsia"/>
        </w:rPr>
        <w:t>阳江市财政局制</w:t>
      </w:r>
    </w:p>
    <w:p w14:paraId="3060246C">
      <w:r>
        <w:rPr>
          <w:rFonts w:hint="eastAsia"/>
        </w:rPr>
        <w:t xml:space="preserve">                         202</w:t>
      </w:r>
      <w:r>
        <w:rPr>
          <w:rFonts w:hint="eastAsia"/>
          <w:lang w:val="en-US" w:eastAsia="zh-CN"/>
        </w:rPr>
        <w:t>5</w:t>
      </w:r>
      <w:r>
        <w:rPr>
          <w:rFonts w:hint="eastAsia"/>
        </w:rPr>
        <w:t>年</w:t>
      </w:r>
    </w:p>
    <w:p w14:paraId="7698CC86">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方正小标宋简体" w:eastAsia="方正小标宋简体"/>
        </w:rPr>
      </w:pPr>
      <w:bookmarkStart w:id="0" w:name="_Toc28838"/>
      <w:bookmarkStart w:id="1" w:name="_Toc8021_WPSOffice_Level2"/>
    </w:p>
    <w:p w14:paraId="52CC0AFC">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方正小标宋简体" w:eastAsia="方正小标宋简体"/>
        </w:rPr>
      </w:pPr>
    </w:p>
    <w:p w14:paraId="5796DF07">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ascii="方正小标宋简体" w:eastAsia="方正小标宋简体"/>
        </w:rPr>
      </w:pPr>
      <w:r>
        <w:rPr>
          <w:rFonts w:hint="eastAsia" w:ascii="方正小标宋简体" w:eastAsia="方正小标宋简体"/>
        </w:rPr>
        <w:t>一、部门基本情况</w:t>
      </w:r>
      <w:bookmarkEnd w:id="0"/>
    </w:p>
    <w:bookmarkEnd w:id="1"/>
    <w:p w14:paraId="42B07C46">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ascii="楷体_GB2312" w:eastAsia="楷体_GB2312"/>
          <w:b/>
          <w:bCs/>
          <w:szCs w:val="32"/>
        </w:rPr>
      </w:pPr>
      <w:bookmarkStart w:id="2" w:name="_Toc30104"/>
      <w:bookmarkStart w:id="3" w:name="_Toc23683"/>
      <w:bookmarkStart w:id="4" w:name="_Toc5988_WPSOffice_Level3"/>
      <w:r>
        <w:rPr>
          <w:rFonts w:hint="eastAsia" w:ascii="楷体_GB2312" w:eastAsia="楷体_GB2312"/>
          <w:b/>
          <w:bCs/>
          <w:szCs w:val="32"/>
        </w:rPr>
        <w:t>（一）部门整体概况</w:t>
      </w:r>
      <w:bookmarkEnd w:id="2"/>
      <w:bookmarkEnd w:id="3"/>
      <w:bookmarkEnd w:id="4"/>
      <w:bookmarkStart w:id="5" w:name="_Toc18779"/>
    </w:p>
    <w:bookmarkEnd w:id="5"/>
    <w:p w14:paraId="1103A89D">
      <w:pPr>
        <w:ind w:firstLine="616" w:firstLineChars="200"/>
        <w:rPr>
          <w:rFonts w:ascii="仿宋_GB2312" w:hAnsi="仿宋_GB2312" w:cs="仿宋_GB2312"/>
          <w:bCs/>
          <w:highlight w:val="none"/>
        </w:rPr>
      </w:pPr>
      <w:r>
        <w:rPr>
          <w:rFonts w:hint="eastAsia" w:ascii="仿宋_GB2312" w:hAnsi="仿宋_GB2312" w:cs="仿宋_GB2312"/>
          <w:bCs/>
          <w:highlight w:val="none"/>
        </w:rPr>
        <w:t>1. 部门职能</w:t>
      </w:r>
    </w:p>
    <w:p w14:paraId="5463A3C9">
      <w:pPr>
        <w:ind w:firstLine="616" w:firstLineChars="200"/>
        <w:rPr>
          <w:rFonts w:ascii="仿宋_GB2312" w:hAnsi="仿宋" w:cs="仿宋"/>
          <w:highlight w:val="none"/>
        </w:rPr>
      </w:pPr>
      <w:r>
        <w:rPr>
          <w:rFonts w:hint="eastAsia" w:ascii="仿宋_GB2312" w:hAnsi="仿宋" w:cs="仿宋"/>
          <w:highlight w:val="none"/>
        </w:rPr>
        <w:t>（1）贯彻执行中央、省和市有关教育工作的方针政策和法律法规，起草有关地方性法规、规章草案和政策并组织实施。</w:t>
      </w:r>
    </w:p>
    <w:p w14:paraId="68FFEE36">
      <w:pPr>
        <w:ind w:firstLine="616" w:firstLineChars="200"/>
        <w:rPr>
          <w:rFonts w:ascii="仿宋_GB2312" w:hAnsi="仿宋" w:cs="仿宋"/>
          <w:highlight w:val="none"/>
        </w:rPr>
      </w:pPr>
      <w:r>
        <w:rPr>
          <w:rFonts w:hint="eastAsia" w:ascii="仿宋_GB2312" w:hAnsi="仿宋" w:cs="仿宋"/>
          <w:highlight w:val="none"/>
        </w:rPr>
        <w:t>（2）组织拟订教育改革与发展的规划和年度计划，提出教育体制改革的政策并组织实施，负责教育改革与发展的战略研究，会同有关部门规划、指导各级各类学校布局调整，负责教育事业相关数据的统计、分析和发布，指导教育系统审计工作。</w:t>
      </w:r>
    </w:p>
    <w:p w14:paraId="36553FE0">
      <w:pPr>
        <w:ind w:firstLine="616" w:firstLineChars="200"/>
        <w:rPr>
          <w:rFonts w:ascii="仿宋_GB2312" w:hAnsi="仿宋" w:cs="仿宋"/>
          <w:highlight w:val="none"/>
        </w:rPr>
      </w:pPr>
      <w:r>
        <w:rPr>
          <w:rFonts w:hint="eastAsia" w:ascii="仿宋_GB2312" w:hAnsi="仿宋" w:cs="仿宋"/>
          <w:highlight w:val="none"/>
        </w:rPr>
        <w:t>（3）负责市级教育经费的统筹管理，会同有关部门拟订筹措教育经费、教育拨款、教育基建投资、教育收费的政策，监督、统计各地教育财政拨款的投入、执行和使用情况，指导学校的基本建设和财务管理工作。</w:t>
      </w:r>
    </w:p>
    <w:p w14:paraId="3E3228EE">
      <w:pPr>
        <w:ind w:firstLine="616" w:firstLineChars="200"/>
        <w:rPr>
          <w:rFonts w:ascii="仿宋_GB2312" w:hAnsi="仿宋" w:cs="仿宋"/>
          <w:highlight w:val="none"/>
        </w:rPr>
      </w:pPr>
      <w:r>
        <w:rPr>
          <w:rFonts w:hint="eastAsia" w:ascii="仿宋_GB2312" w:hAnsi="仿宋" w:cs="仿宋"/>
          <w:highlight w:val="none"/>
        </w:rPr>
        <w:t>（4）综合管理义务教育、普通高中教育、学前教育和特殊教育、民族教育，负责推进义务教育均衡发展和促进教育公平，推进基础教育教学改革，全面实施素质教育。</w:t>
      </w:r>
    </w:p>
    <w:p w14:paraId="60E1C28D">
      <w:pPr>
        <w:ind w:firstLine="616" w:firstLineChars="200"/>
        <w:rPr>
          <w:rFonts w:ascii="仿宋_GB2312" w:hAnsi="仿宋" w:cs="仿宋"/>
          <w:highlight w:val="none"/>
        </w:rPr>
      </w:pPr>
      <w:r>
        <w:rPr>
          <w:rFonts w:hint="eastAsia" w:ascii="仿宋_GB2312" w:hAnsi="仿宋" w:cs="仿宋"/>
          <w:highlight w:val="none"/>
        </w:rPr>
        <w:t>（5）负责中等职业技术教育工作的统筹规划、综合协调和宏观管理，承担中等职业技术教育和成人教育相关管理工作，指导全市成人文化教育、社区教育、职工教育和农民文化技术教育工作。</w:t>
      </w:r>
    </w:p>
    <w:p w14:paraId="5FC2397A">
      <w:pPr>
        <w:ind w:firstLine="616" w:firstLineChars="200"/>
        <w:rPr>
          <w:rFonts w:ascii="仿宋_GB2312" w:hAnsi="仿宋" w:cs="仿宋"/>
          <w:highlight w:val="none"/>
        </w:rPr>
      </w:pPr>
      <w:r>
        <w:rPr>
          <w:rFonts w:hint="eastAsia" w:ascii="仿宋_GB2312" w:hAnsi="仿宋" w:cs="仿宋"/>
          <w:highlight w:val="none"/>
        </w:rPr>
        <w:t>（6）指导产学研结合等相关工作，指导学校开展奖学、助学和勤工俭学工作，指导学校后勤工作和校办产业工作。</w:t>
      </w:r>
    </w:p>
    <w:p w14:paraId="38800563">
      <w:pPr>
        <w:ind w:firstLine="616" w:firstLineChars="200"/>
        <w:rPr>
          <w:rFonts w:ascii="仿宋_GB2312" w:hAnsi="仿宋" w:cs="仿宋"/>
          <w:highlight w:val="none"/>
        </w:rPr>
      </w:pPr>
      <w:r>
        <w:rPr>
          <w:rFonts w:hint="eastAsia" w:ascii="仿宋_GB2312" w:hAnsi="仿宋" w:cs="仿宋"/>
          <w:highlight w:val="none"/>
        </w:rPr>
        <w:t>（7）牵头负责监督检查各地和各级各类学校贯彻执行教育法律法规和方针政策的情况，负责督政、督学工作，依法组织教育执法，督导、检查各地履行教育职责和巩固提高“两基”工作，负责组织和指导对中等及中等以下教育的督导检查和验收工作，负责教育评估工作，对教育质量和办学水平进行检查、监测。</w:t>
      </w:r>
    </w:p>
    <w:p w14:paraId="7AFAA95E">
      <w:pPr>
        <w:ind w:firstLine="616" w:firstLineChars="200"/>
        <w:rPr>
          <w:rFonts w:ascii="仿宋_GB2312" w:hAnsi="仿宋" w:cs="仿宋"/>
          <w:highlight w:val="none"/>
        </w:rPr>
      </w:pPr>
      <w:r>
        <w:rPr>
          <w:rFonts w:hint="eastAsia" w:ascii="仿宋_GB2312" w:hAnsi="仿宋" w:cs="仿宋"/>
          <w:highlight w:val="none"/>
        </w:rPr>
        <w:t>（8）指导各级各类学校教育教学研究和改革，指导各类学校专业建设、课程建设和教材建设，规划、指导教育信息化工作，指导学校电化教育、教育技术装备、实验室和图书馆建设，组织审定教材和教学用书及资料，负责教育系统政府采购监管工作。</w:t>
      </w:r>
    </w:p>
    <w:p w14:paraId="16E1BA99">
      <w:pPr>
        <w:ind w:firstLine="647"/>
        <w:rPr>
          <w:rFonts w:ascii="仿宋_GB2312" w:hAnsi="仿宋" w:cs="仿宋"/>
          <w:highlight w:val="none"/>
        </w:rPr>
      </w:pPr>
      <w:r>
        <w:rPr>
          <w:rFonts w:hint="eastAsia" w:ascii="仿宋_GB2312" w:hAnsi="仿宋" w:cs="仿宋"/>
          <w:highlight w:val="none"/>
        </w:rPr>
        <w:t>（9）指导教育考试招生工作和各类学校学生学籍管理工作，参与拟订有关中等职业学校毕业生就业创业政策和计划工作。</w:t>
      </w:r>
    </w:p>
    <w:p w14:paraId="3F61EEBF">
      <w:pPr>
        <w:ind w:firstLine="647"/>
        <w:rPr>
          <w:rFonts w:ascii="仿宋_GB2312" w:hAnsi="仿宋" w:cs="仿宋"/>
          <w:highlight w:val="none"/>
        </w:rPr>
      </w:pPr>
      <w:r>
        <w:rPr>
          <w:rFonts w:hint="eastAsia" w:ascii="仿宋_GB2312" w:hAnsi="仿宋" w:cs="仿宋"/>
          <w:highlight w:val="none"/>
        </w:rPr>
        <w:t>（10）主管全省教师工作，指导实施各级各类教师资格制度，规划、指导各级各类学校教师和教育行政干部队伍建设工作，指导教育系统人事制度改革等工作。</w:t>
      </w:r>
    </w:p>
    <w:p w14:paraId="0E43E7C8">
      <w:pPr>
        <w:ind w:firstLine="616" w:firstLineChars="200"/>
        <w:rPr>
          <w:rFonts w:ascii="仿宋_GB2312" w:hAnsi="仿宋" w:cs="仿宋"/>
          <w:highlight w:val="none"/>
        </w:rPr>
      </w:pPr>
      <w:r>
        <w:rPr>
          <w:rFonts w:hint="eastAsia" w:ascii="仿宋_GB2312" w:hAnsi="仿宋" w:cs="仿宋"/>
          <w:highlight w:val="none"/>
        </w:rPr>
        <w:t>（11）统筹规划、综合协调和管理各级各类民办教育，规范民办教育办学秩序，促进民办教育事业健康发展。</w:t>
      </w:r>
    </w:p>
    <w:p w14:paraId="3647DC4C">
      <w:pPr>
        <w:ind w:firstLine="616" w:firstLineChars="200"/>
        <w:rPr>
          <w:rFonts w:ascii="仿宋_GB2312" w:hAnsi="仿宋" w:cs="仿宋"/>
          <w:highlight w:val="none"/>
        </w:rPr>
      </w:pPr>
      <w:r>
        <w:rPr>
          <w:rFonts w:hint="eastAsia" w:ascii="仿宋_GB2312" w:hAnsi="仿宋" w:cs="仿宋"/>
          <w:highlight w:val="none"/>
        </w:rPr>
        <w:t>（12）规划、指导、组织教育对外交流与合作。</w:t>
      </w:r>
    </w:p>
    <w:p w14:paraId="0A4813D3">
      <w:pPr>
        <w:ind w:firstLine="616" w:firstLineChars="200"/>
        <w:rPr>
          <w:rFonts w:ascii="仿宋_GB2312" w:hAnsi="仿宋" w:cs="仿宋"/>
          <w:highlight w:val="none"/>
        </w:rPr>
      </w:pPr>
      <w:r>
        <w:rPr>
          <w:rFonts w:hint="eastAsia" w:ascii="仿宋_GB2312" w:hAnsi="仿宋" w:cs="仿宋"/>
          <w:highlight w:val="none"/>
        </w:rPr>
        <w:t>（13）规划、指导推广普通话和文字规范工作。</w:t>
      </w:r>
    </w:p>
    <w:p w14:paraId="095F4B1E">
      <w:pPr>
        <w:ind w:firstLine="616" w:firstLineChars="200"/>
        <w:rPr>
          <w:rFonts w:ascii="仿宋_GB2312" w:hAnsi="仿宋" w:cs="仿宋"/>
          <w:highlight w:val="none"/>
        </w:rPr>
      </w:pPr>
      <w:r>
        <w:rPr>
          <w:rFonts w:hint="eastAsia" w:ascii="仿宋_GB2312" w:hAnsi="仿宋" w:cs="仿宋"/>
          <w:highlight w:val="none"/>
        </w:rPr>
        <w:t>（14）规划、指导学校党的基层组织建设、党员教育管理等党建工作。</w:t>
      </w:r>
    </w:p>
    <w:p w14:paraId="2E7A410C">
      <w:pPr>
        <w:ind w:firstLine="616" w:firstLineChars="200"/>
        <w:rPr>
          <w:rFonts w:ascii="仿宋_GB2312" w:hAnsi="仿宋" w:cs="仿宋"/>
          <w:highlight w:val="none"/>
        </w:rPr>
      </w:pPr>
      <w:r>
        <w:rPr>
          <w:rFonts w:hint="eastAsia" w:ascii="仿宋_GB2312" w:hAnsi="仿宋" w:cs="仿宋"/>
          <w:highlight w:val="none"/>
        </w:rPr>
        <w:t>（15）指导各级各类学校的思想政治工作、德育教育、体育卫生与艺术教育、国防教育和宣传工作，指导学校的安全、稳定和保卫工作。</w:t>
      </w:r>
    </w:p>
    <w:p w14:paraId="20D89CFB">
      <w:pPr>
        <w:ind w:firstLine="616" w:firstLineChars="200"/>
        <w:rPr>
          <w:rFonts w:ascii="仿宋_GB2312" w:hAnsi="仿宋_GB2312" w:cs="仿宋_GB2312"/>
          <w:bCs/>
          <w:highlight w:val="none"/>
        </w:rPr>
      </w:pPr>
      <w:r>
        <w:rPr>
          <w:rFonts w:hint="eastAsia" w:ascii="仿宋_GB2312" w:hAnsi="仿宋" w:cs="仿宋"/>
          <w:highlight w:val="none"/>
        </w:rPr>
        <w:t>（16）承办市委、市政府和上级教育部门交办的其他事项。</w:t>
      </w:r>
    </w:p>
    <w:p w14:paraId="78DF4CA1">
      <w:pPr>
        <w:ind w:firstLine="616" w:firstLineChars="200"/>
        <w:rPr>
          <w:rFonts w:ascii="仿宋_GB2312" w:hAnsi="仿宋_GB2312" w:cs="仿宋_GB2312"/>
          <w:bCs/>
          <w:highlight w:val="none"/>
        </w:rPr>
      </w:pPr>
      <w:r>
        <w:rPr>
          <w:rFonts w:hint="eastAsia" w:ascii="仿宋_GB2312" w:hAnsi="仿宋_GB2312" w:cs="仿宋_GB2312"/>
          <w:bCs/>
          <w:highlight w:val="none"/>
        </w:rPr>
        <w:t>2. 内设机构构成</w:t>
      </w:r>
    </w:p>
    <w:p w14:paraId="0E3C18A5">
      <w:pPr>
        <w:ind w:firstLine="616" w:firstLineChars="200"/>
        <w:rPr>
          <w:rFonts w:ascii="仿宋_GB2312" w:hAnsi="仿宋_GB2312" w:cs="仿宋_GB2312"/>
          <w:bCs/>
          <w:highlight w:val="none"/>
        </w:rPr>
      </w:pPr>
      <w:r>
        <w:rPr>
          <w:rFonts w:hint="eastAsia" w:ascii="仿宋_GB2312" w:hAnsi="仿宋" w:cs="仿宋"/>
          <w:highlight w:val="none"/>
        </w:rPr>
        <w:t>阳江市教育局（市委教育工作领导小组办公室、市委教育工作委员会）设</w:t>
      </w:r>
      <w:r>
        <w:rPr>
          <w:rFonts w:hint="eastAsia" w:ascii="仿宋_GB2312" w:hAnsi="仿宋" w:cs="仿宋"/>
          <w:highlight w:val="none"/>
          <w:lang w:val="en-US" w:eastAsia="zh-CN"/>
        </w:rPr>
        <w:t>10</w:t>
      </w:r>
      <w:r>
        <w:rPr>
          <w:rFonts w:hint="eastAsia" w:ascii="仿宋_GB2312" w:hAnsi="仿宋" w:cs="仿宋"/>
          <w:highlight w:val="none"/>
        </w:rPr>
        <w:t>个科室，分别是秘书科(秘书科不在市教育局内设机构排列序号，但计入市教育局科室总数，日常事务由市教育局代管)、办公室（市语言文字工作委员会办公室）、</w:t>
      </w:r>
      <w:r>
        <w:rPr>
          <w:rFonts w:hint="eastAsia" w:ascii="仿宋_GB2312" w:hAnsi="仿宋" w:cs="仿宋"/>
          <w:highlight w:val="none"/>
          <w:lang w:eastAsia="zh-CN"/>
        </w:rPr>
        <w:t>计划</w:t>
      </w:r>
      <w:r>
        <w:rPr>
          <w:rFonts w:hint="eastAsia" w:ascii="仿宋_GB2312" w:hAnsi="仿宋" w:cs="仿宋"/>
          <w:highlight w:val="none"/>
        </w:rPr>
        <w:t>财务科(加挂审计室和学生助学工作管理办公室)、基础教育科、职业与成人教育科</w:t>
      </w:r>
      <w:r>
        <w:rPr>
          <w:rFonts w:hint="eastAsia" w:ascii="仿宋_GB2312" w:hAnsi="仿宋" w:cs="仿宋"/>
          <w:highlight w:val="none"/>
          <w:lang w:eastAsia="zh-CN"/>
        </w:rPr>
        <w:t>（加挂监管科）</w:t>
      </w:r>
      <w:r>
        <w:rPr>
          <w:rFonts w:hint="eastAsia" w:ascii="仿宋_GB2312" w:hAnsi="仿宋" w:cs="仿宋"/>
          <w:highlight w:val="none"/>
        </w:rPr>
        <w:t>、思想政治教育科、安全保卫科</w:t>
      </w:r>
      <w:r>
        <w:rPr>
          <w:rFonts w:hint="eastAsia" w:ascii="仿宋_GB2312" w:hAnsi="仿宋" w:cs="仿宋"/>
          <w:highlight w:val="none"/>
          <w:lang w:eastAsia="zh-CN"/>
        </w:rPr>
        <w:t>、</w:t>
      </w:r>
      <w:r>
        <w:rPr>
          <w:rFonts w:hint="eastAsia" w:ascii="仿宋_GB2312" w:hAnsi="仿宋" w:cs="仿宋"/>
          <w:highlight w:val="none"/>
        </w:rPr>
        <w:t>体育卫生与艺术教育科、人事科（加挂行政审批科）、教育督导室（加挂市人民政府教育督导室）。</w:t>
      </w:r>
    </w:p>
    <w:p w14:paraId="42ED6546">
      <w:pPr>
        <w:ind w:firstLine="616" w:firstLineChars="200"/>
        <w:rPr>
          <w:rFonts w:ascii="仿宋_GB2312" w:hAnsi="仿宋_GB2312" w:cs="仿宋_GB2312"/>
          <w:bCs/>
          <w:highlight w:val="none"/>
        </w:rPr>
      </w:pPr>
      <w:r>
        <w:rPr>
          <w:rFonts w:hint="eastAsia" w:ascii="仿宋_GB2312" w:hAnsi="仿宋_GB2312" w:cs="仿宋_GB2312"/>
          <w:bCs/>
          <w:highlight w:val="none"/>
        </w:rPr>
        <w:t>3.人员编制构成</w:t>
      </w:r>
    </w:p>
    <w:p w14:paraId="6E655B36">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eastAsia="仿宋_GB2312"/>
          <w:sz w:val="24"/>
          <w:szCs w:val="22"/>
          <w:lang w:eastAsia="zh-CN"/>
        </w:rPr>
      </w:pPr>
      <w:r>
        <w:rPr>
          <w:rFonts w:hint="eastAsia" w:ascii="仿宋_GB2312" w:hAnsi="仿宋" w:cs="仿宋"/>
          <w:highlight w:val="none"/>
        </w:rPr>
        <w:t>阳江市教育局</w:t>
      </w:r>
      <w:r>
        <w:rPr>
          <w:rFonts w:hint="eastAsia" w:ascii="仿宋_GB2312" w:hAnsi="仿宋" w:cs="仿宋"/>
          <w:highlight w:val="none"/>
          <w:lang w:eastAsia="zh-CN"/>
        </w:rPr>
        <w:t>公务员</w:t>
      </w:r>
      <w:r>
        <w:rPr>
          <w:rFonts w:hint="eastAsia" w:ascii="仿宋_GB2312" w:hAnsi="仿宋" w:cs="仿宋"/>
          <w:highlight w:val="none"/>
        </w:rPr>
        <w:t>编制2</w:t>
      </w:r>
      <w:r>
        <w:rPr>
          <w:rFonts w:hint="eastAsia" w:ascii="仿宋_GB2312" w:hAnsi="仿宋" w:cs="仿宋"/>
          <w:highlight w:val="none"/>
          <w:lang w:val="en-US" w:eastAsia="zh-CN"/>
        </w:rPr>
        <w:t>1</w:t>
      </w:r>
      <w:r>
        <w:rPr>
          <w:rFonts w:hint="eastAsia" w:ascii="仿宋_GB2312" w:hAnsi="仿宋" w:cs="仿宋"/>
          <w:highlight w:val="none"/>
        </w:rPr>
        <w:t>名、参照公务员法管理人员</w:t>
      </w:r>
      <w:r>
        <w:rPr>
          <w:rFonts w:hint="eastAsia" w:ascii="仿宋_GB2312" w:hAnsi="仿宋" w:cs="仿宋"/>
          <w:highlight w:val="none"/>
          <w:lang w:val="en-US" w:eastAsia="zh-CN"/>
        </w:rPr>
        <w:t>12名、机关和事业工人5名。</w:t>
      </w:r>
      <w:r>
        <w:rPr>
          <w:rFonts w:hint="eastAsia" w:ascii="仿宋_GB2312" w:hAnsi="仿宋" w:cs="仿宋"/>
          <w:highlight w:val="none"/>
        </w:rPr>
        <w:t>设局长1名，副局长4名，正科级领导职数11名（含机关党委专职副书记1名），副科级领导职数4名。</w:t>
      </w:r>
      <w:r>
        <w:rPr>
          <w:rFonts w:hint="eastAsia" w:ascii="仿宋_GB2312" w:hAnsi="仿宋" w:cs="仿宋"/>
          <w:highlight w:val="none"/>
          <w:lang w:eastAsia="zh-CN"/>
        </w:rPr>
        <w:t>另直管下属两个事业单位，</w:t>
      </w:r>
      <w:r>
        <w:rPr>
          <w:rFonts w:hint="eastAsia" w:ascii="仿宋_GB2312" w:hAnsi="仿宋" w:cs="仿宋"/>
          <w:highlight w:val="none"/>
          <w:lang w:val="en-US" w:eastAsia="zh-CN"/>
        </w:rPr>
        <w:t>事业管理人员和专业技术人员38名。</w:t>
      </w:r>
    </w:p>
    <w:p w14:paraId="2134F469">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ascii="楷体_GB2312" w:eastAsia="楷体_GB2312"/>
          <w:b/>
          <w:bCs/>
          <w:szCs w:val="32"/>
        </w:rPr>
      </w:pPr>
      <w:bookmarkStart w:id="6" w:name="_Toc14936_WPSOffice_Level2"/>
      <w:bookmarkStart w:id="7" w:name="_Toc25996"/>
      <w:r>
        <w:rPr>
          <w:rFonts w:hint="eastAsia" w:ascii="楷体_GB2312" w:eastAsia="楷体_GB2312"/>
          <w:b/>
          <w:bCs/>
          <w:szCs w:val="32"/>
        </w:rPr>
        <w:t>（二）年度总体工作和重点工作任务</w:t>
      </w:r>
      <w:bookmarkEnd w:id="6"/>
      <w:bookmarkEnd w:id="7"/>
    </w:p>
    <w:p w14:paraId="6A5F9638">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pPr>
      <w:r>
        <w:rPr>
          <w:rStyle w:val="11"/>
          <w:rFonts w:hint="eastAsia" w:ascii="Times New Roman" w:hAnsi="Times New Roman" w:cs="Times New Roman"/>
          <w:b w:val="0"/>
          <w:i w:val="0"/>
          <w:caps w:val="0"/>
          <w:color w:val="auto"/>
          <w:spacing w:val="0"/>
          <w:w w:val="100"/>
          <w:kern w:val="21"/>
          <w:sz w:val="32"/>
          <w:szCs w:val="32"/>
          <w:lang w:val="en-US" w:eastAsia="zh-CN" w:bidi="ar-SA"/>
        </w:rPr>
        <w:t>2024年</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是实现“十四五”规划目标任务的关键一年</w:t>
      </w:r>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在市委、市政府的坚强领导下，我局始终坚持以习近平新时代中国特色社会主义思想为指导，深入贯彻党的二十大和二十届三中全会精神，认真贯彻落实全国和省、市教育大会精神，学习贯彻市委八届六次全会精神，全面落实省委“1310”具体部署和市委“433”工作安排，紧紧围绕重点工作任务，实施“科教兴市工程”，推进基础教育优质均衡发展，推动民生实事建设，推进教育高质量发展，取得显著成效。</w:t>
      </w:r>
    </w:p>
    <w:p w14:paraId="2FF6B19C">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pP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紧紧围绕十四五规划，2024年重点落实</w:t>
      </w:r>
      <w:r>
        <w:rPr>
          <w:rStyle w:val="11"/>
          <w:rFonts w:hint="eastAsia" w:ascii="Times New Roman" w:hAnsi="Times New Roman" w:cs="Times New Roman"/>
          <w:b w:val="0"/>
          <w:i w:val="0"/>
          <w:caps w:val="0"/>
          <w:color w:val="auto"/>
          <w:spacing w:val="0"/>
          <w:w w:val="100"/>
          <w:kern w:val="21"/>
          <w:sz w:val="32"/>
          <w:szCs w:val="32"/>
          <w:lang w:val="en-US" w:eastAsia="zh-CN" w:bidi="ar-SA"/>
        </w:rPr>
        <w:t>了</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以下工作：</w:t>
      </w:r>
      <w:r>
        <w:rPr>
          <w:rStyle w:val="11"/>
          <w:rFonts w:hint="eastAsia" w:ascii="Times New Roman" w:hAnsi="Times New Roman" w:eastAsia="仿宋_GB2312" w:cs="Times New Roman"/>
          <w:b/>
          <w:bCs/>
          <w:i w:val="0"/>
          <w:caps w:val="0"/>
          <w:color w:val="auto"/>
          <w:spacing w:val="0"/>
          <w:w w:val="100"/>
          <w:kern w:val="21"/>
          <w:sz w:val="32"/>
          <w:szCs w:val="32"/>
          <w:lang w:val="en-US" w:eastAsia="zh-CN" w:bidi="ar-SA"/>
        </w:rPr>
        <w:t>一</w:t>
      </w:r>
      <w:r>
        <w:rPr>
          <w:rStyle w:val="11"/>
          <w:rFonts w:hint="eastAsia" w:ascii="Times New Roman" w:hAnsi="Times New Roman" w:cs="Times New Roman"/>
          <w:b/>
          <w:bCs/>
          <w:i w:val="0"/>
          <w:caps w:val="0"/>
          <w:color w:val="auto"/>
          <w:spacing w:val="0"/>
          <w:w w:val="100"/>
          <w:kern w:val="21"/>
          <w:sz w:val="32"/>
          <w:szCs w:val="32"/>
          <w:lang w:val="en-US" w:eastAsia="zh-CN" w:bidi="ar-SA"/>
        </w:rPr>
        <w:t>是</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坚持党建引领，党对教育工作的领导全面加</w:t>
      </w:r>
      <w:r>
        <w:rPr>
          <w:rStyle w:val="11"/>
          <w:rFonts w:hint="eastAsia" w:ascii="Times New Roman" w:hAnsi="Times New Roman" w:cs="Times New Roman"/>
          <w:b w:val="0"/>
          <w:i w:val="0"/>
          <w:caps w:val="0"/>
          <w:color w:val="auto"/>
          <w:spacing w:val="0"/>
          <w:w w:val="100"/>
          <w:kern w:val="21"/>
          <w:sz w:val="32"/>
          <w:szCs w:val="32"/>
          <w:lang w:val="en-US" w:eastAsia="zh-CN" w:bidi="ar-SA"/>
        </w:rPr>
        <w:t>强。</w:t>
      </w:r>
      <w:r>
        <w:rPr>
          <w:rStyle w:val="8"/>
          <w:rFonts w:hint="default" w:ascii="Times New Roman" w:hAnsi="Times New Roman" w:eastAsia="仿宋_GB2312" w:cs="Times New Roman"/>
          <w:b w:val="0"/>
          <w:bCs/>
          <w:i w:val="0"/>
          <w:caps w:val="0"/>
          <w:color w:val="auto"/>
          <w:spacing w:val="0"/>
          <w:w w:val="100"/>
          <w:kern w:val="0"/>
          <w:sz w:val="32"/>
          <w:szCs w:val="32"/>
          <w:lang w:val="en-US" w:eastAsia="zh-CN" w:bidi="ar"/>
        </w:rPr>
        <w:t>强化政治阵地</w:t>
      </w:r>
      <w:r>
        <w:rPr>
          <w:rStyle w:val="8"/>
          <w:rFonts w:hint="eastAsia" w:ascii="Times New Roman" w:hAnsi="Times New Roman" w:cs="Times New Roman"/>
          <w:b w:val="0"/>
          <w:bCs/>
          <w:i w:val="0"/>
          <w:caps w:val="0"/>
          <w:color w:val="auto"/>
          <w:spacing w:val="0"/>
          <w:w w:val="100"/>
          <w:kern w:val="0"/>
          <w:sz w:val="32"/>
          <w:szCs w:val="32"/>
          <w:lang w:val="en-US" w:eastAsia="zh-CN" w:bidi="ar"/>
        </w:rPr>
        <w:t>建设，切实履行从严治党第一责任人职责，深入推进中小学校党组织领导的校长负责制改革，扎实开展党纪学习教育，发挥党员先锋模范作用，作品《“艺心向党·与美同行”——让美育扎根大地，托举乡村孩子的梦想》荣获市直机关“先锋杯”工作创新大赛一等奖、网络人气奖。</w:t>
      </w:r>
      <w:r>
        <w:rPr>
          <w:rStyle w:val="8"/>
          <w:rFonts w:hint="eastAsia" w:ascii="Times New Roman" w:hAnsi="Times New Roman" w:cs="Times New Roman"/>
          <w:b/>
          <w:bCs w:val="0"/>
          <w:i w:val="0"/>
          <w:caps w:val="0"/>
          <w:color w:val="auto"/>
          <w:spacing w:val="0"/>
          <w:w w:val="100"/>
          <w:kern w:val="0"/>
          <w:sz w:val="32"/>
          <w:szCs w:val="32"/>
          <w:lang w:val="en-US" w:eastAsia="zh-CN" w:bidi="ar"/>
        </w:rPr>
        <w:t>二是</w:t>
      </w:r>
      <w:r>
        <w:rPr>
          <w:rStyle w:val="8"/>
          <w:rFonts w:hint="eastAsia" w:ascii="Times New Roman" w:hAnsi="Times New Roman" w:cs="Times New Roman"/>
          <w:b w:val="0"/>
          <w:bCs/>
          <w:i w:val="0"/>
          <w:caps w:val="0"/>
          <w:color w:val="auto"/>
          <w:spacing w:val="0"/>
          <w:w w:val="100"/>
          <w:kern w:val="0"/>
          <w:sz w:val="32"/>
          <w:szCs w:val="32"/>
          <w:lang w:val="en-US" w:eastAsia="zh-CN" w:bidi="ar"/>
        </w:rPr>
        <w:t>坚持立德树人，促进教育内涵发展。实施思政课培优工程，全市中小学校党组织书记（校长）共上“思政第一课”1000多场次。</w:t>
      </w:r>
      <w:r>
        <w:rPr>
          <w:rStyle w:val="8"/>
          <w:rFonts w:hint="eastAsia" w:ascii="Times New Roman" w:hAnsi="Times New Roman" w:cs="Times New Roman"/>
          <w:b/>
          <w:bCs w:val="0"/>
          <w:i w:val="0"/>
          <w:caps w:val="0"/>
          <w:color w:val="auto"/>
          <w:spacing w:val="0"/>
          <w:w w:val="100"/>
          <w:kern w:val="0"/>
          <w:sz w:val="32"/>
          <w:szCs w:val="32"/>
          <w:lang w:val="en-US" w:eastAsia="zh-CN" w:bidi="ar"/>
        </w:rPr>
        <w:t>三是</w:t>
      </w:r>
      <w:r>
        <w:rPr>
          <w:rStyle w:val="8"/>
          <w:rFonts w:hint="eastAsia" w:ascii="Times New Roman" w:hAnsi="Times New Roman" w:cs="Times New Roman"/>
          <w:b w:val="0"/>
          <w:bCs/>
          <w:i w:val="0"/>
          <w:caps w:val="0"/>
          <w:color w:val="auto"/>
          <w:spacing w:val="0"/>
          <w:w w:val="100"/>
          <w:kern w:val="0"/>
          <w:sz w:val="32"/>
          <w:szCs w:val="32"/>
          <w:lang w:val="en-US" w:eastAsia="zh-CN" w:bidi="ar"/>
        </w:rPr>
        <w:t>坚持攻坚克难，重点工作取得新突破。</w:t>
      </w:r>
      <w:r>
        <w:rPr>
          <w:rFonts w:hint="default" w:ascii="Times New Roman" w:hAnsi="Times New Roman" w:eastAsia="仿宋_GB2312" w:cs="Times New Roman"/>
          <w:color w:val="auto"/>
          <w:kern w:val="2"/>
          <w:sz w:val="32"/>
          <w:szCs w:val="32"/>
          <w:lang w:val="en-US" w:eastAsia="zh-CN" w:bidi="ar-SA"/>
        </w:rPr>
        <w:t>推进加快公办基础教育学位建设</w:t>
      </w:r>
      <w:r>
        <w:rPr>
          <w:rFonts w:hint="eastAsia" w:ascii="Times New Roman" w:hAnsi="Times New Roman" w:cs="Times New Roman"/>
          <w:color w:val="auto"/>
          <w:kern w:val="2"/>
          <w:sz w:val="32"/>
          <w:szCs w:val="32"/>
          <w:lang w:val="en-US" w:eastAsia="zh-CN" w:bidi="ar-SA"/>
        </w:rPr>
        <w:t>，2024年计划增加基础教育学位7260个，实际投入约3.1亿元，新建、改扩建中小学、幼儿园10所，新增公办学位12560个，完成率达173%；</w:t>
      </w:r>
      <w:r>
        <w:rPr>
          <w:rFonts w:hint="default" w:ascii="Times New Roman" w:hAnsi="Times New Roman" w:eastAsia="仿宋_GB2312" w:cs="Times New Roman"/>
          <w:color w:val="000000"/>
          <w:kern w:val="32"/>
          <w:sz w:val="32"/>
          <w:szCs w:val="32"/>
          <w:lang w:bidi="ar-SA"/>
        </w:rPr>
        <w:t>推动阳江市实验学校转制为公办学校，新增公办义务教育学位6000个，每年减少家长负担约7700万元，取得良好社会效果</w:t>
      </w:r>
      <w:r>
        <w:rPr>
          <w:rFonts w:hint="eastAsia" w:ascii="Times New Roman" w:hAnsi="Times New Roman" w:cs="Times New Roman"/>
          <w:color w:val="000000"/>
          <w:kern w:val="32"/>
          <w:sz w:val="32"/>
          <w:szCs w:val="32"/>
          <w:lang w:eastAsia="zh-CN" w:bidi="ar-SA"/>
        </w:rPr>
        <w:t>；</w:t>
      </w:r>
      <w:r>
        <w:rPr>
          <w:rFonts w:hint="default" w:ascii="Times New Roman" w:hAnsi="Times New Roman" w:eastAsia="仿宋_GB2312" w:cs="Times New Roman"/>
          <w:color w:val="000000"/>
          <w:kern w:val="32"/>
          <w:sz w:val="32"/>
          <w:szCs w:val="32"/>
          <w:lang w:bidi="ar-SA"/>
        </w:rPr>
        <w:t>建成阳江市新阳学校</w:t>
      </w:r>
      <w:r>
        <w:rPr>
          <w:rFonts w:hint="eastAsia" w:ascii="Times New Roman" w:hAnsi="Times New Roman" w:cs="Times New Roman"/>
          <w:color w:val="000000"/>
          <w:kern w:val="32"/>
          <w:sz w:val="32"/>
          <w:szCs w:val="32"/>
          <w:lang w:eastAsia="zh-CN" w:bidi="ar-SA"/>
        </w:rPr>
        <w:t>，填补了我市专门教育的空白，并建立起教育行政部门与公安部门“双牵头”办学模式的机制</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w:t>
      </w:r>
      <w:r>
        <w:rPr>
          <w:rStyle w:val="11"/>
          <w:rFonts w:hint="eastAsia" w:ascii="Times New Roman" w:hAnsi="Times New Roman" w:eastAsia="仿宋_GB2312" w:cs="Times New Roman"/>
          <w:b/>
          <w:bCs/>
          <w:i w:val="0"/>
          <w:caps w:val="0"/>
          <w:color w:val="auto"/>
          <w:spacing w:val="0"/>
          <w:w w:val="100"/>
          <w:kern w:val="21"/>
          <w:sz w:val="32"/>
          <w:szCs w:val="32"/>
          <w:lang w:val="en-US" w:eastAsia="zh-CN" w:bidi="ar-SA"/>
        </w:rPr>
        <w:t>四是</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坚持协调发展，扎实推进“百县千镇万村高质量发展工程”教育行动。</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扎实开展县中托管帮扶行动</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启动实施广东第二师范</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学院</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对口帮扶我市提升县中质量和珠海市组团式融入式托管帮扶阳西县第一中学工作，成立广东首个乡村教育集团，持续扩大优质基础教育资源，促进城乡区域教育协调发展</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扎实推进城乡教育共同体建设。全市城乡教育共同体数量增加至18个，覆盖学校97所，覆盖学生13.6万人，超额完成省定构建5个城乡教育共同体任务，优化农村教育资源撤并小规模学校134所；着力办好“三所学校”（镇中心幼儿园、镇中心小学、镇寄宿制学校），持续改善“三所学校”办学条件，全市100%义务教育学校达到国家“20条底线”要求，乡镇中心小学、寄宿制学校100%达到义务教育标准化学校标准，整体提高县域教育发展水平，缩小城乡教育差距。“双百行动”取得显著实效。阳春市与高校结对共建开展项目33个、阳西县与高校结对共建开展项目11个，两个县（市）项目数均超过省定目标（8个）。</w:t>
      </w:r>
      <w:r>
        <w:rPr>
          <w:rStyle w:val="11"/>
          <w:rFonts w:hint="eastAsia" w:ascii="Times New Roman" w:hAnsi="Times New Roman" w:eastAsia="仿宋_GB2312" w:cs="Times New Roman"/>
          <w:b/>
          <w:bCs/>
          <w:i w:val="0"/>
          <w:caps w:val="0"/>
          <w:color w:val="auto"/>
          <w:spacing w:val="0"/>
          <w:w w:val="100"/>
          <w:kern w:val="21"/>
          <w:sz w:val="32"/>
          <w:szCs w:val="32"/>
          <w:lang w:val="en-US" w:eastAsia="zh-CN" w:bidi="ar-SA"/>
        </w:rPr>
        <w:t>五是</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坚持教育公平，各级各类教育均衡发展。学前教育普惠健康发展，全市学前教育入园率102.5%，公办在园幼儿占比54.2%，普惠性幼儿园在园幼儿占比9</w:t>
      </w:r>
      <w:r>
        <w:rPr>
          <w:rStyle w:val="11"/>
          <w:rFonts w:hint="eastAsia" w:cs="Times New Roman"/>
          <w:b w:val="0"/>
          <w:i w:val="0"/>
          <w:caps w:val="0"/>
          <w:color w:val="auto"/>
          <w:spacing w:val="0"/>
          <w:w w:val="100"/>
          <w:kern w:val="21"/>
          <w:sz w:val="32"/>
          <w:szCs w:val="32"/>
          <w:lang w:val="en-US" w:eastAsia="zh-CN" w:bidi="ar-SA"/>
        </w:rPr>
        <w:t>1.4</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w:t>
      </w:r>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义务教育优质均衡发展，各县（市、区）100%通过国家义务教育发展基本均衡县国家级评估，公办义务教育标准化学校覆盖率达100%。普通高中多样化发展，加快推进特色课程群建设，落实新高考改革，共构建了音乐、美术、体育等类别特色课程群23个。特殊教育公平融合发展，建立了市级、江城区、阳东区、阳春市和阳西县特殊教育资源中心，坚持“零拒绝、全覆盖”原则，妥善安置适龄残疾儿童入学，适龄残疾儿童少年义务教育入学率100%。职业教育融通发展，全市6所中等职业学校现有5所办学条件已达标，达标率达83.33%</w:t>
      </w:r>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eastAsia" w:ascii="Times New Roman" w:hAnsi="Times New Roman" w:eastAsia="仿宋_GB2312" w:cs="Times New Roman"/>
          <w:b/>
          <w:bCs/>
          <w:i w:val="0"/>
          <w:caps w:val="0"/>
          <w:color w:val="auto"/>
          <w:spacing w:val="0"/>
          <w:w w:val="100"/>
          <w:kern w:val="21"/>
          <w:sz w:val="32"/>
          <w:szCs w:val="32"/>
          <w:lang w:val="en-US" w:eastAsia="zh-CN" w:bidi="ar-SA"/>
        </w:rPr>
        <w:t>六是</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坚持守正创新，教育综合改革扎实推进。“双减”工作扎实推进</w:t>
      </w:r>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全市义务教育各级各类学校实现课后服务两个“全覆盖”，即义务教育学校全覆盖、有需求的学生全覆盖。转型、注销学科类校外培训机构121所，压减率100%，全市校外培训机构纳入国家监管平台全流程监管比例100%</w:t>
      </w:r>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加快创建“广东省基础教育高质量发展实验区”，加快推动“双创”工作落实落地</w:t>
      </w:r>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积极推进考试综合改革工作</w:t>
      </w:r>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出台《阳江市初中学业水平考试英语听说考试方案（试行）》，积极推进中考英语听说考试改革工作。</w:t>
      </w:r>
      <w:r>
        <w:rPr>
          <w:rStyle w:val="11"/>
          <w:rFonts w:hint="eastAsia" w:ascii="Times New Roman" w:hAnsi="Times New Roman" w:eastAsia="仿宋_GB2312" w:cs="Times New Roman"/>
          <w:b/>
          <w:bCs/>
          <w:i w:val="0"/>
          <w:caps w:val="0"/>
          <w:color w:val="auto"/>
          <w:spacing w:val="0"/>
          <w:w w:val="100"/>
          <w:kern w:val="21"/>
          <w:sz w:val="32"/>
          <w:szCs w:val="32"/>
          <w:lang w:val="en-US" w:eastAsia="zh-CN" w:bidi="ar-SA"/>
        </w:rPr>
        <w:t>七是</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坚持教师为本，教师队伍素质不断提升。建成阳江市教师发展中心，为全市教师培训提供了场所</w:t>
      </w:r>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深入实施“新强师工程”和“名师工程”，全面深化我市教师队伍建设，以名师工作室为抓手，加大本土教育人才培养力度</w:t>
      </w:r>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Fonts w:hint="default" w:ascii="Times New Roman" w:hAnsi="Times New Roman" w:eastAsia="仿宋_GB2312" w:cs="Times New Roman"/>
          <w:color w:val="auto"/>
          <w:sz w:val="32"/>
          <w:lang w:val="en-US" w:eastAsia="zh-CN"/>
        </w:rPr>
        <w:t>分层分</w:t>
      </w:r>
      <w:r>
        <w:rPr>
          <w:rFonts w:hint="default" w:ascii="Times New Roman" w:hAnsi="Times New Roman" w:eastAsia="仿宋_GB2312" w:cs="Times New Roman"/>
          <w:color w:val="auto"/>
          <w:sz w:val="32"/>
          <w:u w:val="none"/>
          <w:lang w:val="en-US" w:eastAsia="zh-CN"/>
        </w:rPr>
        <w:t>级开展教师培训</w:t>
      </w:r>
      <w:r>
        <w:rPr>
          <w:rFonts w:hint="eastAsia" w:ascii="Times New Roman" w:hAnsi="Times New Roman" w:cs="Times New Roman"/>
          <w:color w:val="auto"/>
          <w:sz w:val="32"/>
          <w:u w:val="none"/>
          <w:lang w:val="en-US" w:eastAsia="zh-CN"/>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选派495名教师参加国家级和省级培训项目</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开展17个市级骨干教师培训项目，累计培训教师9600人次；加强教研引领</w:t>
      </w:r>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5个省级教研基地通过遴选，2个省级重大项目教育科研课题立项，为粤东西北立项数量最多的地级市。</w:t>
      </w:r>
      <w:r>
        <w:rPr>
          <w:rStyle w:val="11"/>
          <w:rFonts w:hint="eastAsia" w:ascii="Times New Roman" w:hAnsi="Times New Roman" w:eastAsia="仿宋_GB2312" w:cs="Times New Roman"/>
          <w:b/>
          <w:bCs/>
          <w:i w:val="0"/>
          <w:caps w:val="0"/>
          <w:color w:val="auto"/>
          <w:spacing w:val="0"/>
          <w:w w:val="100"/>
          <w:kern w:val="21"/>
          <w:sz w:val="32"/>
          <w:szCs w:val="32"/>
          <w:lang w:val="en-US" w:eastAsia="zh-CN" w:bidi="ar-SA"/>
        </w:rPr>
        <w:t>八是</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开展更高水平平安校园建设。全市已创建省安全防范疏散演练达标学校（幼儿园）750所（其中，示范单位24所，达标单位726所），达标率75.38%</w:t>
      </w:r>
      <w:bookmarkStart w:id="8" w:name="OLE_LINK3"/>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全市已成功创建县级更高水平平安校园227所，市级更高水平安全文明校园84所，省级更高水平安全文明校园37所</w:t>
      </w:r>
      <w:bookmarkEnd w:id="8"/>
      <w:r>
        <w:rPr>
          <w:rStyle w:val="11"/>
          <w:rFonts w:hint="eastAsia" w:ascii="Times New Roman" w:hAnsi="Times New Roman" w:cs="Times New Roman"/>
          <w:b w:val="0"/>
          <w:i w:val="0"/>
          <w:caps w:val="0"/>
          <w:color w:val="auto"/>
          <w:spacing w:val="0"/>
          <w:w w:val="100"/>
          <w:kern w:val="21"/>
          <w:sz w:val="32"/>
          <w:szCs w:val="32"/>
          <w:lang w:val="en-US" w:eastAsia="zh-CN" w:bidi="ar-SA"/>
        </w:rPr>
        <w:t>；</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全市已组建校园最小应急单元2347个，并定期开展培训演练活动。</w:t>
      </w:r>
    </w:p>
    <w:p w14:paraId="507794D1">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ascii="楷体_GB2312" w:eastAsia="楷体_GB2312"/>
          <w:b/>
          <w:bCs/>
          <w:szCs w:val="32"/>
        </w:rPr>
      </w:pPr>
      <w:bookmarkStart w:id="9" w:name="_Toc28424_WPSOffice_Level2"/>
      <w:bookmarkStart w:id="10" w:name="_Toc8086"/>
      <w:r>
        <w:rPr>
          <w:rFonts w:hint="eastAsia" w:ascii="楷体_GB2312" w:eastAsia="楷体_GB2312"/>
          <w:b/>
          <w:bCs/>
          <w:szCs w:val="32"/>
        </w:rPr>
        <w:t>（三）</w:t>
      </w:r>
      <w:bookmarkEnd w:id="9"/>
      <w:bookmarkEnd w:id="10"/>
      <w:r>
        <w:rPr>
          <w:rFonts w:hint="eastAsia" w:ascii="楷体_GB2312" w:eastAsia="楷体_GB2312"/>
          <w:b/>
          <w:bCs/>
          <w:szCs w:val="32"/>
        </w:rPr>
        <w:t>部门整体支出情况</w:t>
      </w:r>
    </w:p>
    <w:p w14:paraId="0F093D0F">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pP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2024年部门（本级）年度预算批复</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4343.7</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万元，财政拨款年初结余结转</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1229.13</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万元。财政拨款收入</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46912.02</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万元，其中：人员经费2304.4万元，公用经费143.01万元，项目支出经费</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44464.61</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万元。2024年预算调整42568.32万元。</w:t>
      </w:r>
    </w:p>
    <w:p w14:paraId="0EB5407E">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lang w:val="en-US" w:eastAsia="zh-CN"/>
        </w:rPr>
      </w:pP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2024年度财政拨款支出</w:t>
      </w:r>
      <w:r>
        <w:rPr>
          <w:rStyle w:val="11"/>
          <w:rFonts w:hint="default" w:ascii="Times New Roman" w:hAnsi="Times New Roman" w:eastAsia="仿宋_GB2312" w:cs="Times New Roman"/>
          <w:b w:val="0"/>
          <w:i w:val="0"/>
          <w:caps w:val="0"/>
          <w:color w:val="auto"/>
          <w:spacing w:val="0"/>
          <w:w w:val="100"/>
          <w:kern w:val="21"/>
          <w:sz w:val="32"/>
          <w:szCs w:val="32"/>
          <w:lang w:val="en-US" w:eastAsia="zh-CN" w:bidi="ar-SA"/>
        </w:rPr>
        <w:t>43647.64</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万元，比上年</w:t>
      </w:r>
      <w:r>
        <w:rPr>
          <w:rStyle w:val="11"/>
          <w:rFonts w:hint="eastAsia" w:cs="Times New Roman"/>
          <w:b w:val="0"/>
          <w:i w:val="0"/>
          <w:caps w:val="0"/>
          <w:color w:val="auto"/>
          <w:spacing w:val="0"/>
          <w:w w:val="100"/>
          <w:kern w:val="21"/>
          <w:sz w:val="32"/>
          <w:szCs w:val="32"/>
          <w:lang w:val="en-US" w:eastAsia="zh-CN" w:bidi="ar-SA"/>
        </w:rPr>
        <w:t>43157.39</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万元增加</w:t>
      </w:r>
      <w:r>
        <w:rPr>
          <w:rStyle w:val="11"/>
          <w:rFonts w:hint="eastAsia" w:cs="Times New Roman"/>
          <w:b w:val="0"/>
          <w:i w:val="0"/>
          <w:caps w:val="0"/>
          <w:color w:val="auto"/>
          <w:spacing w:val="0"/>
          <w:w w:val="100"/>
          <w:kern w:val="21"/>
          <w:sz w:val="32"/>
          <w:szCs w:val="32"/>
          <w:lang w:val="en-US" w:eastAsia="zh-CN" w:bidi="ar-SA"/>
        </w:rPr>
        <w:t>490.25</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万元，增长</w:t>
      </w:r>
      <w:r>
        <w:rPr>
          <w:rStyle w:val="11"/>
          <w:rFonts w:hint="eastAsia" w:cs="Times New Roman"/>
          <w:b w:val="0"/>
          <w:i w:val="0"/>
          <w:caps w:val="0"/>
          <w:color w:val="auto"/>
          <w:spacing w:val="0"/>
          <w:w w:val="100"/>
          <w:kern w:val="21"/>
          <w:sz w:val="32"/>
          <w:szCs w:val="32"/>
          <w:lang w:val="en-US" w:eastAsia="zh-CN" w:bidi="ar-SA"/>
        </w:rPr>
        <w:t>1.12</w:t>
      </w:r>
      <w:r>
        <w:rPr>
          <w:rStyle w:val="11"/>
          <w:rFonts w:hint="eastAsia" w:ascii="Times New Roman" w:hAnsi="Times New Roman" w:eastAsia="仿宋_GB2312" w:cs="Times New Roman"/>
          <w:b w:val="0"/>
          <w:i w:val="0"/>
          <w:caps w:val="0"/>
          <w:color w:val="auto"/>
          <w:spacing w:val="0"/>
          <w:w w:val="100"/>
          <w:kern w:val="21"/>
          <w:sz w:val="32"/>
          <w:szCs w:val="32"/>
          <w:lang w:val="en-US" w:eastAsia="zh-CN" w:bidi="ar-SA"/>
        </w:rPr>
        <w:t>%。主要变动原因是本年市财政局拨我局阳江市教育印务公司等三单位改制部分资金。其中三公经费预算安排19万元，实际支出4.88万元，实际支出低于预算安排。</w:t>
      </w:r>
    </w:p>
    <w:p w14:paraId="78475DD7">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ascii="楷体_GB2312" w:eastAsia="楷体_GB2312"/>
          <w:b/>
          <w:bCs/>
          <w:szCs w:val="32"/>
        </w:rPr>
      </w:pPr>
      <w:r>
        <w:rPr>
          <w:rFonts w:hint="eastAsia" w:ascii="楷体_GB2312" w:eastAsia="楷体_GB2312"/>
          <w:b/>
          <w:bCs/>
          <w:szCs w:val="32"/>
        </w:rPr>
        <w:t>（四）部门整体支出绩效目标</w:t>
      </w:r>
    </w:p>
    <w:p w14:paraId="0F069BBA">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default" w:ascii="仿宋_GB2312" w:hAnsi="华文仿宋" w:cs="仿宋_GB2312"/>
          <w:szCs w:val="32"/>
          <w:lang w:val="en-US" w:eastAsia="zh-CN"/>
        </w:rPr>
      </w:pPr>
      <w:r>
        <w:rPr>
          <w:rFonts w:hint="eastAsia" w:ascii="仿宋_GB2312" w:hAnsi="华文仿宋" w:cs="仿宋_GB2312"/>
          <w:szCs w:val="32"/>
        </w:rPr>
        <w:t>围绕部门职能和重点工作任务，结合预算资金安排</w:t>
      </w:r>
      <w:r>
        <w:rPr>
          <w:rFonts w:hint="eastAsia" w:ascii="仿宋_GB2312" w:hAnsi="华文仿宋" w:cs="仿宋_GB2312"/>
          <w:szCs w:val="32"/>
          <w:lang w:eastAsia="zh-CN"/>
        </w:rPr>
        <w:t>和市委、市政府下达工作任务安排</w:t>
      </w:r>
      <w:r>
        <w:rPr>
          <w:rFonts w:hint="eastAsia" w:ascii="仿宋_GB2312" w:hAnsi="华文仿宋" w:cs="仿宋_GB2312"/>
          <w:szCs w:val="32"/>
        </w:rPr>
        <w:t>，202</w:t>
      </w:r>
      <w:r>
        <w:rPr>
          <w:rFonts w:hint="eastAsia" w:ascii="仿宋_GB2312" w:hAnsi="华文仿宋" w:cs="仿宋_GB2312"/>
          <w:szCs w:val="32"/>
          <w:lang w:val="en-US" w:eastAsia="zh-CN"/>
        </w:rPr>
        <w:t>4</w:t>
      </w:r>
      <w:r>
        <w:rPr>
          <w:rFonts w:hint="eastAsia" w:ascii="仿宋_GB2312" w:hAnsi="华文仿宋" w:cs="仿宋_GB2312"/>
          <w:szCs w:val="32"/>
        </w:rPr>
        <w:t>年主要落实如下绩效目标：1.持续深入推进全市中小学校党组织领导的校长负责制改革，确保2024年年底前全面完成改革工作。</w:t>
      </w:r>
      <w:r>
        <w:rPr>
          <w:rFonts w:hint="eastAsia" w:ascii="仿宋_GB2312" w:hAnsi="华文仿宋" w:cs="仿宋_GB2312"/>
          <w:szCs w:val="32"/>
          <w:lang w:val="en-US" w:eastAsia="zh-CN"/>
        </w:rPr>
        <w:t>2.</w:t>
      </w:r>
      <w:r>
        <w:rPr>
          <w:rFonts w:hint="eastAsia" w:ascii="仿宋_GB2312" w:hAnsi="华文仿宋" w:cs="仿宋_GB2312"/>
          <w:szCs w:val="32"/>
        </w:rPr>
        <w:t>加快教育事业发展，布局调整教育资源，改善学校办学条件，</w:t>
      </w:r>
      <w:r>
        <w:rPr>
          <w:rFonts w:hint="eastAsia" w:ascii="仿宋_GB2312" w:hAnsi="华文仿宋" w:cs="仿宋_GB2312"/>
          <w:szCs w:val="32"/>
          <w:lang w:eastAsia="zh-CN"/>
        </w:rPr>
        <w:t>实现义务教育标准化学校覆盖率</w:t>
      </w:r>
      <w:r>
        <w:rPr>
          <w:rFonts w:hint="eastAsia" w:ascii="仿宋_GB2312" w:hAnsi="华文仿宋" w:cs="仿宋_GB2312"/>
          <w:szCs w:val="32"/>
          <w:lang w:val="en-US" w:eastAsia="zh-CN"/>
        </w:rPr>
        <w:t>≧99%、公办在园幼儿与普惠性幼儿园在园幼儿占比“5080”、适龄残疾儿童少年义务教育入学率≧95%、普通高中多样化发展、中等职业学校办学条件达标率≧80%的目标。</w:t>
      </w:r>
      <w:r>
        <w:rPr>
          <w:rFonts w:hint="eastAsia" w:ascii="仿宋_GB2312" w:hAnsi="华文仿宋" w:cs="仿宋_GB2312"/>
          <w:szCs w:val="32"/>
        </w:rPr>
        <w:t>3.完成2024年市十件民生实事项目年度建设目标</w:t>
      </w:r>
      <w:r>
        <w:rPr>
          <w:rFonts w:hint="eastAsia" w:ascii="仿宋_GB2312" w:hAnsi="华文仿宋" w:cs="仿宋_GB2312"/>
          <w:szCs w:val="32"/>
          <w:lang w:eastAsia="zh-CN"/>
        </w:rPr>
        <w:t>和2024年市《政府工作报告》重点任务，</w:t>
      </w:r>
      <w:r>
        <w:rPr>
          <w:rFonts w:hint="eastAsia" w:ascii="仿宋_GB2312" w:hAnsi="华文仿宋" w:cs="仿宋_GB2312"/>
          <w:szCs w:val="32"/>
        </w:rPr>
        <w:t>加快推进公办基础教育学位建设</w:t>
      </w:r>
      <w:r>
        <w:rPr>
          <w:rFonts w:hint="eastAsia" w:ascii="仿宋_GB2312" w:hAnsi="华文仿宋" w:cs="仿宋_GB2312"/>
          <w:szCs w:val="32"/>
          <w:lang w:eastAsia="zh-CN"/>
        </w:rPr>
        <w:t>，完成</w:t>
      </w:r>
      <w:r>
        <w:rPr>
          <w:rFonts w:hint="eastAsia" w:ascii="仿宋_GB2312" w:hAnsi="华文仿宋" w:cs="仿宋_GB2312"/>
          <w:szCs w:val="32"/>
        </w:rPr>
        <w:t>2024年计划增加基础教育学位7260个</w:t>
      </w:r>
      <w:r>
        <w:rPr>
          <w:rFonts w:hint="eastAsia" w:ascii="仿宋_GB2312" w:hAnsi="华文仿宋" w:cs="仿宋_GB2312"/>
          <w:szCs w:val="32"/>
          <w:lang w:eastAsia="zh-CN"/>
        </w:rPr>
        <w:t>的目标。</w:t>
      </w:r>
      <w:r>
        <w:rPr>
          <w:rFonts w:hint="eastAsia" w:ascii="仿宋_GB2312" w:hAnsi="华文仿宋" w:cs="仿宋_GB2312"/>
          <w:szCs w:val="32"/>
        </w:rPr>
        <w:t>4.推进“百县千镇万村高质量发展工程”教育行动</w:t>
      </w:r>
      <w:r>
        <w:rPr>
          <w:rFonts w:hint="eastAsia" w:ascii="仿宋_GB2312" w:hAnsi="华文仿宋" w:cs="仿宋_GB2312"/>
          <w:szCs w:val="32"/>
          <w:lang w:eastAsia="zh-CN"/>
        </w:rPr>
        <w:t>，通过开展县中托管帮扶行动、推进城乡教育共同体建设、着力办好“三所学校”、开展“双百行动”，推进阳江教育高质量发展</w:t>
      </w:r>
      <w:r>
        <w:rPr>
          <w:rFonts w:hint="eastAsia" w:ascii="仿宋_GB2312" w:hAnsi="华文仿宋" w:cs="仿宋_GB2312"/>
          <w:szCs w:val="32"/>
        </w:rPr>
        <w:t>。5.促进教学、科研的改革发展，提高学</w:t>
      </w:r>
      <w:r>
        <w:rPr>
          <w:rFonts w:hint="eastAsia" w:ascii="仿宋_GB2312" w:hAnsi="华文仿宋" w:cs="仿宋_GB2312"/>
          <w:szCs w:val="32"/>
          <w:lang w:eastAsia="zh-CN"/>
        </w:rPr>
        <w:t>科教师教学水平，以及教师队伍的建设，进而带动和促进学校教育质量、科研水平及整体实力的提高。6.开实施“新强师工程”，分层分级分类组织开展中小学教师研修培训，建设一支师德高尚、结构合理、业务精湛、充满活力的高素质教育队伍，计划培训人次</w:t>
      </w:r>
      <w:r>
        <w:rPr>
          <w:rFonts w:hint="eastAsia" w:ascii="仿宋_GB2312" w:hAnsi="华文仿宋" w:cs="仿宋_GB2312"/>
          <w:szCs w:val="32"/>
          <w:lang w:val="en-US" w:eastAsia="zh-CN"/>
        </w:rPr>
        <w:t>≧4000人。7.做好全年15大类21场次考试工作，确保全市考试安全、规范、有序，提高实行信息化管理水平和服务。8.开</w:t>
      </w:r>
      <w:r>
        <w:rPr>
          <w:rFonts w:hint="default" w:ascii="仿宋_GB2312" w:hAnsi="华文仿宋" w:cs="仿宋_GB2312"/>
          <w:szCs w:val="32"/>
          <w:lang w:val="en-US" w:eastAsia="zh-CN"/>
        </w:rPr>
        <w:t>展更高水平平安校园建设</w:t>
      </w:r>
      <w:r>
        <w:rPr>
          <w:rFonts w:hint="eastAsia" w:ascii="仿宋_GB2312" w:hAnsi="华文仿宋" w:cs="仿宋_GB2312"/>
          <w:szCs w:val="32"/>
          <w:lang w:val="en-US" w:eastAsia="zh-CN"/>
        </w:rPr>
        <w:t>，坚持安全底线，重大安全事故零发生。9.做好维稳工作，做好推进阳江市实验学校转制办成公办学校、</w:t>
      </w:r>
      <w:r>
        <w:rPr>
          <w:rFonts w:hint="default" w:ascii="仿宋_GB2312" w:hAnsi="华文仿宋" w:cs="仿宋_GB2312"/>
          <w:szCs w:val="32"/>
          <w:lang w:eastAsia="zh-CN"/>
        </w:rPr>
        <w:t>阳江市教育印务公司等三个单位改制</w:t>
      </w:r>
      <w:r>
        <w:rPr>
          <w:rFonts w:hint="eastAsia" w:ascii="仿宋_GB2312" w:hAnsi="华文仿宋" w:cs="仿宋_GB2312"/>
          <w:szCs w:val="32"/>
          <w:lang w:eastAsia="zh-CN"/>
        </w:rPr>
        <w:t>的维稳工作，确保系统安全稳定。</w:t>
      </w:r>
    </w:p>
    <w:p w14:paraId="766A0896">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ascii="方正小标宋简体" w:eastAsia="方正小标宋简体"/>
          <w:lang w:eastAsia="zh-CN"/>
        </w:rPr>
      </w:pPr>
      <w:bookmarkStart w:id="11" w:name="_Toc4514_WPSOffice_Level1"/>
      <w:bookmarkStart w:id="12" w:name="_Toc22180"/>
      <w:r>
        <w:rPr>
          <w:rFonts w:hint="eastAsia" w:ascii="方正小标宋简体" w:eastAsia="方正小标宋简体"/>
          <w:lang w:eastAsia="zh-CN"/>
        </w:rPr>
        <w:t>二、上一年度绩效评价整改情况</w:t>
      </w:r>
    </w:p>
    <w:p w14:paraId="401EC4EF">
      <w:pPr>
        <w:keepNext w:val="0"/>
        <w:keepLines w:val="0"/>
        <w:pageBreakBefore w:val="0"/>
        <w:widowControl w:val="0"/>
        <w:kinsoku/>
        <w:wordWrap/>
        <w:overflowPunct/>
        <w:topLinePunct w:val="0"/>
        <w:autoSpaceDE/>
        <w:autoSpaceDN/>
        <w:bidi w:val="0"/>
        <w:adjustRightInd/>
        <w:snapToGrid w:val="0"/>
        <w:spacing w:line="540" w:lineRule="exact"/>
        <w:ind w:firstLine="616" w:firstLineChars="200"/>
        <w:textAlignment w:val="auto"/>
        <w:outlineLvl w:val="9"/>
        <w:rPr>
          <w:rFonts w:hint="eastAsia" w:ascii="仿宋_GB2312" w:hAnsi="华文仿宋" w:cs="仿宋_GB2312"/>
          <w:szCs w:val="32"/>
        </w:rPr>
      </w:pPr>
      <w:r>
        <w:rPr>
          <w:rFonts w:hint="eastAsia" w:ascii="仿宋_GB2312" w:hAnsi="华文仿宋" w:cs="仿宋_GB2312"/>
          <w:szCs w:val="32"/>
          <w:lang w:eastAsia="zh-CN"/>
        </w:rPr>
        <w:t>依据上一年度重点绩效评价或绩效自评复核结果、存在的问题进行整改的情况</w:t>
      </w:r>
      <w:r>
        <w:rPr>
          <w:rFonts w:hint="eastAsia" w:ascii="仿宋_GB2312" w:hAnsi="华文仿宋" w:cs="仿宋_GB2312"/>
          <w:szCs w:val="32"/>
        </w:rPr>
        <w:t>。</w:t>
      </w:r>
    </w:p>
    <w:p w14:paraId="1158C0D2">
      <w:pPr>
        <w:keepNext w:val="0"/>
        <w:keepLines w:val="0"/>
        <w:pageBreakBefore w:val="0"/>
        <w:widowControl w:val="0"/>
        <w:kinsoku/>
        <w:wordWrap/>
        <w:overflowPunct/>
        <w:topLinePunct w:val="0"/>
        <w:autoSpaceDE/>
        <w:autoSpaceDN/>
        <w:bidi w:val="0"/>
        <w:adjustRightInd/>
        <w:snapToGrid w:val="0"/>
        <w:spacing w:line="540" w:lineRule="exact"/>
        <w:ind w:firstLine="616" w:firstLineChars="200"/>
        <w:textAlignment w:val="auto"/>
        <w:outlineLvl w:val="9"/>
        <w:rPr>
          <w:rFonts w:hint="eastAsia" w:ascii="仿宋_GB2312" w:hAnsi="华文仿宋" w:cs="仿宋_GB2312"/>
          <w:szCs w:val="32"/>
          <w:lang w:val="en-US" w:eastAsia="zh-CN"/>
        </w:rPr>
      </w:pPr>
      <w:r>
        <w:rPr>
          <w:rFonts w:hint="eastAsia" w:ascii="仿宋_GB2312" w:hAnsi="华文仿宋" w:cs="仿宋_GB2312"/>
          <w:szCs w:val="32"/>
          <w:lang w:eastAsia="zh-CN"/>
        </w:rPr>
        <w:t>针对《</w:t>
      </w:r>
      <w:r>
        <w:rPr>
          <w:rFonts w:hint="eastAsia" w:ascii="仿宋_GB2312" w:hAnsi="华文仿宋" w:cs="仿宋_GB2312"/>
          <w:szCs w:val="32"/>
          <w:lang w:val="en-US" w:eastAsia="zh-CN"/>
        </w:rPr>
        <w:t>2023年阳江市教育局部门整体支出绩效评价报告》中指出问题，本单位认真分析原因并制定整改措施完成整改，具体整改如下：</w:t>
      </w:r>
    </w:p>
    <w:p w14:paraId="5A476DA8">
      <w:pPr>
        <w:keepNext w:val="0"/>
        <w:keepLines w:val="0"/>
        <w:pageBreakBefore w:val="0"/>
        <w:widowControl w:val="0"/>
        <w:numPr>
          <w:ilvl w:val="0"/>
          <w:numId w:val="1"/>
        </w:numPr>
        <w:kinsoku/>
        <w:wordWrap/>
        <w:overflowPunct/>
        <w:topLinePunct w:val="0"/>
        <w:autoSpaceDE/>
        <w:autoSpaceDN/>
        <w:bidi w:val="0"/>
        <w:adjustRightInd/>
        <w:snapToGrid w:val="0"/>
        <w:spacing w:line="540" w:lineRule="exact"/>
        <w:ind w:firstLine="616" w:firstLineChars="200"/>
        <w:textAlignment w:val="auto"/>
        <w:outlineLvl w:val="9"/>
        <w:rPr>
          <w:rFonts w:hint="eastAsia" w:ascii="楷体_GB2312" w:eastAsia="楷体_GB2312"/>
          <w:b/>
          <w:bCs/>
          <w:szCs w:val="32"/>
          <w:lang w:eastAsia="zh-CN"/>
        </w:rPr>
      </w:pPr>
      <w:r>
        <w:rPr>
          <w:rFonts w:hint="eastAsia" w:ascii="楷体_GB2312" w:eastAsia="楷体_GB2312"/>
          <w:b/>
          <w:bCs/>
          <w:szCs w:val="32"/>
        </w:rPr>
        <w:t>部</w:t>
      </w:r>
      <w:r>
        <w:rPr>
          <w:rFonts w:hint="eastAsia" w:ascii="楷体_GB2312" w:eastAsia="楷体_GB2312"/>
          <w:b/>
          <w:bCs/>
          <w:szCs w:val="32"/>
          <w:lang w:eastAsia="zh-CN"/>
        </w:rPr>
        <w:t>分工作实施效果欠佳，需进一步落实</w:t>
      </w:r>
    </w:p>
    <w:p w14:paraId="5FBF8E9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16" w:firstLineChars="200"/>
        <w:textAlignment w:val="auto"/>
        <w:outlineLvl w:val="9"/>
        <w:rPr>
          <w:rFonts w:hint="eastAsia" w:ascii="楷体_GB2312" w:eastAsia="仿宋_GB2312"/>
          <w:b/>
          <w:bCs/>
          <w:szCs w:val="32"/>
          <w:lang w:val="en-US" w:eastAsia="zh-CN"/>
        </w:rPr>
      </w:pPr>
      <w:r>
        <w:rPr>
          <w:rFonts w:hint="eastAsia" w:ascii="仿宋_GB2312" w:hAnsi="华文仿宋" w:cs="仿宋_GB2312"/>
          <w:szCs w:val="32"/>
          <w:lang w:eastAsia="zh-CN"/>
        </w:rPr>
        <w:t>一是师资队伍建设工作有待提升，双师型和高中专任教师硕士研究生比例偏低及下降。原因主要是近年来相关学校根据学校教学实际招录重点高校本科毕业生占多数（重点高校硕士研究生选择阳江地区工作的较少），从而导致比例下降。鉴于此，我市持续投入学历提升专项资金，旨在开展在职教师学历提升计划，同时积极开展招才引智，引进高学历教师充实教师队伍，从而提高研究生学历比例。对于双师型教师，开展教师技能培训，鼓励教师考取技能证书，提高双师型教师比例。二是“双减”工作需进一步落实，针对作业布置及课后服务形式单一问题，</w:t>
      </w:r>
      <w:r>
        <w:rPr>
          <w:rFonts w:hint="eastAsia" w:ascii="Times New Roman" w:hAnsi="Times New Roman" w:eastAsia="仿宋_GB2312" w:cs="仿宋_GB2312"/>
          <w:sz w:val="32"/>
          <w:szCs w:val="32"/>
          <w:lang w:val="en-US" w:eastAsia="zh-CN"/>
        </w:rPr>
        <w:t>各级</w:t>
      </w:r>
      <w:r>
        <w:rPr>
          <w:rFonts w:hint="default" w:ascii="Times New Roman" w:hAnsi="Times New Roman" w:eastAsia="仿宋_GB2312" w:cs="仿宋_GB2312"/>
          <w:sz w:val="32"/>
          <w:szCs w:val="32"/>
        </w:rPr>
        <w:t>教育行政部门指导学校完善作业管理细则，明确具体工作要求，学校切实履行作业管理主体责任，建立以校长为第一责任人的工作机制，加强作业全过程管理，</w:t>
      </w:r>
      <w:r>
        <w:rPr>
          <w:rFonts w:hint="eastAsia" w:ascii="Times New Roman" w:hAnsi="Times New Roman" w:eastAsia="仿宋_GB2312" w:cs="仿宋_GB2312"/>
          <w:sz w:val="32"/>
          <w:szCs w:val="32"/>
          <w:lang w:val="en-US" w:eastAsia="zh-CN"/>
        </w:rPr>
        <w:t>落实</w:t>
      </w:r>
      <w:r>
        <w:rPr>
          <w:rFonts w:hint="default" w:ascii="Times New Roman" w:hAnsi="Times New Roman" w:eastAsia="仿宋_GB2312" w:cs="仿宋_GB2312"/>
          <w:sz w:val="32"/>
          <w:szCs w:val="32"/>
        </w:rPr>
        <w:t>作业校内公示制度</w:t>
      </w:r>
      <w:r>
        <w:rPr>
          <w:rFonts w:hint="eastAsia"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做到“一县一策”、“一校一案”</w:t>
      </w:r>
      <w:r>
        <w:rPr>
          <w:rFonts w:hint="eastAsia" w:ascii="Times New Roman" w:hAnsi="Times New Roman" w:eastAsia="仿宋_GB2312" w:cs="仿宋_GB2312"/>
          <w:sz w:val="32"/>
          <w:szCs w:val="32"/>
          <w:lang w:eastAsia="zh-CN"/>
        </w:rPr>
        <w:t>。</w:t>
      </w:r>
      <w:r>
        <w:rPr>
          <w:rFonts w:hint="eastAsia" w:ascii="Times New Roman" w:hAnsi="Times New Roman" w:eastAsia="仿宋_GB2312" w:cs="黑体"/>
          <w:color w:val="auto"/>
          <w:kern w:val="0"/>
          <w:sz w:val="32"/>
          <w:szCs w:val="32"/>
          <w:lang w:eastAsia="zh-CN"/>
        </w:rPr>
        <w:t>把开展</w:t>
      </w:r>
      <w:r>
        <w:rPr>
          <w:rFonts w:hint="eastAsia" w:ascii="Times New Roman" w:hAnsi="Times New Roman" w:eastAsia="仿宋_GB2312" w:cs="黑体"/>
          <w:color w:val="auto"/>
          <w:kern w:val="0"/>
          <w:sz w:val="32"/>
          <w:szCs w:val="32"/>
        </w:rPr>
        <w:t>课后服务作为解决家长“急难愁盼”问题的一项重要民生工程来抓</w:t>
      </w:r>
      <w:r>
        <w:rPr>
          <w:rFonts w:hint="eastAsia" w:ascii="Times New Roman" w:hAnsi="Times New Roman" w:cs="黑体"/>
          <w:color w:val="auto"/>
          <w:kern w:val="0"/>
          <w:sz w:val="32"/>
          <w:szCs w:val="32"/>
          <w:lang w:eastAsia="zh-CN"/>
        </w:rPr>
        <w:t>，</w:t>
      </w:r>
      <w:r>
        <w:rPr>
          <w:rFonts w:hint="eastAsia" w:ascii="Times New Roman" w:hAnsi="Times New Roman" w:eastAsia="仿宋_GB2312" w:cs="黑体"/>
          <w:color w:val="auto"/>
          <w:kern w:val="0"/>
          <w:sz w:val="32"/>
          <w:szCs w:val="32"/>
        </w:rPr>
        <w:t>实现</w:t>
      </w:r>
      <w:r>
        <w:rPr>
          <w:rFonts w:hint="eastAsia" w:ascii="Times New Roman" w:hAnsi="Times New Roman" w:cs="黑体"/>
          <w:color w:val="auto"/>
          <w:kern w:val="0"/>
          <w:sz w:val="32"/>
          <w:szCs w:val="32"/>
          <w:lang w:eastAsia="zh-CN"/>
        </w:rPr>
        <w:t>了</w:t>
      </w:r>
      <w:r>
        <w:rPr>
          <w:rFonts w:hint="eastAsia" w:ascii="Times New Roman" w:hAnsi="Times New Roman" w:eastAsia="仿宋_GB2312" w:cs="黑体"/>
          <w:color w:val="auto"/>
          <w:kern w:val="0"/>
          <w:sz w:val="32"/>
          <w:szCs w:val="32"/>
        </w:rPr>
        <w:t>课后服务两个</w:t>
      </w:r>
      <w:r>
        <w:rPr>
          <w:rFonts w:hint="eastAsia" w:ascii="Times New Roman" w:hAnsi="Times New Roman" w:eastAsia="仿宋_GB2312" w:cs="黑体"/>
          <w:color w:val="auto"/>
          <w:kern w:val="0"/>
          <w:sz w:val="32"/>
          <w:szCs w:val="32"/>
          <w:lang w:eastAsia="zh-CN"/>
        </w:rPr>
        <w:t>“</w:t>
      </w:r>
      <w:r>
        <w:rPr>
          <w:rFonts w:hint="eastAsia" w:ascii="Times New Roman" w:hAnsi="Times New Roman" w:eastAsia="仿宋_GB2312" w:cs="黑体"/>
          <w:color w:val="auto"/>
          <w:kern w:val="0"/>
          <w:sz w:val="32"/>
          <w:szCs w:val="32"/>
        </w:rPr>
        <w:t>全覆盖</w:t>
      </w:r>
      <w:r>
        <w:rPr>
          <w:rFonts w:hint="eastAsia" w:ascii="Times New Roman" w:hAnsi="Times New Roman" w:eastAsia="仿宋_GB2312" w:cs="黑体"/>
          <w:color w:val="auto"/>
          <w:kern w:val="0"/>
          <w:sz w:val="32"/>
          <w:szCs w:val="32"/>
          <w:lang w:eastAsia="zh-CN"/>
        </w:rPr>
        <w:t>”（</w:t>
      </w:r>
      <w:r>
        <w:rPr>
          <w:rFonts w:hint="eastAsia" w:ascii="Times New Roman" w:hAnsi="Times New Roman" w:eastAsia="仿宋_GB2312" w:cs="黑体"/>
          <w:color w:val="auto"/>
          <w:kern w:val="0"/>
          <w:sz w:val="32"/>
          <w:szCs w:val="32"/>
        </w:rPr>
        <w:t>应开展课后服务学校实现全覆盖，有需求学生实现全覆盖</w:t>
      </w:r>
      <w:r>
        <w:rPr>
          <w:rFonts w:hint="eastAsia" w:ascii="Times New Roman" w:hAnsi="Times New Roman" w:eastAsia="仿宋_GB2312" w:cs="黑体"/>
          <w:color w:val="auto"/>
          <w:kern w:val="0"/>
          <w:sz w:val="32"/>
          <w:szCs w:val="32"/>
          <w:lang w:eastAsia="zh-CN"/>
        </w:rPr>
        <w:t>）</w:t>
      </w:r>
      <w:r>
        <w:rPr>
          <w:rFonts w:hint="eastAsia" w:ascii="Times New Roman" w:hAnsi="Times New Roman" w:cs="黑体"/>
          <w:color w:val="auto"/>
          <w:kern w:val="0"/>
          <w:sz w:val="32"/>
          <w:szCs w:val="32"/>
          <w:lang w:eastAsia="zh-CN"/>
        </w:rPr>
        <w:t>，</w:t>
      </w:r>
      <w:r>
        <w:rPr>
          <w:rFonts w:hint="eastAsia" w:ascii="Times New Roman" w:hAnsi="Times New Roman" w:eastAsia="仿宋_GB2312" w:cs="仿宋_GB2312"/>
          <w:sz w:val="32"/>
          <w:szCs w:val="32"/>
          <w:lang w:val="en-US" w:eastAsia="zh-CN"/>
        </w:rPr>
        <w:t>推出“基本服务＋拓展服务”的服务模式。基本服务包括看护、指导完成作业、对学生进行个别辅导与答疑等；拓展服务为学生拓展学习空间，开展丰富多彩的科普、文体、艺术、劳动、阅读等项目的兴趣小组及社团活动，为学生、家长“暖心”护航。</w:t>
      </w:r>
      <w:r>
        <w:rPr>
          <w:rFonts w:hint="eastAsia" w:ascii="Times New Roman" w:hAnsi="Times New Roman" w:cs="仿宋_GB2312"/>
          <w:sz w:val="32"/>
          <w:szCs w:val="32"/>
          <w:lang w:val="en-US" w:eastAsia="zh-CN"/>
        </w:rPr>
        <w:t>三是全面消除大班额问题，</w:t>
      </w:r>
      <w:r>
        <w:rPr>
          <w:rFonts w:hint="default" w:ascii="Times New Roman" w:hAnsi="Times New Roman" w:eastAsia="仿宋_GB2312" w:cs="Times New Roman"/>
          <w:color w:val="auto"/>
          <w:kern w:val="2"/>
          <w:sz w:val="32"/>
          <w:szCs w:val="32"/>
          <w:lang w:val="en-US" w:eastAsia="zh-CN" w:bidi="ar-SA"/>
        </w:rPr>
        <w:t>加快推进公办基础教育学位建设。</w:t>
      </w:r>
      <w:r>
        <w:rPr>
          <w:rFonts w:hint="default" w:ascii="Times New Roman" w:hAnsi="Times New Roman" w:eastAsia="仿宋_GB2312" w:cs="Times New Roman"/>
          <w:sz w:val="32"/>
          <w:szCs w:val="32"/>
          <w:lang w:val="en-US" w:eastAsia="zh-CN"/>
        </w:rPr>
        <w:t>2024年计划</w:t>
      </w:r>
      <w:r>
        <w:rPr>
          <w:rFonts w:hint="default" w:ascii="Times New Roman" w:hAnsi="Times New Roman" w:eastAsia="仿宋_GB2312" w:cs="Times New Roman"/>
          <w:sz w:val="32"/>
          <w:szCs w:val="32"/>
        </w:rPr>
        <w:t>增加基础教育学位7260个，</w:t>
      </w:r>
      <w:r>
        <w:rPr>
          <w:rFonts w:hint="default" w:ascii="Times New Roman" w:hAnsi="Times New Roman" w:eastAsia="仿宋_GB2312" w:cs="Times New Roman"/>
          <w:sz w:val="32"/>
          <w:szCs w:val="32"/>
          <w:lang w:val="en-US" w:eastAsia="zh-CN"/>
        </w:rPr>
        <w:t>实际</w:t>
      </w:r>
      <w:r>
        <w:rPr>
          <w:rFonts w:hint="default" w:ascii="Times New Roman" w:hAnsi="Times New Roman" w:eastAsia="仿宋_GB2312" w:cs="Times New Roman"/>
          <w:color w:val="auto"/>
          <w:kern w:val="2"/>
          <w:sz w:val="32"/>
          <w:szCs w:val="32"/>
          <w:lang w:val="en-US" w:eastAsia="zh-CN" w:bidi="ar-SA"/>
        </w:rPr>
        <w:t>投入约3.1亿元，新建、改扩建中小学、幼儿园10所，新增公办学位12560个，</w:t>
      </w:r>
      <w:r>
        <w:rPr>
          <w:rFonts w:hint="default" w:ascii="Times New Roman" w:hAnsi="Times New Roman" w:eastAsia="仿宋_GB2312" w:cs="Times New Roman"/>
          <w:sz w:val="32"/>
          <w:szCs w:val="32"/>
          <w:lang w:val="en-US" w:eastAsia="zh-CN"/>
        </w:rPr>
        <w:t>完成率达173%，</w:t>
      </w:r>
      <w:r>
        <w:rPr>
          <w:rFonts w:hint="default" w:ascii="Times New Roman" w:hAnsi="Times New Roman" w:eastAsia="仿宋_GB2312" w:cs="Times New Roman"/>
          <w:sz w:val="32"/>
          <w:szCs w:val="32"/>
        </w:rPr>
        <w:t>基础教育学位建设超额完成任务。</w:t>
      </w:r>
    </w:p>
    <w:p w14:paraId="4B00F348">
      <w:pPr>
        <w:keepNext w:val="0"/>
        <w:keepLines w:val="0"/>
        <w:pageBreakBefore w:val="0"/>
        <w:widowControl w:val="0"/>
        <w:numPr>
          <w:ilvl w:val="0"/>
          <w:numId w:val="1"/>
        </w:numPr>
        <w:kinsoku/>
        <w:wordWrap/>
        <w:overflowPunct/>
        <w:topLinePunct w:val="0"/>
        <w:autoSpaceDE/>
        <w:autoSpaceDN/>
        <w:bidi w:val="0"/>
        <w:adjustRightInd/>
        <w:snapToGrid w:val="0"/>
        <w:spacing w:line="540" w:lineRule="exact"/>
        <w:ind w:firstLine="616" w:firstLineChars="200"/>
        <w:textAlignment w:val="auto"/>
        <w:outlineLvl w:val="9"/>
        <w:rPr>
          <w:rFonts w:hint="eastAsia" w:ascii="楷体_GB2312" w:eastAsia="楷体_GB2312"/>
          <w:b/>
          <w:bCs/>
          <w:szCs w:val="32"/>
          <w:lang w:val="en-US" w:eastAsia="zh-CN"/>
        </w:rPr>
      </w:pPr>
      <w:r>
        <w:rPr>
          <w:rFonts w:hint="eastAsia" w:ascii="楷体_GB2312" w:eastAsia="楷体_GB2312"/>
          <w:b/>
          <w:bCs/>
          <w:szCs w:val="32"/>
          <w:lang w:val="en-US" w:eastAsia="zh-CN"/>
        </w:rPr>
        <w:t>项目进度管理有待提升，部分项目进度有所滞后</w:t>
      </w:r>
    </w:p>
    <w:p w14:paraId="536BA84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16" w:firstLineChars="200"/>
        <w:textAlignment w:val="auto"/>
        <w:outlineLvl w:val="9"/>
        <w:rPr>
          <w:rFonts w:hint="default" w:ascii="Times New Roman" w:hAnsi="Times New Roman" w:eastAsia="仿宋_GB2312" w:cs="仿宋_GB2312"/>
          <w:sz w:val="32"/>
          <w:szCs w:val="32"/>
          <w:lang w:val="en-US" w:eastAsia="zh-CN"/>
        </w:rPr>
      </w:pPr>
      <w:r>
        <w:rPr>
          <w:rFonts w:hint="eastAsia" w:ascii="Times New Roman" w:hAnsi="Times New Roman" w:cs="仿宋_GB2312"/>
          <w:sz w:val="32"/>
          <w:szCs w:val="32"/>
          <w:lang w:val="en-US" w:eastAsia="zh-CN"/>
        </w:rPr>
        <w:t>针对</w:t>
      </w:r>
      <w:r>
        <w:rPr>
          <w:rFonts w:hint="eastAsia" w:ascii="Times New Roman" w:hAnsi="Times New Roman" w:eastAsia="仿宋_GB2312" w:cs="仿宋_GB2312"/>
          <w:sz w:val="32"/>
          <w:szCs w:val="32"/>
          <w:lang w:val="en-US" w:eastAsia="zh-CN"/>
        </w:rPr>
        <w:t>阳江市</w:t>
      </w:r>
      <w:r>
        <w:rPr>
          <w:rFonts w:hint="eastAsia" w:ascii="Times New Roman" w:hAnsi="Times New Roman" w:cs="仿宋_GB2312"/>
          <w:sz w:val="32"/>
          <w:szCs w:val="32"/>
          <w:lang w:val="en-US" w:eastAsia="zh-CN"/>
        </w:rPr>
        <w:t>实验学校转制时间稍有延后及阳江市教师发展中心工程进度落后的问题，本部门加强与相关部门协调，及时规范</w:t>
      </w:r>
      <w:r>
        <w:rPr>
          <w:rFonts w:hint="eastAsia" w:ascii="仿宋_GB2312" w:hAnsi="仿宋" w:cs="仿宋"/>
          <w:highlight w:val="none"/>
        </w:rPr>
        <w:t>拨付资金，跟踪资金的支出进度，倒逼资金支出速度</w:t>
      </w:r>
      <w:r>
        <w:rPr>
          <w:rFonts w:hint="eastAsia" w:ascii="仿宋_GB2312" w:hAnsi="仿宋" w:cs="仿宋"/>
          <w:highlight w:val="none"/>
          <w:lang w:eastAsia="zh-CN"/>
        </w:rPr>
        <w:t>，</w:t>
      </w:r>
      <w:r>
        <w:rPr>
          <w:rFonts w:hint="eastAsia" w:ascii="仿宋_GB2312" w:hAnsi="仿宋" w:cs="仿宋"/>
          <w:highlight w:val="none"/>
        </w:rPr>
        <w:t>不定期跟踪项目实施进度，项目实施延迟时及时介入和调整，发现问题及时解决，推进项目实施进度。</w:t>
      </w:r>
      <w:r>
        <w:rPr>
          <w:rFonts w:hint="eastAsia" w:ascii="仿宋_GB2312" w:hAnsi="仿宋" w:cs="仿宋"/>
          <w:highlight w:val="none"/>
          <w:lang w:val="en-US" w:eastAsia="zh-CN"/>
        </w:rPr>
        <w:t>2024年9月</w:t>
      </w:r>
      <w:r>
        <w:rPr>
          <w:rFonts w:hint="eastAsia" w:ascii="Times New Roman" w:hAnsi="Times New Roman" w:eastAsia="仿宋_GB2312" w:cs="仿宋_GB2312"/>
          <w:sz w:val="32"/>
          <w:szCs w:val="32"/>
          <w:lang w:val="en-US" w:eastAsia="zh-CN"/>
        </w:rPr>
        <w:t>阳江市</w:t>
      </w:r>
      <w:r>
        <w:rPr>
          <w:rFonts w:hint="eastAsia" w:ascii="Times New Roman" w:hAnsi="Times New Roman" w:cs="仿宋_GB2312"/>
          <w:sz w:val="32"/>
          <w:szCs w:val="32"/>
          <w:lang w:val="en-US" w:eastAsia="zh-CN"/>
        </w:rPr>
        <w:t>实验学校按进度完成转制工作，更名为阳江市第一中学实验学校。阳江市教师发展中心加快资金投入，目前已基本建设完成。接下来，本单位将举一反三，项目开展前，重视前期调研，考量项目建设过程中遇到的困难和问题，按照最坏打算做好项目建设规划，制定详细工作进度台账和应急方案，确保项目如期完成。建立项目进度监控机制，及时对项目进行调度，保障工程按期完工。</w:t>
      </w:r>
    </w:p>
    <w:p w14:paraId="275E38AC">
      <w:pPr>
        <w:keepNext w:val="0"/>
        <w:keepLines w:val="0"/>
        <w:pageBreakBefore w:val="0"/>
        <w:widowControl w:val="0"/>
        <w:numPr>
          <w:ilvl w:val="0"/>
          <w:numId w:val="1"/>
        </w:numPr>
        <w:kinsoku/>
        <w:wordWrap/>
        <w:overflowPunct/>
        <w:topLinePunct w:val="0"/>
        <w:autoSpaceDE/>
        <w:autoSpaceDN/>
        <w:bidi w:val="0"/>
        <w:adjustRightInd/>
        <w:snapToGrid w:val="0"/>
        <w:spacing w:line="540" w:lineRule="exact"/>
        <w:ind w:firstLine="616" w:firstLineChars="200"/>
        <w:textAlignment w:val="auto"/>
        <w:outlineLvl w:val="9"/>
        <w:rPr>
          <w:rFonts w:hint="eastAsia" w:ascii="楷体_GB2312" w:eastAsia="楷体_GB2312"/>
          <w:b/>
          <w:bCs/>
          <w:szCs w:val="32"/>
          <w:lang w:val="en-US" w:eastAsia="zh-CN"/>
        </w:rPr>
      </w:pPr>
      <w:r>
        <w:rPr>
          <w:rFonts w:hint="eastAsia" w:ascii="楷体_GB2312" w:eastAsia="楷体_GB2312"/>
          <w:b/>
          <w:bCs/>
          <w:szCs w:val="32"/>
          <w:lang w:val="en-US" w:eastAsia="zh-CN"/>
        </w:rPr>
        <w:t>预算编制科学生不足，实际支出与预算偏差较大</w:t>
      </w:r>
    </w:p>
    <w:p w14:paraId="658D548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16" w:firstLineChars="200"/>
        <w:textAlignment w:val="auto"/>
        <w:outlineLvl w:val="9"/>
        <w:rPr>
          <w:rFonts w:hint="default" w:ascii="楷体_GB2312" w:eastAsia="楷体_GB2312"/>
          <w:b/>
          <w:bCs/>
          <w:szCs w:val="32"/>
          <w:lang w:val="en-US" w:eastAsia="zh-CN"/>
        </w:rPr>
      </w:pPr>
      <w:r>
        <w:rPr>
          <w:rFonts w:hint="eastAsia" w:ascii="Times New Roman" w:hAnsi="Times New Roman" w:cs="仿宋_GB2312"/>
          <w:sz w:val="32"/>
          <w:szCs w:val="32"/>
          <w:lang w:val="en-US" w:eastAsia="zh-CN"/>
        </w:rPr>
        <w:t>一是部门整体预算调整率大，原因主要是固定资产投资加大，新建、改扩建学校较多，预算投入增加较大，导致预算调整率较大。接下来，我们将详细分析往年决算，结合当年年度重点投资计划，做好预算测算工作，提升部门预算的科学合理性及预算执行准确性、预算执行率。二是部分重点工作任务支出率偏低，如教师培训、高考备考经费、招生考试工作等，主要原因是财政资金调度困难，相关资金未能及时拨付。接下来，部门将做好与相关部门的对接，争取资金早到位、早实施、早支出。</w:t>
      </w:r>
    </w:p>
    <w:p w14:paraId="49A175A9">
      <w:pPr>
        <w:keepNext w:val="0"/>
        <w:keepLines w:val="0"/>
        <w:pageBreakBefore w:val="0"/>
        <w:widowControl w:val="0"/>
        <w:numPr>
          <w:ilvl w:val="0"/>
          <w:numId w:val="1"/>
        </w:numPr>
        <w:kinsoku/>
        <w:wordWrap/>
        <w:overflowPunct/>
        <w:topLinePunct w:val="0"/>
        <w:autoSpaceDE/>
        <w:autoSpaceDN/>
        <w:bidi w:val="0"/>
        <w:adjustRightInd/>
        <w:snapToGrid w:val="0"/>
        <w:spacing w:line="540" w:lineRule="exact"/>
        <w:ind w:firstLine="616" w:firstLineChars="200"/>
        <w:textAlignment w:val="auto"/>
        <w:outlineLvl w:val="9"/>
        <w:rPr>
          <w:rFonts w:hint="eastAsia" w:ascii="楷体_GB2312" w:eastAsia="楷体_GB2312"/>
          <w:b/>
          <w:bCs/>
          <w:szCs w:val="32"/>
          <w:lang w:val="en-US" w:eastAsia="zh-CN"/>
        </w:rPr>
      </w:pPr>
      <w:r>
        <w:rPr>
          <w:rFonts w:hint="eastAsia" w:ascii="楷体_GB2312" w:eastAsia="楷体_GB2312"/>
          <w:b/>
          <w:bCs/>
          <w:szCs w:val="32"/>
          <w:lang w:val="en-US" w:eastAsia="zh-CN"/>
        </w:rPr>
        <w:t>部分项目实施规范性有所不足</w:t>
      </w:r>
    </w:p>
    <w:p w14:paraId="3F3A1D0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16" w:firstLineChars="200"/>
        <w:textAlignment w:val="auto"/>
        <w:outlineLvl w:val="9"/>
        <w:rPr>
          <w:rFonts w:hint="default" w:ascii="楷体_GB2312" w:eastAsia="楷体_GB2312"/>
          <w:b/>
          <w:bCs/>
          <w:szCs w:val="32"/>
          <w:lang w:val="en-US" w:eastAsia="zh-CN"/>
        </w:rPr>
      </w:pPr>
      <w:r>
        <w:rPr>
          <w:rFonts w:hint="eastAsia" w:ascii="Times New Roman" w:hAnsi="Times New Roman" w:cs="仿宋_GB2312"/>
          <w:sz w:val="32"/>
          <w:szCs w:val="32"/>
          <w:lang w:val="en-US" w:eastAsia="zh-CN"/>
        </w:rPr>
        <w:t>一是部分项目缺少验收资料。加强会计人员业务知识培训，严格按照账务管理规范开展支出工作，同时做好对相关项目单位的业务指导，规范项目支出。加强对项目验收过程的监督和检查，完善内控工作，避免资料缺失或不合规的情况。二是个别合同签订规范性不足问题，明确相关科室责任和任务分工，加强合同审核工作，杜绝类似情况再次发生。</w:t>
      </w:r>
    </w:p>
    <w:p w14:paraId="415E9DCC">
      <w:pPr>
        <w:keepNext w:val="0"/>
        <w:keepLines w:val="0"/>
        <w:pageBreakBefore w:val="0"/>
        <w:widowControl w:val="0"/>
        <w:numPr>
          <w:ilvl w:val="0"/>
          <w:numId w:val="1"/>
        </w:numPr>
        <w:kinsoku/>
        <w:wordWrap/>
        <w:overflowPunct/>
        <w:topLinePunct w:val="0"/>
        <w:autoSpaceDE/>
        <w:autoSpaceDN/>
        <w:bidi w:val="0"/>
        <w:adjustRightInd/>
        <w:snapToGrid w:val="0"/>
        <w:spacing w:line="540" w:lineRule="exact"/>
        <w:ind w:firstLine="616" w:firstLineChars="200"/>
        <w:textAlignment w:val="auto"/>
        <w:outlineLvl w:val="9"/>
        <w:rPr>
          <w:rFonts w:hint="eastAsia" w:ascii="楷体_GB2312" w:eastAsia="楷体_GB2312"/>
          <w:b/>
          <w:bCs/>
          <w:szCs w:val="32"/>
          <w:lang w:val="en-US" w:eastAsia="zh-CN"/>
        </w:rPr>
      </w:pPr>
      <w:r>
        <w:rPr>
          <w:rFonts w:hint="eastAsia" w:ascii="楷体_GB2312" w:eastAsia="楷体_GB2312"/>
          <w:b/>
          <w:bCs/>
          <w:szCs w:val="32"/>
          <w:lang w:val="en-US" w:eastAsia="zh-CN"/>
        </w:rPr>
        <w:t>财务核算规范性不足，资产管理不够完善</w:t>
      </w:r>
    </w:p>
    <w:p w14:paraId="68CC901E">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16" w:firstLineChars="200"/>
        <w:textAlignment w:val="auto"/>
        <w:outlineLvl w:val="9"/>
        <w:rPr>
          <w:rFonts w:hint="default" w:ascii="楷体_GB2312" w:eastAsia="仿宋_GB2312"/>
          <w:b/>
          <w:bCs/>
          <w:szCs w:val="32"/>
          <w:lang w:val="en-US" w:eastAsia="zh-CN"/>
        </w:rPr>
      </w:pPr>
      <w:r>
        <w:rPr>
          <w:rFonts w:hint="eastAsia" w:ascii="Times New Roman" w:hAnsi="Times New Roman" w:cs="仿宋_GB2312"/>
          <w:sz w:val="32"/>
          <w:szCs w:val="32"/>
          <w:lang w:val="en-US" w:eastAsia="zh-CN"/>
        </w:rPr>
        <w:t>一是账表不符的情况，督促会计岗对相关账目和决算报表存在差额部分进行进一步核算，查找原因及时修正错误，同时总结分析原因，避免再次出现类似错误。二是个别费用列支未能按政府收支经济分类科目正确列支的问题，将加强会计岗位培训，及时总结，举一反三，避免类似错误再次出现。三是历史挂账问题，针对具体问题具体分析，一问题一方案，及时化解挂账问题。四是固定资产台账与实际情况存在不符的问题，本单位</w:t>
      </w:r>
      <w:r>
        <w:rPr>
          <w:rFonts w:hint="eastAsia" w:cs="仿宋_GB2312"/>
          <w:highlight w:val="none"/>
          <w:lang w:val="en-US" w:eastAsia="zh-CN"/>
        </w:rPr>
        <w:t>2023年已聘请第三方机构完成对我局固定资产盘点工作，部分资产需附资产标签、固定资产台账问题已得到解决，整改完毕。</w:t>
      </w:r>
    </w:p>
    <w:p w14:paraId="635D726C">
      <w:pPr>
        <w:keepNext w:val="0"/>
        <w:keepLines w:val="0"/>
        <w:pageBreakBefore w:val="0"/>
        <w:widowControl w:val="0"/>
        <w:numPr>
          <w:ilvl w:val="0"/>
          <w:numId w:val="1"/>
        </w:numPr>
        <w:kinsoku/>
        <w:wordWrap/>
        <w:overflowPunct/>
        <w:topLinePunct w:val="0"/>
        <w:autoSpaceDE/>
        <w:autoSpaceDN/>
        <w:bidi w:val="0"/>
        <w:adjustRightInd/>
        <w:snapToGrid w:val="0"/>
        <w:spacing w:line="540" w:lineRule="exact"/>
        <w:ind w:firstLine="616" w:firstLineChars="200"/>
        <w:textAlignment w:val="auto"/>
        <w:outlineLvl w:val="9"/>
        <w:rPr>
          <w:rFonts w:hint="eastAsia" w:ascii="楷体_GB2312" w:eastAsia="楷体_GB2312"/>
          <w:b/>
          <w:bCs/>
          <w:szCs w:val="32"/>
          <w:lang w:val="en-US" w:eastAsia="zh-CN"/>
        </w:rPr>
      </w:pPr>
      <w:r>
        <w:rPr>
          <w:rFonts w:hint="eastAsia" w:ascii="楷体_GB2312" w:eastAsia="楷体_GB2312"/>
          <w:b/>
          <w:bCs/>
          <w:szCs w:val="32"/>
          <w:lang w:val="en-US" w:eastAsia="zh-CN"/>
        </w:rPr>
        <w:t>绩效工作存在瑕疵，预算绩效管理意识有待提高</w:t>
      </w:r>
    </w:p>
    <w:p w14:paraId="5B19E7A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16" w:firstLineChars="200"/>
        <w:textAlignment w:val="auto"/>
        <w:outlineLvl w:val="9"/>
        <w:rPr>
          <w:rFonts w:hint="eastAsia" w:ascii="楷体_GB2312" w:eastAsia="楷体_GB2312"/>
          <w:b/>
          <w:bCs/>
          <w:szCs w:val="32"/>
          <w:lang w:val="en-US" w:eastAsia="zh-CN"/>
        </w:rPr>
      </w:pPr>
      <w:r>
        <w:rPr>
          <w:rFonts w:hint="eastAsia" w:ascii="Times New Roman" w:hAnsi="Times New Roman" w:cs="仿宋_GB2312"/>
          <w:sz w:val="32"/>
          <w:szCs w:val="32"/>
          <w:lang w:val="en-US" w:eastAsia="zh-CN"/>
        </w:rPr>
        <w:t>一是绩效目标设定不够全面规范，接下来将按要求填报《绩效目标申报表》，对重点工作开展充分且明确阐述工作的具体开展方式、预期实现的成效，反映部门履职要达到的总体产出和效果。二是相关指标设置合理性、可衡量性不足问题，接下来将尽量增加定量指标，定性指标设定要具有前后对比和可衡量性，易于进行评价。三是自评工作完成情况欠佳，改正实际完成值是区间值的问题，举一反三，做好往后指标填报工作。接下来，本单位将推进绩效评价工作常态化，提高部门重视程度，组织开展绩效管理实操培训，加强部门的绩效管理意识及实操能力。</w:t>
      </w:r>
    </w:p>
    <w:p w14:paraId="120A892A">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ascii="方正小标宋简体" w:hAnsi="Times New Roman" w:eastAsia="方正小标宋简体" w:cs="Times New Roman"/>
          <w:lang w:eastAsia="zh-CN"/>
        </w:rPr>
      </w:pPr>
      <w:r>
        <w:rPr>
          <w:rFonts w:hint="eastAsia" w:ascii="方正小标宋简体" w:hAnsi="Times New Roman" w:eastAsia="方正小标宋简体" w:cs="Times New Roman"/>
          <w:lang w:eastAsia="zh-CN"/>
        </w:rPr>
        <w:t>三、绩效自评结论</w:t>
      </w:r>
      <w:bookmarkEnd w:id="11"/>
      <w:bookmarkEnd w:id="12"/>
    </w:p>
    <w:p w14:paraId="3C702E1D">
      <w:pPr>
        <w:snapToGrid w:val="0"/>
        <w:spacing w:line="360" w:lineRule="auto"/>
        <w:ind w:firstLine="616" w:firstLineChars="200"/>
        <w:rPr>
          <w:rFonts w:hint="eastAsia" w:ascii="Times New Roman" w:hAnsi="Times New Roman" w:cs="仿宋_GB2312"/>
          <w:sz w:val="32"/>
          <w:szCs w:val="32"/>
          <w:lang w:val="en-US" w:eastAsia="zh-CN"/>
        </w:rPr>
      </w:pPr>
      <w:r>
        <w:rPr>
          <w:rFonts w:hint="eastAsia" w:ascii="Times New Roman" w:hAnsi="Times New Roman" w:cs="仿宋_GB2312"/>
          <w:sz w:val="32"/>
          <w:szCs w:val="32"/>
          <w:lang w:val="en-US" w:eastAsia="zh-CN"/>
        </w:rPr>
        <w:t>2024年在财政资金进一步紧张的情况下，本单位牢固树立真正过紧日子思想，坚持要把钱用在最急需的地方，用在最关键的地方，紧紧围绕教育发展目标和年初预算安排，统筹用好财政资金，发挥资金效能，并对不同时期教育改革发展的中心任务和重点工作予以优先安排和重点保障，促进教育公平，办好人民满意的教育，取得显著成效。部门绩效目标完成情况：1.加强党对教育工作的全面领导，市直学校、江城区、阳西县、阳春市已经全面完成中小学校党组织领导的校长负责制改革，全市中小学校党组织覆盖率100%、达标率100%。2.落实立德树人根本任务，实施思政课培优工程，全市中小学校党组织书记（校长）共上“思政第一课”1000多场次。3.高质量完成2024年市十件民生实事项目年度建设目标和2024年市《政府工作报告》重点任务，2024年新建、改扩建中小学、幼儿园10所，新增公办学位12560个，完成率达173%。4.推进“百县千镇万村高质量发展工程”教育行动，全市城乡教育共同体数量增加至18个，覆盖学校97所，覆盖学生13.6万人，超额完成省定构建5个城乡教育共同体任务，优化农村教育资源撤并小规模学校134所。5.“双减”工作扎实推进。全市义务教育各级各类学校实现课后服务两个“全覆盖”，即义务教育学校全覆盖、有需求的学生全覆盖。转型、注销学科类校外培训机构121所，压减率100%，全市校外培训机构纳入国家监管平台全流程监管比例100%。6.持续改善“三所学校”办学条件，乡镇中心小学、寄宿制学校100%达到义务教育标准化学校标准，整体提高县域教育发展水平，缩小城乡教育差距。7.推进教研引领提质，新建阳江市教师发展中心（阳江市教师培训基地），开展学科培训和教学研讨活动，5个省级教研基地通过遴选，2个省级重大项目教育科研课题立项，为粤东西北立项数量最多的地级市。8.深入实施“新强师工程”，加强师德师风建设，加强高层次人才引进力度，推进教研引领提质，开展17个市级骨干教师培训项目，累计培训教师9600人次。做好全口径全方位融入式结对帮扶工作。加强与珠海及帮扶高校的沟通交流，组织120名中小学教师赴珠海跟岗锻炼，接收珠海市60名优秀教师来阳支教。9.开展更高水平平安校园建设。全市已创建省安全防范疏散演练达标学校（幼儿园）750所（其中，示范单位24所，达标单位726所），达标率75.38%。全市已成功创建县级更高水平平安校园227所，市级更高水平安全文明校园84所，省级更高水平安全文明校园37所。2024年度教育领域“粤平安指数”排名全省靠前。</w:t>
      </w:r>
    </w:p>
    <w:p w14:paraId="1F723B00">
      <w:pPr>
        <w:snapToGrid w:val="0"/>
        <w:spacing w:line="360" w:lineRule="auto"/>
        <w:ind w:firstLine="616" w:firstLineChars="200"/>
        <w:rPr>
          <w:rFonts w:hint="eastAsia" w:ascii="仿宋_GB2312" w:hAnsi="华文仿宋" w:cs="仿宋_GB2312"/>
          <w:szCs w:val="32"/>
        </w:rPr>
      </w:pPr>
      <w:r>
        <w:rPr>
          <w:rFonts w:hint="eastAsia" w:ascii="仿宋_GB2312" w:hAnsi="华文仿宋" w:cs="仿宋_GB2312"/>
          <w:b/>
          <w:highlight w:val="none"/>
        </w:rPr>
        <w:t>整体支出自评分数</w:t>
      </w:r>
      <w:r>
        <w:rPr>
          <w:rFonts w:hint="eastAsia" w:ascii="仿宋_GB2312" w:hAnsi="华文仿宋" w:cs="仿宋_GB2312"/>
          <w:b/>
          <w:highlight w:val="none"/>
          <w:lang w:val="en-US" w:eastAsia="zh-CN"/>
        </w:rPr>
        <w:t>98.77</w:t>
      </w:r>
      <w:r>
        <w:rPr>
          <w:rFonts w:hint="eastAsia" w:ascii="仿宋_GB2312" w:hAnsi="华文仿宋" w:cs="仿宋_GB2312"/>
          <w:b/>
          <w:highlight w:val="none"/>
        </w:rPr>
        <w:t>分，自评等级A级。</w:t>
      </w:r>
    </w:p>
    <w:p w14:paraId="2E889588">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ascii="方正小标宋简体" w:eastAsia="方正小标宋简体"/>
          <w:highlight w:val="none"/>
        </w:rPr>
      </w:pPr>
      <w:bookmarkStart w:id="13" w:name="_Toc2072"/>
      <w:bookmarkStart w:id="14" w:name="_Toc2998_WPSOffice_Level1"/>
      <w:r>
        <w:rPr>
          <w:rFonts w:hint="eastAsia" w:ascii="方正小标宋简体" w:eastAsia="方正小标宋简体"/>
          <w:highlight w:val="none"/>
          <w:lang w:eastAsia="zh-CN"/>
        </w:rPr>
        <w:t>四</w:t>
      </w:r>
      <w:r>
        <w:rPr>
          <w:rFonts w:hint="eastAsia" w:ascii="方正小标宋简体" w:eastAsia="方正小标宋简体"/>
          <w:highlight w:val="none"/>
        </w:rPr>
        <w:t>、绩效自评分析</w:t>
      </w:r>
      <w:bookmarkEnd w:id="13"/>
      <w:bookmarkEnd w:id="14"/>
    </w:p>
    <w:p w14:paraId="3A811867">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ascii="楷体_GB2312" w:eastAsia="楷体_GB2312"/>
          <w:b/>
          <w:bCs/>
          <w:szCs w:val="32"/>
          <w:lang w:eastAsia="zh-CN"/>
        </w:rPr>
      </w:pPr>
      <w:bookmarkStart w:id="15" w:name="_Toc27392_WPSOffice_Level2"/>
      <w:bookmarkStart w:id="16" w:name="_Toc19924"/>
      <w:bookmarkStart w:id="17" w:name="_Toc22677"/>
      <w:bookmarkStart w:id="18" w:name="_Toc26765_WPSOffice_Level3"/>
      <w:r>
        <w:rPr>
          <w:rFonts w:hint="eastAsia" w:ascii="楷体_GB2312" w:eastAsia="楷体_GB2312"/>
          <w:b/>
          <w:bCs/>
          <w:szCs w:val="32"/>
        </w:rPr>
        <w:t>（一）</w:t>
      </w:r>
      <w:bookmarkEnd w:id="15"/>
      <w:bookmarkEnd w:id="16"/>
      <w:bookmarkEnd w:id="17"/>
      <w:bookmarkEnd w:id="18"/>
      <w:r>
        <w:rPr>
          <w:rFonts w:hint="eastAsia" w:ascii="楷体_GB2312" w:eastAsia="楷体_GB2312"/>
          <w:b/>
          <w:bCs/>
          <w:szCs w:val="32"/>
          <w:lang w:eastAsia="zh-CN"/>
        </w:rPr>
        <w:t>履职效能</w:t>
      </w:r>
    </w:p>
    <w:p w14:paraId="726E3C67">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ascii="Times New Roman" w:hAnsi="Times New Roman" w:cs="Times New Roman"/>
          <w:szCs w:val="32"/>
          <w:lang w:val="en-US" w:eastAsia="zh-CN"/>
        </w:rPr>
      </w:pPr>
      <w:bookmarkStart w:id="19" w:name="_Toc4521"/>
      <w:r>
        <w:rPr>
          <w:rFonts w:hint="eastAsia" w:cs="仿宋_GB2312"/>
          <w:b/>
          <w:bCs/>
          <w:szCs w:val="32"/>
        </w:rPr>
        <w:t>1</w:t>
      </w:r>
      <w:r>
        <w:rPr>
          <w:rFonts w:hint="eastAsia" w:ascii="仿宋_GB2312" w:hAnsi="仿宋_GB2312" w:cs="仿宋_GB2312"/>
          <w:b/>
          <w:bCs/>
          <w:szCs w:val="32"/>
        </w:rPr>
        <w:t>.</w:t>
      </w:r>
      <w:bookmarkEnd w:id="19"/>
      <w:r>
        <w:rPr>
          <w:rFonts w:hint="eastAsia" w:ascii="仿宋_GB2312" w:hAnsi="仿宋_GB2312" w:cs="仿宋_GB2312"/>
          <w:b/>
          <w:bCs/>
          <w:szCs w:val="32"/>
          <w:lang w:eastAsia="zh-CN"/>
        </w:rPr>
        <w:t>整体效能</w:t>
      </w:r>
    </w:p>
    <w:p w14:paraId="6763B853">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ascii="Times New Roman" w:hAnsi="Times New Roman" w:cs="Times New Roman"/>
          <w:szCs w:val="32"/>
          <w:lang w:val="en-US" w:eastAsia="zh-CN"/>
        </w:rPr>
      </w:pPr>
      <w:r>
        <w:rPr>
          <w:rFonts w:hint="eastAsia" w:cs="Times New Roman"/>
          <w:szCs w:val="32"/>
          <w:lang w:val="en-US" w:eastAsia="zh-CN"/>
        </w:rPr>
        <w:t>根据2024年部门预算整体支出绩效目标申报表，对照部门整体支出绩效目标产出指标和效益指标情况，本单位相关指标完成率100%。</w:t>
      </w:r>
      <w:r>
        <w:rPr>
          <w:rFonts w:hint="eastAsia" w:ascii="Times New Roman" w:hAnsi="Times New Roman" w:cs="Times New Roman"/>
          <w:szCs w:val="32"/>
          <w:lang w:val="en-US" w:eastAsia="zh-CN"/>
        </w:rPr>
        <w:t>2024年</w:t>
      </w:r>
      <w:r>
        <w:rPr>
          <w:rFonts w:hint="default" w:ascii="Times New Roman" w:hAnsi="Times New Roman" w:cs="Times New Roman"/>
          <w:szCs w:val="32"/>
          <w:lang w:val="en-US" w:eastAsia="zh-CN"/>
        </w:rPr>
        <w:t>部门预算资金支出率</w:t>
      </w:r>
      <w:r>
        <w:rPr>
          <w:rFonts w:hint="eastAsia" w:ascii="Times New Roman" w:hAnsi="Times New Roman" w:cs="Times New Roman"/>
          <w:szCs w:val="32"/>
          <w:lang w:val="en-US" w:eastAsia="zh-CN"/>
        </w:rPr>
        <w:t>为95.37%。</w:t>
      </w:r>
    </w:p>
    <w:p w14:paraId="03E26832">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cs="Times New Roman"/>
          <w:szCs w:val="32"/>
          <w:lang w:val="en-US" w:eastAsia="zh-CN"/>
        </w:rPr>
      </w:pPr>
      <w:bookmarkStart w:id="20" w:name="_Toc8156"/>
      <w:r>
        <w:rPr>
          <w:rFonts w:hint="default" w:ascii="Times New Roman" w:hAnsi="Times New Roman" w:cs="Times New Roman"/>
          <w:b/>
          <w:bCs/>
          <w:szCs w:val="32"/>
        </w:rPr>
        <w:t>2.</w:t>
      </w:r>
      <w:bookmarkEnd w:id="20"/>
      <w:r>
        <w:rPr>
          <w:rFonts w:hint="default" w:ascii="Times New Roman" w:hAnsi="Times New Roman" w:cs="Times New Roman"/>
          <w:b/>
          <w:bCs/>
          <w:szCs w:val="32"/>
          <w:lang w:eastAsia="zh-CN"/>
        </w:rPr>
        <w:t>专项效能</w:t>
      </w:r>
    </w:p>
    <w:p w14:paraId="1CEA8D54">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cs="Times New Roman"/>
          <w:szCs w:val="32"/>
          <w:lang w:val="en-US" w:eastAsia="zh-CN"/>
        </w:rPr>
      </w:pPr>
      <w:r>
        <w:rPr>
          <w:rFonts w:hint="eastAsia" w:cs="Times New Roman"/>
          <w:szCs w:val="32"/>
          <w:lang w:val="en-US" w:eastAsia="zh-CN"/>
        </w:rPr>
        <w:t>部门专项资金申报、批复符合专项资金管理办法有关规定，资金分配使用经党组会审议通过，</w:t>
      </w:r>
      <w:r>
        <w:rPr>
          <w:rFonts w:hint="eastAsia" w:ascii="仿宋_GB2312" w:hAnsi="仿宋" w:cs="仿宋"/>
          <w:highlight w:val="none"/>
        </w:rPr>
        <w:t>项目单位按规定履行项目报批程序，并按规定严格执行项目招投标、建设、验收等</w:t>
      </w:r>
      <w:r>
        <w:rPr>
          <w:rFonts w:hint="eastAsia" w:ascii="仿宋_GB2312" w:hAnsi="仿宋" w:cs="仿宋"/>
          <w:highlight w:val="none"/>
          <w:lang w:eastAsia="zh-CN"/>
        </w:rPr>
        <w:t>，</w:t>
      </w:r>
      <w:r>
        <w:rPr>
          <w:rFonts w:hint="eastAsia" w:ascii="仿宋_GB2312" w:hAnsi="仿宋" w:cs="仿宋"/>
          <w:highlight w:val="none"/>
        </w:rPr>
        <w:t>为保证项目资金管理的规范性、合理性和效率性，加强项目事前、事中、事后全过程监管，切实做到“事前有预测、事中有控制、事后有监督”，对专项资金进行财务管理和会计核算，接受局党组和相关部门对专项资金的检查、考核、验收、询问、督导并开展项目绩效自评</w:t>
      </w:r>
      <w:r>
        <w:rPr>
          <w:rFonts w:hint="eastAsia" w:cs="Times New Roman"/>
          <w:szCs w:val="32"/>
          <w:lang w:val="en-US" w:eastAsia="zh-CN"/>
        </w:rPr>
        <w:t>。</w:t>
      </w:r>
    </w:p>
    <w:p w14:paraId="27541DA2">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ascii="楷体_GB2312" w:eastAsia="楷体_GB2312"/>
          <w:b/>
          <w:bCs/>
          <w:szCs w:val="32"/>
          <w:lang w:eastAsia="zh-CN"/>
        </w:rPr>
      </w:pPr>
      <w:bookmarkStart w:id="21" w:name="_Toc19200_WPSOffice_Level2"/>
      <w:bookmarkStart w:id="22" w:name="_Toc32482"/>
      <w:bookmarkStart w:id="23" w:name="_Toc13662"/>
      <w:bookmarkStart w:id="24" w:name="_Toc5828_WPSOffice_Level3"/>
      <w:r>
        <w:rPr>
          <w:rFonts w:hint="eastAsia" w:ascii="楷体_GB2312" w:eastAsia="楷体_GB2312"/>
          <w:b/>
          <w:bCs/>
          <w:szCs w:val="32"/>
        </w:rPr>
        <w:t>（二）</w:t>
      </w:r>
      <w:bookmarkEnd w:id="21"/>
      <w:bookmarkEnd w:id="22"/>
      <w:bookmarkEnd w:id="23"/>
      <w:bookmarkEnd w:id="24"/>
      <w:r>
        <w:rPr>
          <w:rFonts w:hint="eastAsia" w:ascii="楷体_GB2312" w:eastAsia="楷体_GB2312"/>
          <w:b/>
          <w:bCs/>
          <w:szCs w:val="32"/>
          <w:lang w:eastAsia="zh-CN"/>
        </w:rPr>
        <w:t>管理效率</w:t>
      </w:r>
    </w:p>
    <w:p w14:paraId="612F5F1F">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bCs/>
          <w:szCs w:val="32"/>
        </w:rPr>
      </w:pPr>
      <w:r>
        <w:rPr>
          <w:rFonts w:hint="eastAsia" w:cs="仿宋_GB2312"/>
          <w:b/>
          <w:bCs/>
          <w:szCs w:val="32"/>
        </w:rPr>
        <w:t>1</w:t>
      </w:r>
      <w:r>
        <w:rPr>
          <w:rFonts w:hint="eastAsia" w:ascii="仿宋_GB2312" w:hAnsi="仿宋_GB2312" w:cs="仿宋_GB2312"/>
          <w:b/>
          <w:bCs/>
          <w:szCs w:val="32"/>
        </w:rPr>
        <w:t>.</w:t>
      </w:r>
      <w:r>
        <w:rPr>
          <w:rFonts w:hint="eastAsia" w:ascii="仿宋_GB2312" w:hAnsi="仿宋_GB2312" w:cs="仿宋_GB2312"/>
          <w:b/>
          <w:bCs/>
          <w:szCs w:val="32"/>
          <w:lang w:eastAsia="zh-CN"/>
        </w:rPr>
        <w:t>预算编制</w:t>
      </w:r>
    </w:p>
    <w:p w14:paraId="2E6D8BC6">
      <w:pPr>
        <w:snapToGrid w:val="0"/>
        <w:spacing w:line="360" w:lineRule="auto"/>
        <w:ind w:firstLine="616" w:firstLineChars="200"/>
        <w:rPr>
          <w:rFonts w:hint="eastAsia" w:ascii="仿宋_GB2312" w:hAnsi="仿宋_GB2312" w:cs="仿宋_GB2312"/>
          <w:bCs/>
          <w:highlight w:val="none"/>
        </w:rPr>
      </w:pPr>
      <w:r>
        <w:rPr>
          <w:rFonts w:hint="eastAsia" w:ascii="Times New Roman" w:hAnsi="Times New Roman" w:cs="Times New Roman"/>
          <w:szCs w:val="32"/>
          <w:lang w:val="en-US" w:eastAsia="zh-CN"/>
        </w:rPr>
        <w:t>（1）预算编制合理性及规范性。根据市委市政府方针政策和工作要求、本部门工作职责、年度工作重点和各项目的轻重缓急严格制定本部门年度预算。预算编制工作严格按照当年市财政部门印发的预算编制工作方案要求执行，在“数字政府”财政管理</w:t>
      </w:r>
      <w:r>
        <w:rPr>
          <w:rFonts w:hint="eastAsia" w:ascii="仿宋_GB2312" w:hAnsi="仿宋_GB2312" w:cs="仿宋_GB2312"/>
          <w:bCs/>
          <w:highlight w:val="none"/>
        </w:rPr>
        <w:t>平台做好部门项目入库管理和预算编制“二上二下”工作，规范预算编制。</w:t>
      </w:r>
    </w:p>
    <w:p w14:paraId="7BD67439">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bCs/>
          <w:szCs w:val="32"/>
        </w:rPr>
      </w:pPr>
      <w:r>
        <w:rPr>
          <w:rFonts w:hint="eastAsia" w:ascii="仿宋_GB2312" w:hAnsi="仿宋_GB2312" w:cs="仿宋_GB2312"/>
          <w:bCs/>
          <w:highlight w:val="none"/>
          <w:lang w:eastAsia="zh-CN"/>
        </w:rPr>
        <w:t>（</w:t>
      </w:r>
      <w:r>
        <w:rPr>
          <w:rFonts w:hint="eastAsia" w:ascii="仿宋_GB2312" w:hAnsi="仿宋_GB2312" w:cs="仿宋_GB2312"/>
          <w:bCs/>
          <w:highlight w:val="none"/>
          <w:lang w:val="en-US" w:eastAsia="zh-CN"/>
        </w:rPr>
        <w:t>2）</w:t>
      </w:r>
      <w:r>
        <w:rPr>
          <w:rFonts w:hint="eastAsia" w:ascii="仿宋_GB2312" w:hAnsi="仿宋_GB2312" w:cs="仿宋_GB2312"/>
          <w:bCs/>
          <w:highlight w:val="none"/>
        </w:rPr>
        <w:t>目标设置情况。根据绩效目标“合理性、完整性、明确性”原则做好绩效目标设置工作。一是整体绩效目标和项目绩效设置结合部门年度工作计划进行设置，并结合年度预算资金安排，合理安排资金项目，项目可行性得到进一步提高。二是按要求设置并申报部门整体绩效目标及项目绩效目标，202</w:t>
      </w:r>
      <w:r>
        <w:rPr>
          <w:rFonts w:hint="eastAsia" w:ascii="仿宋_GB2312" w:hAnsi="仿宋_GB2312" w:cs="仿宋_GB2312"/>
          <w:bCs/>
          <w:highlight w:val="none"/>
          <w:lang w:val="en-US" w:eastAsia="zh-CN"/>
        </w:rPr>
        <w:t>4</w:t>
      </w:r>
      <w:r>
        <w:rPr>
          <w:rFonts w:hint="eastAsia" w:ascii="仿宋_GB2312" w:hAnsi="仿宋_GB2312" w:cs="仿宋_GB2312"/>
          <w:bCs/>
          <w:highlight w:val="none"/>
        </w:rPr>
        <w:t>年根据市工作方案要求，我局申报了202</w:t>
      </w:r>
      <w:r>
        <w:rPr>
          <w:rFonts w:hint="eastAsia" w:ascii="仿宋_GB2312" w:hAnsi="仿宋_GB2312" w:cs="仿宋_GB2312"/>
          <w:bCs/>
          <w:highlight w:val="none"/>
          <w:lang w:val="en-US" w:eastAsia="zh-CN"/>
        </w:rPr>
        <w:t>4</w:t>
      </w:r>
      <w:r>
        <w:rPr>
          <w:rFonts w:hint="eastAsia" w:ascii="仿宋_GB2312" w:hAnsi="仿宋_GB2312" w:cs="仿宋_GB2312"/>
          <w:bCs/>
          <w:highlight w:val="none"/>
        </w:rPr>
        <w:t>年部门整体绩效目标和100万以上各项目的绩效目标，绩效目标申报覆盖全面、内容完整。三是认真学习对照《广东省省级财政预算绩效目标编制审核指南》和《阳江市财政支出项目绩效评价指标体系》，准确理解各类绩效指标内涵，结合项目具体特点，设置科学合理的绩效指标，将项目产出指标量化。</w:t>
      </w:r>
    </w:p>
    <w:p w14:paraId="3A2420BB">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bCs/>
          <w:szCs w:val="32"/>
        </w:rPr>
      </w:pPr>
      <w:bookmarkStart w:id="25" w:name="_Toc3319"/>
      <w:r>
        <w:rPr>
          <w:rFonts w:hint="eastAsia" w:cs="仿宋_GB2312"/>
          <w:b/>
          <w:bCs/>
          <w:szCs w:val="32"/>
        </w:rPr>
        <w:t>2</w:t>
      </w:r>
      <w:r>
        <w:rPr>
          <w:rFonts w:hint="eastAsia" w:ascii="仿宋_GB2312" w:hAnsi="仿宋_GB2312" w:cs="仿宋_GB2312"/>
          <w:b/>
          <w:bCs/>
          <w:szCs w:val="32"/>
        </w:rPr>
        <w:t>.</w:t>
      </w:r>
      <w:r>
        <w:rPr>
          <w:rFonts w:hint="eastAsia" w:ascii="仿宋_GB2312" w:hAnsi="仿宋_GB2312" w:cs="仿宋_GB2312"/>
          <w:b/>
          <w:bCs/>
          <w:szCs w:val="32"/>
          <w:lang w:eastAsia="zh-CN"/>
        </w:rPr>
        <w:t>预算执行</w:t>
      </w:r>
      <w:bookmarkEnd w:id="25"/>
    </w:p>
    <w:p w14:paraId="232A5A1F">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eastAsia="仿宋_GB2312" w:cs="仿宋_GB2312"/>
          <w:bCs/>
          <w:szCs w:val="32"/>
          <w:lang w:val="en-US" w:eastAsia="zh-CN"/>
        </w:rPr>
      </w:pPr>
      <w:r>
        <w:rPr>
          <w:rFonts w:hint="eastAsia" w:ascii="仿宋_GB2312" w:hAnsi="仿宋_GB2312" w:cs="仿宋_GB2312"/>
          <w:bCs/>
          <w:szCs w:val="32"/>
        </w:rPr>
        <w:t>预算编制约束性</w:t>
      </w:r>
      <w:r>
        <w:rPr>
          <w:rFonts w:hint="eastAsia" w:ascii="仿宋_GB2312" w:hAnsi="仿宋_GB2312" w:cs="仿宋_GB2312"/>
          <w:bCs/>
          <w:szCs w:val="32"/>
          <w:lang w:val="en-US" w:eastAsia="zh-CN"/>
        </w:rPr>
        <w:t>,</w:t>
      </w:r>
      <w:r>
        <w:rPr>
          <w:rFonts w:hint="eastAsia" w:ascii="仿宋_GB2312" w:hAnsi="仿宋_GB2312" w:cs="仿宋_GB2312"/>
          <w:highlight w:val="none"/>
        </w:rPr>
        <w:t>印发了《阳江市教育局预算绩效管理制度》《阳江市教育局内部控制制度》等制度，制度涵盖了预算绩效管理、日常收支管理、</w:t>
      </w:r>
      <w:r>
        <w:rPr>
          <w:rFonts w:hint="eastAsia" w:ascii="仿宋_GB2312" w:hAnsi="仿宋_GB2312" w:cs="仿宋_GB2312"/>
          <w:highlight w:val="none"/>
          <w:lang w:eastAsia="zh-CN"/>
        </w:rPr>
        <w:t>内部约束、</w:t>
      </w:r>
      <w:r>
        <w:rPr>
          <w:rFonts w:hint="eastAsia" w:ascii="仿宋_GB2312" w:hAnsi="仿宋_GB2312" w:cs="仿宋_GB2312"/>
          <w:highlight w:val="none"/>
        </w:rPr>
        <w:t>风险管理等各方面，加强岗位设置，提高部门业务管理水平和风险管理能力。</w:t>
      </w:r>
      <w:r>
        <w:rPr>
          <w:rFonts w:hint="eastAsia" w:ascii="仿宋_GB2312" w:hAnsi="仿宋" w:cs="仿宋"/>
          <w:highlight w:val="none"/>
        </w:rPr>
        <w:t>资金下达合规性</w:t>
      </w:r>
      <w:r>
        <w:rPr>
          <w:rFonts w:hint="eastAsia" w:ascii="仿宋_GB2312" w:hAnsi="仿宋" w:cs="仿宋"/>
          <w:highlight w:val="none"/>
          <w:lang w:val="en-US" w:eastAsia="zh-CN"/>
        </w:rPr>
        <w:t>,</w:t>
      </w:r>
      <w:r>
        <w:rPr>
          <w:rFonts w:hint="eastAsia" w:ascii="仿宋_GB2312" w:hAnsi="仿宋" w:cs="仿宋"/>
          <w:highlight w:val="none"/>
        </w:rPr>
        <w:t>预算支出经过充分论证决策，部门预算、项目预算及支出均经我局党组集体论证决策；项目资金根据市财务管理制度按程序及时下达，资金到位及时</w:t>
      </w:r>
      <w:r>
        <w:rPr>
          <w:rFonts w:hint="eastAsia" w:ascii="仿宋_GB2312" w:hAnsi="仿宋_GB2312" w:cs="仿宋_GB2312"/>
          <w:highlight w:val="none"/>
          <w:lang w:eastAsia="zh-CN"/>
        </w:rPr>
        <w:t>。</w:t>
      </w:r>
      <w:r>
        <w:rPr>
          <w:rFonts w:hint="eastAsia" w:ascii="仿宋_GB2312" w:hAnsi="仿宋_GB2312" w:cs="仿宋_GB2312"/>
          <w:bCs/>
          <w:szCs w:val="32"/>
        </w:rPr>
        <w:t>财务管理合规性</w:t>
      </w:r>
      <w:r>
        <w:rPr>
          <w:rFonts w:hint="eastAsia" w:ascii="仿宋_GB2312" w:hAnsi="仿宋_GB2312" w:cs="仿宋_GB2312"/>
          <w:bCs/>
          <w:szCs w:val="32"/>
          <w:lang w:eastAsia="zh-CN"/>
        </w:rPr>
        <w:t>，</w:t>
      </w:r>
      <w:r>
        <w:rPr>
          <w:rFonts w:hint="eastAsia" w:ascii="仿宋_GB2312" w:hAnsi="仿宋" w:cs="仿宋"/>
          <w:highlight w:val="none"/>
        </w:rPr>
        <w:t>基本支出管理、项目资金管理严格执行单位财务管理制度，会计核算规范，不存在支出依据不合规、虚列项目支出的情况，不存在截留、挤占、挪用项目资金情况。</w:t>
      </w:r>
    </w:p>
    <w:p w14:paraId="1B6238F9">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szCs w:val="32"/>
        </w:rPr>
      </w:pPr>
      <w:bookmarkStart w:id="26" w:name="_Toc29827"/>
      <w:r>
        <w:rPr>
          <w:rFonts w:hint="eastAsia" w:cs="仿宋_GB2312"/>
          <w:b/>
          <w:bCs/>
          <w:szCs w:val="32"/>
        </w:rPr>
        <w:t>3</w:t>
      </w:r>
      <w:r>
        <w:rPr>
          <w:rFonts w:hint="eastAsia" w:ascii="仿宋_GB2312" w:hAnsi="仿宋_GB2312" w:cs="仿宋_GB2312"/>
          <w:b/>
          <w:bCs/>
          <w:szCs w:val="32"/>
        </w:rPr>
        <w:t>.</w:t>
      </w:r>
      <w:r>
        <w:rPr>
          <w:rFonts w:hint="eastAsia" w:ascii="仿宋_GB2312" w:hAnsi="仿宋_GB2312" w:cs="仿宋_GB2312"/>
          <w:b/>
          <w:bCs/>
          <w:szCs w:val="32"/>
          <w:lang w:eastAsia="zh-CN"/>
        </w:rPr>
        <w:t>信息公开</w:t>
      </w:r>
      <w:bookmarkEnd w:id="26"/>
    </w:p>
    <w:p w14:paraId="2D7D3E73">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szCs w:val="32"/>
        </w:rPr>
      </w:pPr>
      <w:r>
        <w:rPr>
          <w:rFonts w:hint="eastAsia" w:eastAsia="仿宋_GB2312" w:cs="仿宋_GB2312"/>
          <w:color w:val="000000"/>
          <w:sz w:val="32"/>
          <w:szCs w:val="32"/>
          <w:highlight w:val="none"/>
        </w:rPr>
        <w:t>在财政部门批复本部门预算后，</w:t>
      </w:r>
      <w:r>
        <w:rPr>
          <w:rFonts w:hint="eastAsia" w:eastAsia="仿宋_GB2312" w:cs="仿宋_GB2312"/>
          <w:color w:val="000000"/>
          <w:sz w:val="32"/>
          <w:szCs w:val="32"/>
          <w:highlight w:val="none"/>
          <w:lang w:val="en-US" w:eastAsia="zh-CN"/>
        </w:rPr>
        <w:t>15日内</w:t>
      </w:r>
      <w:r>
        <w:rPr>
          <w:rFonts w:hint="eastAsia" w:eastAsia="仿宋_GB2312" w:cs="仿宋_GB2312"/>
          <w:color w:val="000000"/>
          <w:sz w:val="32"/>
          <w:szCs w:val="32"/>
          <w:highlight w:val="none"/>
        </w:rPr>
        <w:t>向所属各单位批复预算</w:t>
      </w:r>
      <w:r>
        <w:rPr>
          <w:rFonts w:hint="eastAsia" w:eastAsia="仿宋_GB2312" w:cs="仿宋_GB2312"/>
          <w:color w:val="000000"/>
          <w:sz w:val="32"/>
          <w:szCs w:val="32"/>
          <w:highlight w:val="none"/>
          <w:lang w:eastAsia="zh-CN"/>
        </w:rPr>
        <w:t>，</w:t>
      </w:r>
      <w:r>
        <w:rPr>
          <w:rFonts w:hint="eastAsia" w:eastAsia="仿宋_GB2312" w:cs="仿宋_GB2312"/>
          <w:color w:val="000000"/>
          <w:sz w:val="32"/>
          <w:szCs w:val="32"/>
          <w:highlight w:val="none"/>
          <w:lang w:val="en-US" w:eastAsia="zh-CN"/>
        </w:rPr>
        <w:t>20日内在</w:t>
      </w:r>
      <w:r>
        <w:rPr>
          <w:rFonts w:hint="eastAsia" w:eastAsia="仿宋_GB2312" w:cs="仿宋_GB2312"/>
          <w:color w:val="000000"/>
          <w:sz w:val="32"/>
          <w:szCs w:val="32"/>
          <w:highlight w:val="none"/>
          <w:lang w:eastAsia="zh-CN"/>
        </w:rPr>
        <w:t>政府网及时、完整、规范公开部门</w:t>
      </w:r>
      <w:r>
        <w:rPr>
          <w:rFonts w:hint="eastAsia" w:eastAsia="仿宋_GB2312" w:cs="仿宋_GB2312"/>
          <w:color w:val="000000"/>
          <w:sz w:val="32"/>
          <w:szCs w:val="32"/>
          <w:highlight w:val="none"/>
          <w:lang w:val="en-US" w:eastAsia="zh-CN"/>
        </w:rPr>
        <w:t>2024年</w:t>
      </w:r>
      <w:r>
        <w:rPr>
          <w:rFonts w:hint="eastAsia" w:eastAsia="仿宋_GB2312" w:cs="仿宋_GB2312"/>
          <w:color w:val="000000"/>
          <w:sz w:val="32"/>
          <w:szCs w:val="32"/>
          <w:highlight w:val="none"/>
          <w:lang w:eastAsia="zh-CN"/>
        </w:rPr>
        <w:t>预算；在财政部门批复本部门决算后，</w:t>
      </w:r>
      <w:r>
        <w:rPr>
          <w:rFonts w:hint="eastAsia" w:eastAsia="仿宋_GB2312" w:cs="仿宋_GB2312"/>
          <w:color w:val="000000"/>
          <w:sz w:val="32"/>
          <w:szCs w:val="32"/>
          <w:highlight w:val="none"/>
          <w:lang w:val="en-US" w:eastAsia="zh-CN"/>
        </w:rPr>
        <w:t>20日内</w:t>
      </w:r>
      <w:r>
        <w:rPr>
          <w:rFonts w:hint="eastAsia" w:eastAsia="仿宋_GB2312" w:cs="仿宋_GB2312"/>
          <w:color w:val="000000"/>
          <w:sz w:val="32"/>
          <w:szCs w:val="32"/>
          <w:highlight w:val="none"/>
          <w:lang w:eastAsia="zh-CN"/>
        </w:rPr>
        <w:t>在政府网及时、完整、规范公开部门</w:t>
      </w:r>
      <w:r>
        <w:rPr>
          <w:rFonts w:hint="eastAsia" w:eastAsia="仿宋_GB2312" w:cs="仿宋_GB2312"/>
          <w:color w:val="000000"/>
          <w:sz w:val="32"/>
          <w:szCs w:val="32"/>
          <w:highlight w:val="none"/>
          <w:lang w:val="en-US" w:eastAsia="zh-CN"/>
        </w:rPr>
        <w:t>2023年</w:t>
      </w:r>
      <w:r>
        <w:rPr>
          <w:rFonts w:hint="eastAsia" w:eastAsia="仿宋_GB2312" w:cs="仿宋_GB2312"/>
          <w:color w:val="000000"/>
          <w:sz w:val="32"/>
          <w:szCs w:val="32"/>
          <w:highlight w:val="none"/>
          <w:lang w:eastAsia="zh-CN"/>
        </w:rPr>
        <w:t>决算</w:t>
      </w:r>
      <w:r>
        <w:rPr>
          <w:rFonts w:hint="eastAsia" w:cs="仿宋_GB2312"/>
          <w:color w:val="000000"/>
          <w:sz w:val="32"/>
          <w:szCs w:val="32"/>
          <w:highlight w:val="none"/>
          <w:lang w:eastAsia="zh-CN"/>
        </w:rPr>
        <w:t>。部门整体绩效评价报告、第三方绩效评价报告等及时主动</w:t>
      </w:r>
      <w:r>
        <w:rPr>
          <w:rFonts w:hint="eastAsia" w:ascii="Times New Roman" w:hAnsi="Times New Roman" w:eastAsia="仿宋_GB2312" w:cs="仿宋_GB2312"/>
          <w:b w:val="0"/>
          <w:bCs w:val="0"/>
          <w:highlight w:val="none"/>
          <w:lang w:val="en-US" w:eastAsia="zh-CN"/>
        </w:rPr>
        <w:t>在政府网公开绩效评价信息</w:t>
      </w:r>
      <w:r>
        <w:rPr>
          <w:rFonts w:hint="eastAsia" w:cs="仿宋_GB2312"/>
          <w:b w:val="0"/>
          <w:bCs w:val="0"/>
          <w:highlight w:val="none"/>
          <w:lang w:val="en-US" w:eastAsia="zh-CN"/>
        </w:rPr>
        <w:t>。</w:t>
      </w:r>
    </w:p>
    <w:p w14:paraId="787039F4">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szCs w:val="32"/>
          <w:lang w:eastAsia="zh-CN"/>
        </w:rPr>
      </w:pPr>
      <w:bookmarkStart w:id="27" w:name="_Toc3788"/>
      <w:r>
        <w:rPr>
          <w:rFonts w:hint="eastAsia" w:cs="仿宋_GB2312"/>
          <w:b/>
          <w:bCs/>
          <w:szCs w:val="32"/>
        </w:rPr>
        <w:t>4</w:t>
      </w:r>
      <w:r>
        <w:rPr>
          <w:rFonts w:hint="eastAsia" w:ascii="仿宋_GB2312" w:hAnsi="仿宋_GB2312" w:cs="仿宋_GB2312"/>
          <w:b/>
          <w:bCs/>
          <w:szCs w:val="32"/>
        </w:rPr>
        <w:t>.</w:t>
      </w:r>
      <w:r>
        <w:rPr>
          <w:rFonts w:hint="eastAsia" w:ascii="仿宋_GB2312" w:hAnsi="仿宋_GB2312" w:cs="仿宋_GB2312"/>
          <w:b/>
          <w:bCs/>
          <w:szCs w:val="32"/>
          <w:lang w:eastAsia="zh-CN"/>
        </w:rPr>
        <w:t>绩效</w:t>
      </w:r>
      <w:r>
        <w:rPr>
          <w:rFonts w:hint="eastAsia" w:ascii="仿宋_GB2312" w:hAnsi="仿宋_GB2312" w:cs="仿宋_GB2312"/>
          <w:b/>
          <w:bCs/>
          <w:szCs w:val="32"/>
        </w:rPr>
        <w:t>管理</w:t>
      </w:r>
      <w:bookmarkEnd w:id="27"/>
    </w:p>
    <w:p w14:paraId="1686A1D3">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ascii="仿宋_GB2312" w:hAnsi="仿宋_GB2312" w:cs="仿宋_GB2312"/>
          <w:szCs w:val="32"/>
          <w:lang w:eastAsia="zh-CN"/>
        </w:rPr>
      </w:pPr>
      <w:r>
        <w:rPr>
          <w:rFonts w:hint="eastAsia" w:ascii="仿宋_GB2312" w:hAnsi="仿宋_GB2312" w:cs="仿宋_GB2312"/>
          <w:szCs w:val="32"/>
          <w:lang w:eastAsia="zh-CN"/>
        </w:rPr>
        <w:t>印发了《阳江市教育局预算绩效管理制度》，建立了内部绩效管理机制，开展事前、事中、事后绩效管理，年初制定预算绩效申报表，项目执行过程中跟踪绩效效益，项目执行后进行绩效评价并加强结果应用。</w:t>
      </w:r>
      <w:r>
        <w:rPr>
          <w:rFonts w:hint="eastAsia" w:ascii="仿宋_GB2312" w:hAnsi="仿宋_GB2312" w:cs="仿宋_GB2312"/>
          <w:szCs w:val="32"/>
          <w:lang w:val="en-US" w:eastAsia="zh-CN"/>
        </w:rPr>
        <w:t>2024年共开展了市本级教育费附加、地方教育费附加、教育专款、民生实事项目的绩效评价工作。</w:t>
      </w:r>
    </w:p>
    <w:p w14:paraId="67CA33FF">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ascii="Times New Roman" w:hAnsi="Times New Roman" w:cs="Times New Roman"/>
          <w:szCs w:val="32"/>
          <w:lang w:val="en-US" w:eastAsia="zh-CN"/>
        </w:rPr>
      </w:pPr>
      <w:r>
        <w:rPr>
          <w:rFonts w:hint="default" w:ascii="Times New Roman" w:hAnsi="Times New Roman" w:cs="Times New Roman"/>
          <w:b/>
          <w:bCs/>
          <w:szCs w:val="32"/>
          <w:lang w:val="en-US" w:eastAsia="zh-CN"/>
        </w:rPr>
        <w:t>5.采购管理</w:t>
      </w:r>
    </w:p>
    <w:p w14:paraId="231E3D5B">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ascii="Times New Roman" w:hAnsi="Times New Roman" w:cs="Times New Roman"/>
          <w:szCs w:val="32"/>
          <w:lang w:val="en-US" w:eastAsia="zh-CN"/>
        </w:rPr>
      </w:pPr>
      <w:r>
        <w:rPr>
          <w:rFonts w:hint="eastAsia" w:ascii="Times New Roman" w:hAnsi="Times New Roman" w:cs="Times New Roman"/>
          <w:szCs w:val="32"/>
          <w:lang w:val="en-US" w:eastAsia="zh-CN"/>
        </w:rPr>
        <w:t>严格执行政府采购制度，印发了《阳江市教育局政府采购管理制度（试行）》，按要求在“广东政府采购智慧云平台”开展采购，按平台流程执行采购活动，保证了采购</w:t>
      </w:r>
      <w:r>
        <w:rPr>
          <w:rFonts w:hint="default" w:ascii="Times New Roman" w:hAnsi="Times New Roman" w:cs="Times New Roman"/>
          <w:szCs w:val="32"/>
          <w:lang w:val="en-US" w:eastAsia="zh-CN"/>
        </w:rPr>
        <w:t>采购活动</w:t>
      </w:r>
      <w:r>
        <w:rPr>
          <w:rFonts w:hint="eastAsia" w:cs="Times New Roman"/>
          <w:szCs w:val="32"/>
          <w:lang w:val="en-US" w:eastAsia="zh-CN"/>
        </w:rPr>
        <w:t>的</w:t>
      </w:r>
      <w:r>
        <w:rPr>
          <w:rFonts w:hint="default" w:ascii="Times New Roman" w:hAnsi="Times New Roman" w:cs="Times New Roman"/>
          <w:szCs w:val="32"/>
          <w:lang w:val="en-US" w:eastAsia="zh-CN"/>
        </w:rPr>
        <w:t>合规性、采购合同签订</w:t>
      </w:r>
      <w:r>
        <w:rPr>
          <w:rFonts w:hint="eastAsia" w:cs="Times New Roman"/>
          <w:szCs w:val="32"/>
          <w:lang w:val="en-US" w:eastAsia="zh-CN"/>
        </w:rPr>
        <w:t>的</w:t>
      </w:r>
      <w:r>
        <w:rPr>
          <w:rFonts w:hint="default" w:ascii="Times New Roman" w:hAnsi="Times New Roman" w:cs="Times New Roman"/>
          <w:szCs w:val="32"/>
          <w:lang w:val="en-US" w:eastAsia="zh-CN"/>
        </w:rPr>
        <w:t>时效性、采购信息公开</w:t>
      </w:r>
      <w:r>
        <w:rPr>
          <w:rFonts w:hint="eastAsia" w:cs="Times New Roman"/>
          <w:szCs w:val="32"/>
          <w:lang w:val="en-US" w:eastAsia="zh-CN"/>
        </w:rPr>
        <w:t>透明</w:t>
      </w:r>
      <w:r>
        <w:rPr>
          <w:rFonts w:hint="default" w:ascii="Times New Roman" w:hAnsi="Times New Roman" w:cs="Times New Roman"/>
          <w:szCs w:val="32"/>
          <w:lang w:val="en-US" w:eastAsia="zh-CN"/>
        </w:rPr>
        <w:t>、采购履约及验收</w:t>
      </w:r>
      <w:r>
        <w:rPr>
          <w:rFonts w:hint="eastAsia" w:cs="Times New Roman"/>
          <w:szCs w:val="32"/>
          <w:lang w:val="en-US" w:eastAsia="zh-CN"/>
        </w:rPr>
        <w:t>手续齐备。</w:t>
      </w:r>
    </w:p>
    <w:p w14:paraId="4A72CD38">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ascii="Times New Roman" w:hAnsi="Times New Roman" w:cs="Times New Roman"/>
          <w:szCs w:val="32"/>
          <w:lang w:val="en-US" w:eastAsia="zh-CN"/>
        </w:rPr>
      </w:pPr>
      <w:r>
        <w:rPr>
          <w:rFonts w:hint="default" w:ascii="Times New Roman" w:hAnsi="Times New Roman" w:cs="Times New Roman"/>
          <w:b/>
          <w:bCs/>
          <w:szCs w:val="32"/>
          <w:lang w:val="en-US" w:eastAsia="zh-CN"/>
        </w:rPr>
        <w:t>6.资产管理</w:t>
      </w:r>
    </w:p>
    <w:p w14:paraId="15BD3B81">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ascii="Times New Roman" w:hAnsi="Times New Roman" w:cs="Times New Roman"/>
          <w:szCs w:val="32"/>
          <w:lang w:val="en-US" w:eastAsia="zh-CN"/>
        </w:rPr>
      </w:pPr>
      <w:r>
        <w:rPr>
          <w:rFonts w:hint="eastAsia" w:cs="仿宋_GB2312"/>
          <w:highlight w:val="none"/>
        </w:rPr>
        <w:t>制定了《阳江市教育局机关固定资产管理制度》,认真做好资产的日常管理工作，明晰产权关系，实施产权管理，保障资产的安全和完整，推动资产的合理配置和节约、有效使用；对使用的国有资产定期清查、统计，做到账账相符、账实相符，防止资产流失。</w:t>
      </w:r>
      <w:r>
        <w:rPr>
          <w:rFonts w:hint="eastAsia" w:cs="仿宋_GB2312"/>
          <w:highlight w:val="none"/>
          <w:lang w:val="en-US" w:eastAsia="zh-CN"/>
        </w:rPr>
        <w:t>2023年聘请第三方机构完成对我局固定资产盘点项目工作，截至2023年12月31日，本单位资产管理信息系统固定资产总金额为37,483,310.90元，其中实盘（账实相符）资产1,999.00条，共37,483,310.90元；盘亏资产0.00条，共0.00元。</w:t>
      </w:r>
    </w:p>
    <w:p w14:paraId="4D4DCE78">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eastAsia" w:cs="Times New Roman"/>
          <w:szCs w:val="32"/>
          <w:lang w:val="en-US" w:eastAsia="zh-CN"/>
        </w:rPr>
      </w:pPr>
      <w:r>
        <w:rPr>
          <w:rFonts w:hint="default" w:ascii="Times New Roman" w:hAnsi="Times New Roman" w:cs="Times New Roman"/>
          <w:b/>
          <w:bCs/>
          <w:szCs w:val="32"/>
          <w:lang w:val="en-US" w:eastAsia="zh-CN"/>
        </w:rPr>
        <w:t>7.运行成本</w:t>
      </w:r>
    </w:p>
    <w:p w14:paraId="5339E274">
      <w:pPr>
        <w:keepNext w:val="0"/>
        <w:keepLines w:val="0"/>
        <w:pageBreakBefore w:val="0"/>
        <w:widowControl w:val="0"/>
        <w:kinsoku/>
        <w:wordWrap/>
        <w:overflowPunct/>
        <w:topLinePunct w:val="0"/>
        <w:autoSpaceDE/>
        <w:autoSpaceDN/>
        <w:bidi w:val="0"/>
        <w:adjustRightInd/>
        <w:snapToGrid/>
        <w:spacing w:line="540" w:lineRule="exact"/>
        <w:ind w:firstLine="616" w:firstLineChars="200"/>
        <w:textAlignment w:val="auto"/>
        <w:outlineLvl w:val="9"/>
        <w:rPr>
          <w:rFonts w:hint="default" w:ascii="Times New Roman" w:hAnsi="Times New Roman" w:cs="仿宋_GB2312"/>
          <w:highlight w:val="none"/>
          <w:lang w:val="en-US" w:eastAsia="zh-CN"/>
        </w:rPr>
      </w:pPr>
      <w:r>
        <w:rPr>
          <w:rFonts w:hint="eastAsia" w:ascii="Times New Roman" w:hAnsi="Times New Roman" w:cs="仿宋_GB2312"/>
          <w:highlight w:val="none"/>
          <w:lang w:val="en-US" w:eastAsia="zh-CN"/>
        </w:rPr>
        <w:t>2024年度“三公”经费财政拨款支出决算为4.88万元，完成预算19万元的25.68%。其中：因公出国（境）支出决算为0万元，完成预算0万元的100%；公务用车购置及运行费支出决算为1.55万元，完成预算6.5万元的23.85%；公务接待费支出决算为3.33万元，完成预算12.5万元的26.64%。综上，2024年“三公”经费支出均低于预算安排经费。</w:t>
      </w:r>
    </w:p>
    <w:p w14:paraId="0019BE5B">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ascii="方正小标宋简体" w:eastAsia="方正小标宋简体"/>
        </w:rPr>
      </w:pPr>
      <w:bookmarkStart w:id="28" w:name="_Toc18975"/>
      <w:r>
        <w:rPr>
          <w:rFonts w:hint="eastAsia" w:ascii="方正小标宋简体" w:eastAsia="方正小标宋简体"/>
          <w:lang w:eastAsia="zh-CN"/>
        </w:rPr>
        <w:t>五</w:t>
      </w:r>
      <w:r>
        <w:rPr>
          <w:rFonts w:hint="eastAsia" w:ascii="方正小标宋简体" w:eastAsia="方正小标宋简体"/>
        </w:rPr>
        <w:t>、存在的问题、原因分析及改进措施</w:t>
      </w:r>
    </w:p>
    <w:p w14:paraId="0E37839F">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rPr>
      </w:pPr>
      <w:r>
        <w:rPr>
          <w:rFonts w:hint="eastAsia"/>
          <w:highlight w:val="none"/>
        </w:rPr>
        <w:t>近年来，财政部门推行了很多新的改革措施，部门预算编制、绩效评价等工作日趋完善，精细水平不断提高，实际工作中我局对标市里工作要求，仍然存在一些问题，如绩效管理意识薄弱、个别项目单位未制定项目实施方案、个别资金拨付不及时、项目实施进度缓慢、项目实施缺乏有效监管、绩效指标内容设置不合理等问题。针对问题，我局高度重视，对照标准认真查摆问题、分析原因，找出症结存在，提出改进措施：一是强化预算管理、严格按程序进行预算编制，确保预算编制的科学有效。二是认真学习相关制度办法，落实绩效管理职责，树立“有效安排、低效压减、无效问责”的绩效理念，更加注重结果导向、强调成本效益、硬化责任约束，通过绩效管理，进一步强化资金运用效能。三是加强项目调研，督促项目单位制定项目实施方案，合理合规安排财政专项资金。四是进一步加强资金使用效率，及时下拨资金，跟踪资金的支出进度，提高资金使用效率。五是完善制度体系建设，对项目实施全过程监管，特别是建立有效的考核管理机制，加强项目事前、事中、事后全过程监管，切实做到“事前有预测、事中有控制、事后有监督”。六是认真学习《广东省省级财政预算绩效目标编制审核指南》和《阳江市财政支出项目绩效评价指标体系》，准确理解各类绩效指标内涵，结合项目具体特点，设置科学合理的绩效指标，提高指标编制能力。</w:t>
      </w:r>
    </w:p>
    <w:p w14:paraId="18063267">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ascii="方正小标宋简体" w:eastAsia="方正小标宋简体"/>
        </w:rPr>
      </w:pPr>
      <w:r>
        <w:rPr>
          <w:rFonts w:hint="eastAsia" w:ascii="方正小标宋简体" w:eastAsia="方正小标宋简体"/>
          <w:lang w:eastAsia="zh-CN"/>
        </w:rPr>
        <w:t>六、</w:t>
      </w:r>
      <w:r>
        <w:rPr>
          <w:rFonts w:hint="eastAsia" w:ascii="方正小标宋简体" w:eastAsia="方正小标宋简体"/>
        </w:rPr>
        <w:t>其他需要说明的情况</w:t>
      </w:r>
    </w:p>
    <w:p w14:paraId="50FCF9ED">
      <w:pPr>
        <w:keepNext w:val="0"/>
        <w:keepLines w:val="0"/>
        <w:pageBreakBefore w:val="0"/>
        <w:widowControl w:val="0"/>
        <w:kinsoku/>
        <w:wordWrap/>
        <w:overflowPunct/>
        <w:topLinePunct w:val="0"/>
        <w:autoSpaceDE/>
        <w:autoSpaceDN/>
        <w:bidi w:val="0"/>
        <w:adjustRightInd/>
        <w:spacing w:line="540" w:lineRule="exact"/>
        <w:ind w:firstLine="616" w:firstLineChars="200"/>
        <w:textAlignment w:val="auto"/>
        <w:outlineLvl w:val="9"/>
        <w:rPr>
          <w:rFonts w:hint="eastAsia" w:eastAsia="仿宋_GB2312"/>
          <w:lang w:val="en-US" w:eastAsia="zh-CN"/>
        </w:rPr>
      </w:pPr>
      <w:r>
        <w:rPr>
          <w:rFonts w:hint="eastAsia"/>
          <w:lang w:val="en-US" w:eastAsia="zh-CN"/>
        </w:rPr>
        <w:t>无。</w:t>
      </w:r>
    </w:p>
    <w:bookmarkEnd w:id="28"/>
    <w:p w14:paraId="6B21013B"/>
    <w:sectPr>
      <w:headerReference r:id="rId3" w:type="default"/>
      <w:footerReference r:id="rId4" w:type="default"/>
      <w:pgSz w:w="11906" w:h="16838"/>
      <w:pgMar w:top="1701" w:right="1588" w:bottom="1644" w:left="1701" w:header="851" w:footer="992" w:gutter="0"/>
      <w:cols w:space="425" w:num="1"/>
      <w:docGrid w:type="linesAndChars" w:linePitch="562" w:charSpace="-25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1C658">
    <w:pPr>
      <w:pStyle w:val="4"/>
      <w:jc w:val="center"/>
    </w:pPr>
    <w:r>
      <w:fldChar w:fldCharType="begin"/>
    </w:r>
    <w:r>
      <w:instrText xml:space="preserve">PAGE   \* MERGEFORMAT</w:instrText>
    </w:r>
    <w:r>
      <w:fldChar w:fldCharType="separate"/>
    </w:r>
    <w:r>
      <w:rPr>
        <w:lang w:val="zh-CN"/>
      </w:rP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4428B">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10C937"/>
    <w:multiLevelType w:val="singleLevel"/>
    <w:tmpl w:val="0E10C93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jOWI2ZWMzZDNhMTUzYWU2ZTYxY2M5NWE0NjU4OTkifQ=="/>
  </w:docVars>
  <w:rsids>
    <w:rsidRoot w:val="00DA04CD"/>
    <w:rsid w:val="00000560"/>
    <w:rsid w:val="00007A67"/>
    <w:rsid w:val="00022542"/>
    <w:rsid w:val="000258AA"/>
    <w:rsid w:val="000D1E99"/>
    <w:rsid w:val="0012286D"/>
    <w:rsid w:val="00132593"/>
    <w:rsid w:val="00145B76"/>
    <w:rsid w:val="00170E39"/>
    <w:rsid w:val="001834A3"/>
    <w:rsid w:val="00195019"/>
    <w:rsid w:val="001B111B"/>
    <w:rsid w:val="001B4856"/>
    <w:rsid w:val="001D33F5"/>
    <w:rsid w:val="001E1FDF"/>
    <w:rsid w:val="001F07DA"/>
    <w:rsid w:val="001F096B"/>
    <w:rsid w:val="0023428B"/>
    <w:rsid w:val="00235EDE"/>
    <w:rsid w:val="00267E35"/>
    <w:rsid w:val="002A7F8F"/>
    <w:rsid w:val="002C4D92"/>
    <w:rsid w:val="002D7EDF"/>
    <w:rsid w:val="002E516E"/>
    <w:rsid w:val="002E5CB6"/>
    <w:rsid w:val="002F1311"/>
    <w:rsid w:val="00314DC0"/>
    <w:rsid w:val="00331AA1"/>
    <w:rsid w:val="00347820"/>
    <w:rsid w:val="00347914"/>
    <w:rsid w:val="00395359"/>
    <w:rsid w:val="003B7E05"/>
    <w:rsid w:val="003D4D40"/>
    <w:rsid w:val="004078CE"/>
    <w:rsid w:val="00410146"/>
    <w:rsid w:val="00413B2F"/>
    <w:rsid w:val="00421D22"/>
    <w:rsid w:val="0043014F"/>
    <w:rsid w:val="004531CF"/>
    <w:rsid w:val="004749F5"/>
    <w:rsid w:val="00486009"/>
    <w:rsid w:val="004B2E77"/>
    <w:rsid w:val="004D35D6"/>
    <w:rsid w:val="004D736E"/>
    <w:rsid w:val="00510F6B"/>
    <w:rsid w:val="00537F7E"/>
    <w:rsid w:val="00566EB1"/>
    <w:rsid w:val="00572A0D"/>
    <w:rsid w:val="00574D73"/>
    <w:rsid w:val="005B06B5"/>
    <w:rsid w:val="005B07DD"/>
    <w:rsid w:val="005B6EB7"/>
    <w:rsid w:val="005C28C3"/>
    <w:rsid w:val="005D4C3F"/>
    <w:rsid w:val="005E6FE2"/>
    <w:rsid w:val="00606F30"/>
    <w:rsid w:val="00620700"/>
    <w:rsid w:val="0062264E"/>
    <w:rsid w:val="006265B7"/>
    <w:rsid w:val="006317C3"/>
    <w:rsid w:val="00665117"/>
    <w:rsid w:val="00675A9A"/>
    <w:rsid w:val="006B0F8D"/>
    <w:rsid w:val="006D4795"/>
    <w:rsid w:val="00736CB1"/>
    <w:rsid w:val="0074594E"/>
    <w:rsid w:val="0075049C"/>
    <w:rsid w:val="00754811"/>
    <w:rsid w:val="007705F1"/>
    <w:rsid w:val="00781B6C"/>
    <w:rsid w:val="0078264B"/>
    <w:rsid w:val="007A1F56"/>
    <w:rsid w:val="007A7399"/>
    <w:rsid w:val="00804DCB"/>
    <w:rsid w:val="00816A2A"/>
    <w:rsid w:val="008428B2"/>
    <w:rsid w:val="0084340E"/>
    <w:rsid w:val="0086235A"/>
    <w:rsid w:val="00876A57"/>
    <w:rsid w:val="00880F2C"/>
    <w:rsid w:val="008B525A"/>
    <w:rsid w:val="008C30AE"/>
    <w:rsid w:val="008E75C3"/>
    <w:rsid w:val="0090022C"/>
    <w:rsid w:val="00982492"/>
    <w:rsid w:val="009D75F0"/>
    <w:rsid w:val="00A66BD5"/>
    <w:rsid w:val="00A813BE"/>
    <w:rsid w:val="00A8644D"/>
    <w:rsid w:val="00A91495"/>
    <w:rsid w:val="00AC5B70"/>
    <w:rsid w:val="00AF7207"/>
    <w:rsid w:val="00B05F42"/>
    <w:rsid w:val="00B12D08"/>
    <w:rsid w:val="00B32B1B"/>
    <w:rsid w:val="00B55F8F"/>
    <w:rsid w:val="00B857D8"/>
    <w:rsid w:val="00B953DC"/>
    <w:rsid w:val="00BA5204"/>
    <w:rsid w:val="00BE578A"/>
    <w:rsid w:val="00BF3EFE"/>
    <w:rsid w:val="00BF4502"/>
    <w:rsid w:val="00C005AF"/>
    <w:rsid w:val="00C10A76"/>
    <w:rsid w:val="00C112EA"/>
    <w:rsid w:val="00C13943"/>
    <w:rsid w:val="00C65605"/>
    <w:rsid w:val="00C8769E"/>
    <w:rsid w:val="00CD5F4B"/>
    <w:rsid w:val="00D24C0F"/>
    <w:rsid w:val="00D41CC7"/>
    <w:rsid w:val="00D45282"/>
    <w:rsid w:val="00D67E60"/>
    <w:rsid w:val="00D73EB4"/>
    <w:rsid w:val="00D74AD4"/>
    <w:rsid w:val="00D82FAA"/>
    <w:rsid w:val="00DA04CD"/>
    <w:rsid w:val="00DA43A7"/>
    <w:rsid w:val="00DA5CEB"/>
    <w:rsid w:val="00DC37C4"/>
    <w:rsid w:val="00DC4199"/>
    <w:rsid w:val="00DE17BB"/>
    <w:rsid w:val="00DF7A41"/>
    <w:rsid w:val="00E03302"/>
    <w:rsid w:val="00E21FA4"/>
    <w:rsid w:val="00E23CAC"/>
    <w:rsid w:val="00E3272E"/>
    <w:rsid w:val="00E71A39"/>
    <w:rsid w:val="00E82D5B"/>
    <w:rsid w:val="00EA4E69"/>
    <w:rsid w:val="00EC4520"/>
    <w:rsid w:val="00ED3E32"/>
    <w:rsid w:val="00ED5CA9"/>
    <w:rsid w:val="00EF1D42"/>
    <w:rsid w:val="00F04107"/>
    <w:rsid w:val="00F14CD1"/>
    <w:rsid w:val="00F43167"/>
    <w:rsid w:val="00F43EA4"/>
    <w:rsid w:val="00F57915"/>
    <w:rsid w:val="00FF40BF"/>
    <w:rsid w:val="0199754C"/>
    <w:rsid w:val="0265748B"/>
    <w:rsid w:val="02E419CC"/>
    <w:rsid w:val="03324A94"/>
    <w:rsid w:val="07FF7664"/>
    <w:rsid w:val="095B721E"/>
    <w:rsid w:val="0A8B6D96"/>
    <w:rsid w:val="0CA159D4"/>
    <w:rsid w:val="0CAD24F6"/>
    <w:rsid w:val="0ED97E3B"/>
    <w:rsid w:val="109D794B"/>
    <w:rsid w:val="10A67D57"/>
    <w:rsid w:val="12252338"/>
    <w:rsid w:val="16210154"/>
    <w:rsid w:val="195051E7"/>
    <w:rsid w:val="1A0758B3"/>
    <w:rsid w:val="1BBD409D"/>
    <w:rsid w:val="1DF83068"/>
    <w:rsid w:val="1EF6633E"/>
    <w:rsid w:val="1F253C3F"/>
    <w:rsid w:val="20FD7239"/>
    <w:rsid w:val="211762CF"/>
    <w:rsid w:val="226E2973"/>
    <w:rsid w:val="244F4FEC"/>
    <w:rsid w:val="25A927F6"/>
    <w:rsid w:val="271B5CA1"/>
    <w:rsid w:val="276E4454"/>
    <w:rsid w:val="279F4671"/>
    <w:rsid w:val="28D96C44"/>
    <w:rsid w:val="2A1A518F"/>
    <w:rsid w:val="2C496873"/>
    <w:rsid w:val="2CA36A90"/>
    <w:rsid w:val="2CB64E6F"/>
    <w:rsid w:val="30C05232"/>
    <w:rsid w:val="30DC5524"/>
    <w:rsid w:val="31BD2380"/>
    <w:rsid w:val="32F56799"/>
    <w:rsid w:val="332B3AC7"/>
    <w:rsid w:val="36AA0DE7"/>
    <w:rsid w:val="371E7166"/>
    <w:rsid w:val="3761554E"/>
    <w:rsid w:val="37B140CA"/>
    <w:rsid w:val="3A4C0FEB"/>
    <w:rsid w:val="3B3F1DAA"/>
    <w:rsid w:val="3DFC546C"/>
    <w:rsid w:val="40694DC0"/>
    <w:rsid w:val="40E203D3"/>
    <w:rsid w:val="414478E0"/>
    <w:rsid w:val="431F4A8A"/>
    <w:rsid w:val="436332AB"/>
    <w:rsid w:val="43C51BC9"/>
    <w:rsid w:val="4597570B"/>
    <w:rsid w:val="46202660"/>
    <w:rsid w:val="483E2094"/>
    <w:rsid w:val="4890686D"/>
    <w:rsid w:val="49681C10"/>
    <w:rsid w:val="49C03205"/>
    <w:rsid w:val="49E003ED"/>
    <w:rsid w:val="4B4A046A"/>
    <w:rsid w:val="4C3E6663"/>
    <w:rsid w:val="50B213CE"/>
    <w:rsid w:val="5163582E"/>
    <w:rsid w:val="578478DB"/>
    <w:rsid w:val="578D647B"/>
    <w:rsid w:val="58AA1B0C"/>
    <w:rsid w:val="59A10231"/>
    <w:rsid w:val="59A42175"/>
    <w:rsid w:val="5B19553C"/>
    <w:rsid w:val="5E102850"/>
    <w:rsid w:val="5ED17564"/>
    <w:rsid w:val="5F041B58"/>
    <w:rsid w:val="600128AE"/>
    <w:rsid w:val="608C39E9"/>
    <w:rsid w:val="619F5BD5"/>
    <w:rsid w:val="620D321D"/>
    <w:rsid w:val="63C118F1"/>
    <w:rsid w:val="64437109"/>
    <w:rsid w:val="657704D8"/>
    <w:rsid w:val="68D26659"/>
    <w:rsid w:val="69EE74C3"/>
    <w:rsid w:val="6A3401EC"/>
    <w:rsid w:val="6CA95923"/>
    <w:rsid w:val="6DD7433A"/>
    <w:rsid w:val="6E0C7681"/>
    <w:rsid w:val="6E796721"/>
    <w:rsid w:val="700C488E"/>
    <w:rsid w:val="711041C2"/>
    <w:rsid w:val="717107DF"/>
    <w:rsid w:val="734819F2"/>
    <w:rsid w:val="73F6628A"/>
    <w:rsid w:val="74033BE6"/>
    <w:rsid w:val="7565081C"/>
    <w:rsid w:val="76BE1C0E"/>
    <w:rsid w:val="79A50E6D"/>
    <w:rsid w:val="7C2B1EB0"/>
    <w:rsid w:val="7C6A553B"/>
    <w:rsid w:val="7DAF7182"/>
    <w:rsid w:val="7E6B2A38"/>
    <w:rsid w:val="7F047C1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_Style 5"/>
    <w:qFormat/>
    <w:uiPriority w:val="0"/>
    <w:pPr>
      <w:widowControl w:val="0"/>
      <w:ind w:firstLine="200" w:firstLineChars="200"/>
      <w:jc w:val="both"/>
    </w:pPr>
    <w:rPr>
      <w:rFonts w:ascii="Calibri" w:hAnsi="Calibri" w:eastAsia="宋体" w:cs="Times New Roman"/>
      <w:kern w:val="2"/>
      <w:sz w:val="24"/>
      <w:szCs w:val="22"/>
      <w:lang w:val="en-US" w:eastAsia="zh-CN" w:bidi="ar-SA"/>
    </w:rPr>
  </w:style>
  <w:style w:type="paragraph" w:customStyle="1" w:styleId="10">
    <w:name w:val="正文首行缩进 21"/>
    <w:basedOn w:val="1"/>
    <w:qFormat/>
    <w:uiPriority w:val="0"/>
    <w:pPr>
      <w:spacing w:line="360" w:lineRule="auto"/>
      <w:ind w:firstLine="420" w:firstLineChars="200"/>
      <w:textAlignment w:val="baseline"/>
    </w:pPr>
    <w:rPr>
      <w:rFonts w:eastAsia="宋体"/>
      <w:sz w:val="24"/>
    </w:rPr>
  </w:style>
  <w:style w:type="character" w:customStyle="1" w:styleId="11">
    <w:name w:val="UserStyle_0"/>
    <w:basedOn w:val="12"/>
    <w:qFormat/>
    <w:uiPriority w:val="0"/>
  </w:style>
  <w:style w:type="character" w:customStyle="1" w:styleId="12">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18</Pages>
  <Words>9548</Words>
  <Characters>10051</Characters>
  <Lines>21</Lines>
  <Paragraphs>10</Paragraphs>
  <TotalTime>9</TotalTime>
  <ScaleCrop>false</ScaleCrop>
  <LinksUpToDate>false</LinksUpToDate>
  <CharactersWithSpaces>10098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2020-07-14T08:14:00Z</dcterms:created>
  <dc:creator>shx</dc:creator>
  <cp:lastModifiedBy>yang</cp:lastModifiedBy>
  <cp:lastPrinted>2020-07-14T08:13:00Z</cp:lastPrinted>
  <dcterms:modified xsi:type="dcterms:W3CDTF">2025-10-17T08:55:03Z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CA94E21189FB4ECB9F9FD396C37FB64F_13</vt:lpwstr>
  </property>
  <property fmtid="{D5CDD505-2E9C-101B-9397-08002B2CF9AE}" pid="4" name="KSOTemplateDocerSaveRecord">
    <vt:lpwstr>eyJoZGlkIjoiMWE0ZmMxMThjOGExYTI3MjBmOGM3NjEyZDQ2ZGI0ZDIiLCJ1c2VySWQiOiIzMzUxODYwOTQifQ==</vt:lpwstr>
  </property>
</Properties>
</file>