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F04F6">
      <w:pPr>
        <w:spacing w:line="360" w:lineRule="auto"/>
        <w:jc w:val="center"/>
        <w:rPr>
          <w:rFonts w:hint="eastAsia" w:ascii="方正小标宋简体" w:eastAsia="方正小标宋简体"/>
          <w:sz w:val="44"/>
          <w:szCs w:val="44"/>
        </w:rPr>
      </w:pPr>
    </w:p>
    <w:p w14:paraId="73F1284F">
      <w:pPr>
        <w:spacing w:line="360" w:lineRule="auto"/>
        <w:jc w:val="center"/>
        <w:rPr>
          <w:rFonts w:ascii="方正小标宋简体" w:eastAsia="方正小标宋简体"/>
          <w:sz w:val="44"/>
          <w:szCs w:val="44"/>
        </w:rPr>
      </w:pPr>
      <w:r>
        <w:rPr>
          <w:rFonts w:hint="eastAsia" w:ascii="方正小标宋简体" w:eastAsia="方正小标宋简体"/>
          <w:sz w:val="44"/>
          <w:szCs w:val="44"/>
        </w:rPr>
        <w:t>部门整体支出绩效自评报告</w:t>
      </w:r>
    </w:p>
    <w:p w14:paraId="6F37F371"/>
    <w:p w14:paraId="1D0B9FA8"/>
    <w:p w14:paraId="55626E72"/>
    <w:p w14:paraId="70D9AD63"/>
    <w:p w14:paraId="76BC1343"/>
    <w:p w14:paraId="6FE657AE"/>
    <w:p w14:paraId="136ABFA1">
      <w:pPr>
        <w:jc w:val="center"/>
        <w:rPr>
          <w:rFonts w:hint="eastAsia" w:eastAsia="仿宋_GB2312"/>
          <w:lang w:eastAsia="zh-CN"/>
        </w:rPr>
      </w:pPr>
      <w:r>
        <w:rPr>
          <w:rFonts w:hint="eastAsia"/>
        </w:rPr>
        <w:t>部门名称（公章）：</w:t>
      </w:r>
      <w:r>
        <w:rPr>
          <w:rFonts w:hint="eastAsia" w:ascii="仿宋_GB2312"/>
          <w:lang w:eastAsia="zh-CN"/>
        </w:rPr>
        <w:t>阳江市公安局（本级）</w:t>
      </w:r>
    </w:p>
    <w:p w14:paraId="15FE3A30">
      <w:pPr>
        <w:jc w:val="center"/>
        <w:rPr>
          <w:rFonts w:hint="default" w:eastAsia="仿宋_GB2312"/>
          <w:lang w:val="en-US" w:eastAsia="zh-CN"/>
        </w:rPr>
      </w:pPr>
      <w:r>
        <w:rPr>
          <w:rFonts w:hint="eastAsia"/>
        </w:rPr>
        <w:t>填报日期：</w:t>
      </w:r>
      <w:r>
        <w:rPr>
          <w:rFonts w:hint="eastAsia"/>
          <w:lang w:val="en-US" w:eastAsia="zh-CN"/>
        </w:rPr>
        <w:t>2026年6月5日</w:t>
      </w:r>
    </w:p>
    <w:p w14:paraId="56EAB783"/>
    <w:p w14:paraId="2FD6F3F5"/>
    <w:p w14:paraId="2A0D6D85"/>
    <w:p w14:paraId="5A6591AB"/>
    <w:p w14:paraId="7AA31901"/>
    <w:p w14:paraId="0C8C9FC5"/>
    <w:p w14:paraId="27578DEB"/>
    <w:p w14:paraId="3042E0A4">
      <w:pPr>
        <w:rPr>
          <w:rFonts w:hint="eastAsia"/>
        </w:rPr>
      </w:pPr>
    </w:p>
    <w:p w14:paraId="6A195AD2">
      <w:pPr>
        <w:rPr>
          <w:rFonts w:hint="eastAsia"/>
        </w:rPr>
      </w:pPr>
    </w:p>
    <w:p w14:paraId="29A46432">
      <w:pPr>
        <w:jc w:val="center"/>
      </w:pPr>
      <w:r>
        <w:rPr>
          <w:rFonts w:hint="eastAsia"/>
        </w:rPr>
        <w:t>阳江市财政局制</w:t>
      </w:r>
    </w:p>
    <w:p w14:paraId="7FBAA23C">
      <w:pPr>
        <w:jc w:val="center"/>
        <w:rPr>
          <w:rFonts w:hint="eastAsia"/>
        </w:rPr>
      </w:pPr>
      <w:r>
        <w:rPr>
          <w:rFonts w:hint="eastAsia"/>
          <w:lang w:eastAsia="zh-CN"/>
        </w:rPr>
        <w:t>2026</w:t>
      </w:r>
      <w:r>
        <w:rPr>
          <w:rFonts w:hint="eastAsia"/>
        </w:rPr>
        <w:t>年</w:t>
      </w:r>
    </w:p>
    <w:p w14:paraId="5B765175">
      <w:pPr>
        <w:rPr>
          <w:rFonts w:hint="eastAsia"/>
        </w:rPr>
      </w:pPr>
    </w:p>
    <w:p w14:paraId="69ABD702">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方正小标宋简体" w:eastAsia="方正小标宋简体"/>
        </w:rPr>
      </w:pPr>
      <w:bookmarkStart w:id="0" w:name="_Toc8021_WPSOffice_Level2"/>
      <w:bookmarkStart w:id="1" w:name="_Toc28838"/>
    </w:p>
    <w:p w14:paraId="2A495F07">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ascii="方正小标宋简体" w:eastAsia="方正小标宋简体"/>
        </w:rPr>
      </w:pPr>
      <w:r>
        <w:rPr>
          <w:rFonts w:hint="eastAsia" w:ascii="方正小标宋简体" w:eastAsia="方正小标宋简体"/>
        </w:rPr>
        <w:t>一、部门基本情况</w:t>
      </w:r>
      <w:bookmarkEnd w:id="0"/>
      <w:bookmarkEnd w:id="1"/>
    </w:p>
    <w:p w14:paraId="67843AD7">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ascii="楷体_GB2312" w:eastAsia="楷体_GB2312"/>
          <w:b/>
          <w:bCs/>
          <w:szCs w:val="32"/>
        </w:rPr>
      </w:pPr>
      <w:bookmarkStart w:id="2" w:name="_Toc23683"/>
      <w:bookmarkStart w:id="3" w:name="_Toc5988_WPSOffice_Level3"/>
      <w:bookmarkStart w:id="4" w:name="_Toc30104"/>
      <w:r>
        <w:rPr>
          <w:rFonts w:hint="eastAsia" w:ascii="楷体_GB2312" w:eastAsia="楷体_GB2312"/>
          <w:b/>
          <w:bCs/>
          <w:szCs w:val="32"/>
        </w:rPr>
        <w:t>（一）部门整体概况</w:t>
      </w:r>
      <w:bookmarkEnd w:id="2"/>
      <w:bookmarkEnd w:id="3"/>
      <w:bookmarkEnd w:id="4"/>
      <w:bookmarkStart w:id="5" w:name="_Toc18779"/>
    </w:p>
    <w:bookmarkEnd w:id="5"/>
    <w:p w14:paraId="3081D16A">
      <w:pPr>
        <w:ind w:firstLine="616" w:firstLineChars="200"/>
        <w:rPr>
          <w:rFonts w:ascii="仿宋_GB2312" w:hAnsi="黑体"/>
          <w:b/>
          <w:bCs/>
          <w:szCs w:val="32"/>
        </w:rPr>
      </w:pPr>
      <w:bookmarkStart w:id="6" w:name="_Toc14936_WPSOffice_Level2"/>
      <w:bookmarkStart w:id="7" w:name="_Toc25996"/>
      <w:r>
        <w:rPr>
          <w:rFonts w:hint="eastAsia" w:ascii="仿宋_GB2312" w:hAnsi="黑体" w:cs="仿宋_GB2312"/>
          <w:b/>
          <w:bCs/>
          <w:szCs w:val="32"/>
        </w:rPr>
        <w:t>1、部门职能</w:t>
      </w:r>
    </w:p>
    <w:p w14:paraId="13E9B8E2">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阳江市公安局是阳江市人民政府组成部门，是全市公安工作的领导和指挥机关。主要职责是：</w:t>
      </w:r>
    </w:p>
    <w:p w14:paraId="481CE7A7">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eastAsia="zh-CN"/>
        </w:rPr>
        <w:t>贯彻党中央关于公安工作的方针政策和决策部署，落实市委、市政府和省公安厅的工作要求，拟订有关地方性法规、规章草案和规范性文件，部署、指导、监督、检查全市公安工作。</w:t>
      </w:r>
    </w:p>
    <w:p w14:paraId="3B483021">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lang w:eastAsia="zh-CN"/>
        </w:rPr>
        <w:t>掌握影响全市社会稳定、危害国家政治安全和社会治安的重要情况、重大风险，分析形势，制定对策，推动落实。</w:t>
      </w:r>
    </w:p>
    <w:p w14:paraId="5318EB1D">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（三）组织、指导全市公安机关侦查工作。</w:t>
      </w:r>
    </w:p>
    <w:p w14:paraId="47FBC1B3">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（四）负责治安管理工作。组织、指导、监督全市公安机关依法查处破坏社会治安秩序行为。</w:t>
      </w:r>
    </w:p>
    <w:p w14:paraId="75800595">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（五）组织、指导、监督全市公安机关维护道路交通安全、道路交通秩序以及开展机动车辆(不含拖拉机)、驾驶人管理工作。</w:t>
      </w:r>
    </w:p>
    <w:p w14:paraId="059B247E">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（六）实施并指导、监督全市公安机关对公共信息网络的安全保护工作，负责对信息安全等级保护工作的监督、检查、指导。</w:t>
      </w:r>
    </w:p>
    <w:p w14:paraId="58BE6DDC">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（七）组织、指导、协调禁毒和反走私工作。</w:t>
      </w:r>
    </w:p>
    <w:p w14:paraId="5F4E19A1">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（八）指导、监督全市公安机关依法承担的执行刑罚工作。指导、监督全市公安机关看守所、拘留所、强制隔离戒毒所等的管理工作。负责监察机关留置场所的看护勤务等有关工作。</w:t>
      </w:r>
    </w:p>
    <w:p w14:paraId="0BC66ADD">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（九）负责国家规定的特定人员在阳江的安全警卫工作。</w:t>
      </w:r>
    </w:p>
    <w:p w14:paraId="1F635CE8">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（十）组织实施公安科学技术工作，规划全市公安机关的指挥系统、大数据技术、警务技术建设。</w:t>
      </w:r>
    </w:p>
    <w:p w14:paraId="048F1D8D">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（十一）组织、指导全市公安机关警务被装和装备管理工作。负责全市警用航空器运行、安全和管理有关工作。</w:t>
      </w:r>
    </w:p>
    <w:p w14:paraId="21E6210B">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（十二）负责阳江公安机关与国际刑警组织、境外警方的警务合作与执法联络。牵头负责境外非政府组织在市内活动的管理工作。</w:t>
      </w:r>
    </w:p>
    <w:p w14:paraId="5181EEEC">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（十三）指导全市公安队伍建设工作，拟订全市公安队伍监督管理工作制度，按规定权限监督管理干部。组织、指导全市公安机关督察工作，查处或督办全市公安队伍重大违纪案件。</w:t>
      </w:r>
    </w:p>
    <w:p w14:paraId="08D4DC46">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（十四）依法管理出境入境和外国人在阳江境内停留居留的有关工作。</w:t>
      </w:r>
    </w:p>
    <w:p w14:paraId="54AD6648">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outlineLvl w:val="9"/>
        <w:rPr>
          <w:rFonts w:hint="eastAsia" w:ascii="仿宋_GB2312" w:hAnsi="仿宋" w:eastAsia="仿宋_GB2312" w:cs="仿宋_GB2312"/>
          <w:sz w:val="32"/>
          <w:szCs w:val="32"/>
        </w:rPr>
      </w:pPr>
      <w:r>
        <w:rPr>
          <w:rFonts w:hint="default" w:ascii="Times New Roman" w:hAnsi="Times New Roman" w:eastAsia="仿宋_GB2312" w:cs="Times New Roman"/>
          <w:sz w:val="32"/>
          <w:szCs w:val="32"/>
          <w:lang w:eastAsia="zh-CN"/>
        </w:rPr>
        <w:t>（十五）完成市委、市政府和省公安厅交办的其他任务。</w:t>
      </w:r>
    </w:p>
    <w:p w14:paraId="3012D8C6">
      <w:pPr>
        <w:ind w:firstLine="616" w:firstLineChars="200"/>
        <w:rPr>
          <w:rFonts w:ascii="仿宋_GB2312" w:hAnsi="仿宋" w:cs="仿宋_GB2312"/>
          <w:b/>
          <w:szCs w:val="32"/>
        </w:rPr>
      </w:pPr>
      <w:r>
        <w:rPr>
          <w:rFonts w:hint="eastAsia" w:ascii="仿宋_GB2312" w:hAnsi="仿宋" w:cs="仿宋_GB2312"/>
          <w:b/>
          <w:szCs w:val="32"/>
        </w:rPr>
        <w:t>2、</w:t>
      </w:r>
      <w:r>
        <w:rPr>
          <w:rFonts w:hint="eastAsia" w:ascii="仿宋_GB2312" w:hAnsi="仿宋" w:cs="仿宋_GB2312"/>
          <w:b/>
          <w:bCs/>
          <w:szCs w:val="32"/>
        </w:rPr>
        <w:t>内设机构</w:t>
      </w:r>
    </w:p>
    <w:p w14:paraId="5A01730C">
      <w:pPr>
        <w:keepNext w:val="0"/>
        <w:keepLines w:val="0"/>
        <w:widowControl/>
        <w:suppressLineNumbers w:val="0"/>
        <w:ind w:firstLine="576" w:firstLineChars="200"/>
        <w:jc w:val="left"/>
      </w:pPr>
      <w:r>
        <w:rPr>
          <w:rFonts w:ascii="仿宋" w:hAnsi="仿宋" w:eastAsia="仿宋" w:cs="仿宋"/>
          <w:color w:val="000000"/>
          <w:kern w:val="0"/>
          <w:sz w:val="30"/>
          <w:szCs w:val="30"/>
          <w:lang w:val="en-US" w:eastAsia="zh-CN" w:bidi="ar"/>
        </w:rPr>
        <w:t>阳江市公安局内设24个机构、支队建制的3个直属行政</w:t>
      </w:r>
      <w:r>
        <w:rPr>
          <w:rFonts w:hint="eastAsia" w:ascii="仿宋" w:hAnsi="仿宋" w:eastAsia="仿宋" w:cs="仿宋"/>
          <w:color w:val="000000"/>
          <w:kern w:val="0"/>
          <w:sz w:val="30"/>
          <w:szCs w:val="30"/>
          <w:lang w:val="en-US" w:eastAsia="zh-CN" w:bidi="ar"/>
        </w:rPr>
        <w:t>单位（因科室名称涉密，不作公开）；1个事业单位（警务辅助中心）(非独立核算单位)。</w:t>
      </w:r>
    </w:p>
    <w:p w14:paraId="2CCC3616">
      <w:pPr>
        <w:ind w:firstLine="616" w:firstLineChars="200"/>
        <w:rPr>
          <w:rFonts w:ascii="仿宋_GB2312" w:hAnsi="仿宋_GB2312" w:cs="仿宋_GB2312"/>
          <w:bCs/>
          <w:szCs w:val="32"/>
        </w:rPr>
      </w:pPr>
      <w:r>
        <w:rPr>
          <w:rFonts w:hint="eastAsia" w:ascii="仿宋_GB2312" w:hAnsi="仿宋"/>
          <w:b/>
          <w:szCs w:val="32"/>
        </w:rPr>
        <w:t>3、</w:t>
      </w:r>
      <w:r>
        <w:rPr>
          <w:rFonts w:hint="eastAsia" w:ascii="仿宋_GB2312" w:hAnsi="仿宋" w:cs="仿宋_GB2312"/>
          <w:b/>
          <w:bCs/>
          <w:szCs w:val="32"/>
        </w:rPr>
        <w:t>人员编制</w:t>
      </w:r>
    </w:p>
    <w:p w14:paraId="29B90C06">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cs="Times New Roman"/>
          <w:sz w:val="32"/>
          <w:szCs w:val="32"/>
          <w:lang w:eastAsia="zh-CN"/>
        </w:rPr>
      </w:pPr>
      <w:r>
        <w:rPr>
          <w:rFonts w:hint="default" w:ascii="Times New Roman" w:hAnsi="Times New Roman" w:eastAsia="仿宋_GB2312" w:cs="Times New Roman"/>
          <w:sz w:val="32"/>
          <w:szCs w:val="32"/>
          <w:lang w:eastAsia="zh-CN"/>
        </w:rPr>
        <w:t>阳江市公安局属全额拨款行政机关，行政级别正处级</w:t>
      </w:r>
      <w:r>
        <w:rPr>
          <w:rFonts w:hint="eastAsia" w:cs="Times New Roman"/>
          <w:sz w:val="32"/>
          <w:szCs w:val="32"/>
          <w:lang w:eastAsia="zh-CN"/>
        </w:rPr>
        <w:t>（</w:t>
      </w:r>
      <w:r>
        <w:rPr>
          <w:rFonts w:hint="eastAsia" w:ascii="仿宋" w:hAnsi="仿宋" w:eastAsia="仿宋" w:cs="仿宋"/>
          <w:color w:val="000000"/>
          <w:kern w:val="0"/>
          <w:sz w:val="30"/>
          <w:szCs w:val="30"/>
          <w:lang w:val="en-US" w:eastAsia="zh-CN" w:bidi="ar"/>
        </w:rPr>
        <w:t>因单位人员编制涉密，不作公开</w:t>
      </w:r>
      <w:r>
        <w:rPr>
          <w:rFonts w:hint="eastAsia" w:cs="Times New Roman"/>
          <w:sz w:val="32"/>
          <w:szCs w:val="32"/>
          <w:lang w:eastAsia="zh-CN"/>
        </w:rPr>
        <w:t>）。</w:t>
      </w:r>
    </w:p>
    <w:p w14:paraId="126CF2D1">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ascii="楷体_GB2312" w:eastAsia="楷体_GB2312"/>
          <w:b/>
          <w:bCs/>
          <w:szCs w:val="32"/>
        </w:rPr>
      </w:pPr>
      <w:r>
        <w:rPr>
          <w:rFonts w:hint="eastAsia" w:ascii="楷体_GB2312" w:eastAsia="楷体_GB2312"/>
          <w:b/>
          <w:bCs/>
          <w:szCs w:val="32"/>
        </w:rPr>
        <w:t>（二）年度总体工作和重点工作任务</w:t>
      </w:r>
      <w:bookmarkEnd w:id="6"/>
      <w:bookmarkEnd w:id="7"/>
    </w:p>
    <w:p w14:paraId="7F1172A6">
      <w:pPr>
        <w:ind w:firstLine="616" w:firstLineChars="200"/>
        <w:rPr>
          <w:rFonts w:hint="default" w:ascii="仿宋_GB2312" w:hAnsi="仿宋"/>
          <w:szCs w:val="32"/>
          <w:lang w:val="en-US" w:eastAsia="zh-CN"/>
        </w:rPr>
      </w:pPr>
      <w:r>
        <w:rPr>
          <w:rFonts w:hint="default" w:ascii="仿宋_GB2312" w:hAnsi="仿宋"/>
          <w:szCs w:val="32"/>
          <w:lang w:val="en-US" w:eastAsia="zh-CN"/>
        </w:rPr>
        <w:t>2025年，在省公安厅和市委、市政府的正确领导下，全市公安机关坚持以习近平新时代中国特色社会主义思想为指导，树立“确保平安稳定就是第一责任”的朴实政绩观，坚持“精准抓好每一天”，聚焦最突出治安问题和工作短板强化攻坚，全力防风险、保安全、护稳定、促发展，确保了我市社会大局持续平安稳定，实现“两个下降”和“六个不发生”目标，获省级贺电及通报表扬12份,省公安厅和市委、市政府主要领导肯定批示16次。</w:t>
      </w:r>
    </w:p>
    <w:p w14:paraId="2E687A99">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仿宋_GB2312" w:hAnsi="仿宋"/>
          <w:szCs w:val="32"/>
          <w:lang w:val="en-US" w:eastAsia="zh-CN"/>
        </w:rPr>
      </w:pPr>
      <w:r>
        <w:rPr>
          <w:rFonts w:hint="eastAsia" w:cs="仿宋_GB2312"/>
          <w:bCs/>
          <w:szCs w:val="32"/>
          <w:lang w:eastAsia="zh-CN"/>
        </w:rPr>
        <w:t>2025</w:t>
      </w:r>
      <w:r>
        <w:rPr>
          <w:rFonts w:hint="eastAsia" w:ascii="仿宋_GB2312" w:hAnsi="仿宋_GB2312" w:cs="仿宋_GB2312"/>
          <w:bCs/>
          <w:szCs w:val="32"/>
        </w:rPr>
        <w:t>年重点工作任务</w:t>
      </w:r>
      <w:r>
        <w:rPr>
          <w:rFonts w:hint="eastAsia" w:ascii="仿宋_GB2312" w:hAnsi="仿宋_GB2312" w:cs="仿宋_GB2312"/>
          <w:bCs/>
          <w:szCs w:val="32"/>
          <w:lang w:eastAsia="zh-CN"/>
        </w:rPr>
        <w:t>：</w:t>
      </w:r>
      <w:r>
        <w:rPr>
          <w:rFonts w:hint="default" w:ascii="仿宋_GB2312" w:hAnsi="仿宋"/>
          <w:szCs w:val="32"/>
          <w:lang w:val="en-US" w:eastAsia="zh-CN"/>
        </w:rPr>
        <w:t>一、狠抓重大风险防范化解，牢牢守住了维护社会稳定底线</w:t>
      </w:r>
      <w:r>
        <w:rPr>
          <w:rFonts w:hint="eastAsia" w:ascii="仿宋_GB2312" w:hAnsi="仿宋"/>
          <w:szCs w:val="32"/>
          <w:lang w:val="en-US" w:eastAsia="zh-CN"/>
        </w:rPr>
        <w:t>；</w:t>
      </w:r>
      <w:r>
        <w:rPr>
          <w:rFonts w:hint="default" w:ascii="仿宋_GB2312" w:hAnsi="仿宋"/>
          <w:szCs w:val="32"/>
          <w:lang w:val="en-US" w:eastAsia="zh-CN"/>
        </w:rPr>
        <w:t>深耕打击治理主责主业，持续保持了发案下降良好态势</w:t>
      </w:r>
      <w:r>
        <w:rPr>
          <w:rFonts w:hint="eastAsia" w:ascii="仿宋_GB2312" w:hAnsi="仿宋"/>
          <w:szCs w:val="32"/>
          <w:lang w:val="en-US" w:eastAsia="zh-CN"/>
        </w:rPr>
        <w:t>；二</w:t>
      </w:r>
      <w:r>
        <w:rPr>
          <w:rFonts w:hint="default" w:ascii="仿宋_GB2312" w:hAnsi="仿宋"/>
          <w:szCs w:val="32"/>
          <w:lang w:val="en-US" w:eastAsia="zh-CN"/>
        </w:rPr>
        <w:t>、严密社会治安整体防控，有效筑牢了预防安全事故防线</w:t>
      </w:r>
      <w:r>
        <w:rPr>
          <w:rFonts w:hint="eastAsia" w:ascii="仿宋_GB2312" w:hAnsi="仿宋"/>
          <w:szCs w:val="32"/>
          <w:lang w:val="en-US" w:eastAsia="zh-CN"/>
        </w:rPr>
        <w:t>；三</w:t>
      </w:r>
      <w:r>
        <w:rPr>
          <w:rFonts w:hint="default" w:ascii="仿宋_GB2312" w:hAnsi="仿宋"/>
          <w:szCs w:val="32"/>
          <w:lang w:val="en-US" w:eastAsia="zh-CN"/>
        </w:rPr>
        <w:t>、健全现代警务运行体系，公安机关新质战斗力加快形成</w:t>
      </w:r>
      <w:r>
        <w:rPr>
          <w:rFonts w:hint="eastAsia" w:ascii="仿宋_GB2312" w:hAnsi="仿宋"/>
          <w:szCs w:val="32"/>
          <w:lang w:val="en-US" w:eastAsia="zh-CN"/>
        </w:rPr>
        <w:t>；四</w:t>
      </w:r>
      <w:r>
        <w:rPr>
          <w:rFonts w:hint="default" w:ascii="仿宋_GB2312" w:hAnsi="仿宋"/>
          <w:szCs w:val="32"/>
          <w:lang w:val="en-US" w:eastAsia="zh-CN"/>
        </w:rPr>
        <w:t>、锻造忠诚干净担当铁军，队伍凝聚力向心力不断增强</w:t>
      </w:r>
      <w:r>
        <w:rPr>
          <w:rFonts w:hint="eastAsia" w:ascii="仿宋_GB2312" w:hAnsi="仿宋"/>
          <w:szCs w:val="32"/>
          <w:lang w:val="en-US" w:eastAsia="zh-CN"/>
        </w:rPr>
        <w:t>。</w:t>
      </w:r>
    </w:p>
    <w:p w14:paraId="58E21D38">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16" w:firstLineChars="200"/>
        <w:textAlignment w:val="auto"/>
        <w:outlineLvl w:val="9"/>
        <w:rPr>
          <w:rFonts w:hint="eastAsia" w:ascii="楷体_GB2312" w:eastAsia="楷体_GB2312"/>
          <w:b/>
          <w:bCs/>
          <w:szCs w:val="32"/>
        </w:rPr>
      </w:pPr>
      <w:r>
        <w:rPr>
          <w:rFonts w:hint="eastAsia" w:ascii="楷体_GB2312" w:eastAsia="楷体_GB2312"/>
          <w:b/>
          <w:bCs/>
          <w:szCs w:val="32"/>
        </w:rPr>
        <w:t>部门整体支出情况</w:t>
      </w:r>
    </w:p>
    <w:p w14:paraId="04D0EEA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16" w:firstLineChars="200"/>
        <w:textAlignment w:val="auto"/>
        <w:outlineLvl w:val="9"/>
        <w:rPr>
          <w:rFonts w:hint="eastAsia" w:ascii="楷体_GB2312" w:eastAsia="楷体_GB2312"/>
          <w:b/>
          <w:bCs/>
          <w:szCs w:val="32"/>
        </w:rPr>
      </w:pPr>
      <w:r>
        <w:rPr>
          <w:rFonts w:hint="eastAsia" w:ascii="仿宋_GB2312" w:hAnsi="仿宋"/>
          <w:b/>
          <w:lang w:val="en-US" w:eastAsia="zh-CN"/>
        </w:rPr>
        <w:t>1</w:t>
      </w:r>
      <w:r>
        <w:rPr>
          <w:rFonts w:hint="eastAsia" w:ascii="仿宋_GB2312" w:hAnsi="仿宋"/>
          <w:b/>
        </w:rPr>
        <w:t>、</w:t>
      </w:r>
      <w:r>
        <w:rPr>
          <w:rFonts w:hint="eastAsia" w:ascii="仿宋_GB2312" w:hAnsi="仿宋"/>
          <w:b/>
          <w:lang w:val="en-US" w:eastAsia="zh-CN"/>
        </w:rPr>
        <w:t>2025年总体收支情况</w:t>
      </w:r>
    </w:p>
    <w:p w14:paraId="474C0EA7">
      <w:pPr>
        <w:ind w:firstLine="616" w:firstLineChars="200"/>
        <w:rPr>
          <w:rFonts w:ascii="仿宋_GB2312" w:hAnsi="仿宋_GB2312" w:cs="仿宋_GB2312"/>
          <w:sz w:val="30"/>
          <w:szCs w:val="30"/>
        </w:rPr>
      </w:pPr>
      <w:r>
        <w:rPr>
          <w:rFonts w:hint="eastAsia" w:ascii="仿宋_GB2312" w:hAnsi="仿宋"/>
        </w:rPr>
        <w:t>202</w:t>
      </w:r>
      <w:r>
        <w:rPr>
          <w:rFonts w:hint="eastAsia" w:ascii="仿宋_GB2312" w:hAnsi="仿宋"/>
          <w:lang w:val="en-US" w:eastAsia="zh-CN"/>
        </w:rPr>
        <w:t>5</w:t>
      </w:r>
      <w:r>
        <w:rPr>
          <w:rFonts w:hint="eastAsia" w:ascii="仿宋_GB2312" w:hAnsi="仿宋"/>
        </w:rPr>
        <w:t>年阳江市公安局总收入</w:t>
      </w:r>
      <w:r>
        <w:rPr>
          <w:rFonts w:hint="eastAsia" w:ascii="仿宋_GB2312" w:hAnsi="仿宋"/>
          <w:lang w:val="en-US" w:eastAsia="zh-CN"/>
        </w:rPr>
        <w:t>60142.92</w:t>
      </w:r>
      <w:r>
        <w:rPr>
          <w:rFonts w:hint="eastAsia" w:ascii="仿宋_GB2312" w:hAnsi="仿宋"/>
        </w:rPr>
        <w:t>万元，其中一般公共预算财政拨款收入</w:t>
      </w:r>
      <w:r>
        <w:rPr>
          <w:rFonts w:hint="eastAsia" w:ascii="仿宋_GB2312" w:hAnsi="仿宋"/>
          <w:lang w:val="en-US" w:eastAsia="zh-CN"/>
        </w:rPr>
        <w:t>52524.34</w:t>
      </w:r>
      <w:r>
        <w:rPr>
          <w:rFonts w:hint="eastAsia" w:ascii="仿宋_GB2312" w:hAnsi="仿宋"/>
        </w:rPr>
        <w:t>万元、政府性基金预算财政拨款收入</w:t>
      </w:r>
      <w:r>
        <w:rPr>
          <w:rFonts w:hint="eastAsia" w:ascii="仿宋_GB2312" w:hAnsi="仿宋"/>
          <w:lang w:val="en-US" w:eastAsia="zh-CN"/>
        </w:rPr>
        <w:t>6814.04</w:t>
      </w:r>
      <w:r>
        <w:rPr>
          <w:rFonts w:hint="eastAsia" w:ascii="仿宋_GB2312" w:hAnsi="仿宋"/>
        </w:rPr>
        <w:t>万元、其他收入</w:t>
      </w:r>
      <w:r>
        <w:rPr>
          <w:rFonts w:hint="eastAsia" w:ascii="仿宋_GB2312" w:hAnsi="仿宋"/>
          <w:lang w:val="en-US" w:eastAsia="zh-CN"/>
        </w:rPr>
        <w:t>804.54</w:t>
      </w:r>
      <w:r>
        <w:rPr>
          <w:rFonts w:hint="eastAsia" w:ascii="仿宋_GB2312" w:hAnsi="仿宋"/>
        </w:rPr>
        <w:t>万元。</w:t>
      </w:r>
    </w:p>
    <w:p w14:paraId="721AECD8">
      <w:pPr>
        <w:keepNext w:val="0"/>
        <w:keepLines w:val="0"/>
        <w:pageBreakBefore w:val="0"/>
        <w:widowControl w:val="0"/>
        <w:kinsoku/>
        <w:wordWrap/>
        <w:overflowPunct/>
        <w:topLinePunct w:val="0"/>
        <w:autoSpaceDE/>
        <w:autoSpaceDN/>
        <w:bidi w:val="0"/>
        <w:adjustRightInd/>
        <w:snapToGrid/>
        <w:ind w:firstLine="616" w:firstLineChars="200"/>
        <w:textAlignment w:val="auto"/>
        <w:rPr>
          <w:rFonts w:ascii="仿宋_GB2312" w:hAnsi="仿宋"/>
        </w:rPr>
      </w:pPr>
      <w:r>
        <w:rPr>
          <w:rFonts w:hint="eastAsia" w:ascii="仿宋_GB2312" w:hAnsi="仿宋"/>
        </w:rPr>
        <w:t>202</w:t>
      </w:r>
      <w:r>
        <w:rPr>
          <w:rFonts w:hint="eastAsia" w:ascii="仿宋_GB2312" w:hAnsi="仿宋"/>
          <w:lang w:val="en-US" w:eastAsia="zh-CN"/>
        </w:rPr>
        <w:t>5</w:t>
      </w:r>
      <w:r>
        <w:rPr>
          <w:rFonts w:hint="eastAsia" w:ascii="仿宋_GB2312" w:hAnsi="仿宋"/>
        </w:rPr>
        <w:t>年阳江市公安</w:t>
      </w:r>
      <w:r>
        <w:rPr>
          <w:rFonts w:hint="eastAsia" w:ascii="仿宋_GB2312" w:hAnsi="仿宋"/>
          <w:color w:val="000000" w:themeColor="text1"/>
        </w:rPr>
        <w:t>局总支出</w:t>
      </w:r>
      <w:r>
        <w:rPr>
          <w:rFonts w:hint="eastAsia" w:ascii="仿宋_GB2312" w:hAnsi="仿宋"/>
          <w:color w:val="000000" w:themeColor="text1"/>
          <w:lang w:val="en-US" w:eastAsia="zh-CN"/>
        </w:rPr>
        <w:t>56106.96</w:t>
      </w:r>
      <w:r>
        <w:rPr>
          <w:rFonts w:hint="eastAsia" w:ascii="仿宋_GB2312" w:hAnsi="仿宋"/>
          <w:color w:val="000000" w:themeColor="text1"/>
        </w:rPr>
        <w:t>万元（包括工资福利支出</w:t>
      </w:r>
      <w:r>
        <w:rPr>
          <w:rFonts w:hint="eastAsia" w:ascii="仿宋_GB2312" w:hAnsi="仿宋"/>
          <w:color w:val="000000" w:themeColor="text1"/>
          <w:lang w:val="en-US" w:eastAsia="zh-CN"/>
        </w:rPr>
        <w:t>39329.87</w:t>
      </w:r>
      <w:r>
        <w:rPr>
          <w:rFonts w:hint="eastAsia" w:ascii="仿宋_GB2312" w:hAnsi="仿宋"/>
          <w:color w:val="000000" w:themeColor="text1"/>
        </w:rPr>
        <w:t>万元、商品和服务支出</w:t>
      </w:r>
      <w:r>
        <w:rPr>
          <w:rFonts w:hint="eastAsia" w:ascii="仿宋_GB2312" w:hAnsi="仿宋"/>
          <w:color w:val="000000" w:themeColor="text1"/>
          <w:lang w:val="en-US" w:eastAsia="zh-CN"/>
        </w:rPr>
        <w:t>10703.67</w:t>
      </w:r>
      <w:r>
        <w:rPr>
          <w:rFonts w:hint="eastAsia" w:ascii="仿宋_GB2312" w:hAnsi="仿宋"/>
          <w:color w:val="000000" w:themeColor="text1"/>
        </w:rPr>
        <w:t>万元、对个人和家庭的补助</w:t>
      </w:r>
      <w:r>
        <w:rPr>
          <w:rFonts w:hint="eastAsia" w:ascii="仿宋_GB2312" w:hAnsi="仿宋"/>
          <w:color w:val="000000" w:themeColor="text1"/>
          <w:lang w:val="en-US" w:eastAsia="zh-CN"/>
        </w:rPr>
        <w:t>2474.18</w:t>
      </w:r>
      <w:r>
        <w:rPr>
          <w:rFonts w:hint="eastAsia" w:ascii="仿宋_GB2312" w:hAnsi="仿宋"/>
          <w:color w:val="000000" w:themeColor="text1"/>
        </w:rPr>
        <w:t>万元、资本性支出</w:t>
      </w:r>
      <w:r>
        <w:rPr>
          <w:rFonts w:hint="eastAsia" w:ascii="仿宋_GB2312" w:hAnsi="仿宋"/>
          <w:color w:val="000000" w:themeColor="text1"/>
          <w:lang w:val="en-US" w:eastAsia="zh-CN"/>
        </w:rPr>
        <w:t>3599.24</w:t>
      </w:r>
      <w:r>
        <w:rPr>
          <w:rFonts w:hint="eastAsia" w:ascii="仿宋_GB2312" w:hAnsi="仿宋"/>
          <w:color w:val="000000" w:themeColor="text1"/>
        </w:rPr>
        <w:t>万元），其中基本支出</w:t>
      </w:r>
      <w:r>
        <w:rPr>
          <w:rFonts w:hint="eastAsia" w:ascii="仿宋_GB2312" w:hAnsi="仿宋"/>
          <w:color w:val="000000" w:themeColor="text1"/>
          <w:lang w:val="en-US" w:eastAsia="zh-CN"/>
        </w:rPr>
        <w:t>40942.81</w:t>
      </w:r>
      <w:r>
        <w:rPr>
          <w:rFonts w:hint="eastAsia" w:ascii="仿宋_GB2312" w:hAnsi="仿宋"/>
          <w:color w:val="000000" w:themeColor="text1"/>
        </w:rPr>
        <w:t>万，项目支出</w:t>
      </w:r>
      <w:r>
        <w:rPr>
          <w:rFonts w:hint="eastAsia" w:ascii="仿宋_GB2312" w:hAnsi="仿宋"/>
          <w:color w:val="000000" w:themeColor="text1"/>
          <w:lang w:val="en-US" w:eastAsia="zh-CN"/>
        </w:rPr>
        <w:t>15164.15</w:t>
      </w:r>
      <w:r>
        <w:rPr>
          <w:rFonts w:hint="eastAsia" w:ascii="仿宋_GB2312" w:hAnsi="仿宋"/>
          <w:color w:val="000000" w:themeColor="text1"/>
        </w:rPr>
        <w:t>万元</w:t>
      </w:r>
      <w:r>
        <w:rPr>
          <w:rFonts w:hint="eastAsia" w:ascii="仿宋_GB2312" w:hAnsi="仿宋"/>
        </w:rPr>
        <w:t>。</w:t>
      </w:r>
    </w:p>
    <w:p w14:paraId="3B77AB0B">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outlineLvl w:val="9"/>
        <w:rPr>
          <w:rFonts w:ascii="仿宋_GB2312" w:hAnsi="仿宋"/>
          <w:b/>
        </w:rPr>
      </w:pPr>
      <w:r>
        <w:rPr>
          <w:rFonts w:hint="eastAsia" w:ascii="仿宋_GB2312" w:hAnsi="仿宋"/>
        </w:rPr>
        <w:t xml:space="preserve"> </w:t>
      </w:r>
      <w:r>
        <w:rPr>
          <w:rFonts w:hint="eastAsia" w:ascii="仿宋_GB2312" w:hAnsi="仿宋"/>
          <w:b/>
        </w:rPr>
        <w:t xml:space="preserve">   2、202</w:t>
      </w:r>
      <w:r>
        <w:rPr>
          <w:rFonts w:hint="eastAsia" w:ascii="仿宋_GB2312" w:hAnsi="仿宋"/>
          <w:b/>
          <w:lang w:val="en-US" w:eastAsia="zh-CN"/>
        </w:rPr>
        <w:t>5</w:t>
      </w:r>
      <w:r>
        <w:rPr>
          <w:rFonts w:hint="eastAsia" w:ascii="仿宋_GB2312" w:hAnsi="仿宋"/>
          <w:b/>
        </w:rPr>
        <w:t>年“三公”经费支出情况</w:t>
      </w:r>
    </w:p>
    <w:p w14:paraId="1472C2AD">
      <w:pPr>
        <w:pStyle w:val="15"/>
        <w:jc w:val="both"/>
        <w:rPr>
          <w:rFonts w:ascii="仿宋_GB2312" w:hAnsi="仿宋" w:eastAsia="仿宋_GB2312" w:cs="Times New Roman"/>
          <w:color w:val="auto"/>
          <w:kern w:val="2"/>
          <w:sz w:val="32"/>
        </w:rPr>
      </w:pPr>
      <w:r>
        <w:rPr>
          <w:rFonts w:hint="eastAsia" w:ascii="仿宋_GB2312" w:hAnsi="仿宋" w:eastAsia="仿宋_GB2312" w:cs="仿宋"/>
          <w:color w:val="auto"/>
          <w:sz w:val="32"/>
          <w:szCs w:val="32"/>
        </w:rPr>
        <w:t xml:space="preserve">    202</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年财政拨款安排“三公”经费</w:t>
      </w:r>
      <w:bookmarkStart w:id="8" w:name="PO_part3A2Amount1"/>
      <w:r>
        <w:rPr>
          <w:rFonts w:hint="eastAsia" w:ascii="仿宋_GB2312" w:hAnsi="仿宋" w:eastAsia="仿宋_GB2312" w:cs="仿宋"/>
          <w:color w:val="auto"/>
          <w:sz w:val="32"/>
          <w:szCs w:val="32"/>
        </w:rPr>
        <w:t>支出</w:t>
      </w:r>
      <w:r>
        <w:rPr>
          <w:rFonts w:hint="eastAsia" w:ascii="仿宋_GB2312" w:hAnsi="仿宋" w:eastAsia="仿宋_GB2312" w:cs="仿宋"/>
          <w:color w:val="auto"/>
          <w:sz w:val="32"/>
          <w:szCs w:val="32"/>
          <w:lang w:val="en-US" w:eastAsia="zh-CN"/>
        </w:rPr>
        <w:t>748.88</w:t>
      </w:r>
      <w:r>
        <w:rPr>
          <w:rFonts w:hint="eastAsia" w:ascii="仿宋_GB2312" w:hAnsi="仿宋" w:eastAsia="仿宋_GB2312" w:cs="仿宋"/>
          <w:color w:val="auto"/>
          <w:sz w:val="32"/>
          <w:szCs w:val="32"/>
        </w:rPr>
        <w:t>元</w:t>
      </w:r>
      <w:bookmarkEnd w:id="8"/>
      <w:r>
        <w:rPr>
          <w:rFonts w:hint="eastAsia" w:ascii="仿宋_GB2312" w:hAnsi="仿宋" w:eastAsia="仿宋_GB2312" w:cs="仿宋"/>
          <w:color w:val="auto"/>
          <w:sz w:val="32"/>
          <w:szCs w:val="32"/>
        </w:rPr>
        <w:t>，比上年</w:t>
      </w:r>
      <w:bookmarkStart w:id="9" w:name="PO_part3A2IncAmount1"/>
      <w:r>
        <w:rPr>
          <w:rFonts w:hint="eastAsia" w:ascii="仿宋_GB2312" w:hAnsi="仿宋" w:eastAsia="仿宋_GB2312" w:cs="仿宋"/>
          <w:color w:val="auto"/>
          <w:sz w:val="32"/>
          <w:szCs w:val="32"/>
          <w:lang w:val="en-US" w:eastAsia="zh-CN"/>
        </w:rPr>
        <w:t>831.39</w:t>
      </w:r>
      <w:r>
        <w:rPr>
          <w:rFonts w:hint="eastAsia" w:ascii="仿宋_GB2312" w:hAnsi="仿宋" w:eastAsia="仿宋_GB2312" w:cs="仿宋"/>
          <w:color w:val="auto"/>
          <w:sz w:val="32"/>
          <w:szCs w:val="32"/>
        </w:rPr>
        <w:t>万元</w:t>
      </w:r>
      <w:bookmarkEnd w:id="9"/>
      <w:r>
        <w:rPr>
          <w:rFonts w:hint="eastAsia" w:ascii="仿宋_GB2312" w:hAnsi="仿宋" w:eastAsia="仿宋_GB2312" w:cs="仿宋"/>
          <w:color w:val="auto"/>
          <w:sz w:val="32"/>
          <w:szCs w:val="32"/>
          <w:lang w:eastAsia="zh-CN"/>
        </w:rPr>
        <w:t>减少</w:t>
      </w:r>
      <w:r>
        <w:rPr>
          <w:rFonts w:hint="eastAsia" w:ascii="仿宋_GB2312" w:hAnsi="仿宋" w:eastAsia="仿宋_GB2312" w:cs="仿宋"/>
          <w:color w:val="auto"/>
          <w:sz w:val="32"/>
          <w:szCs w:val="32"/>
          <w:lang w:val="en-US" w:eastAsia="zh-CN"/>
        </w:rPr>
        <w:t>82.51</w:t>
      </w:r>
      <w:r>
        <w:rPr>
          <w:rFonts w:hint="eastAsia" w:ascii="仿宋_GB2312" w:hAnsi="仿宋" w:eastAsia="仿宋_GB2312" w:cs="仿宋"/>
          <w:color w:val="auto"/>
          <w:sz w:val="32"/>
          <w:szCs w:val="32"/>
        </w:rPr>
        <w:t>万元，</w:t>
      </w:r>
      <w:r>
        <w:rPr>
          <w:rFonts w:hint="eastAsia" w:ascii="仿宋_GB2312" w:hAnsi="仿宋" w:eastAsia="仿宋_GB2312" w:cs="仿宋"/>
          <w:color w:val="auto"/>
          <w:sz w:val="32"/>
          <w:szCs w:val="32"/>
          <w:lang w:eastAsia="zh-CN"/>
        </w:rPr>
        <w:t>下降</w:t>
      </w:r>
      <w:r>
        <w:rPr>
          <w:rFonts w:hint="eastAsia" w:ascii="仿宋_GB2312" w:hAnsi="仿宋" w:eastAsia="仿宋_GB2312" w:cs="仿宋"/>
          <w:color w:val="auto"/>
          <w:sz w:val="32"/>
          <w:szCs w:val="32"/>
          <w:lang w:val="en-US" w:eastAsia="zh-CN"/>
        </w:rPr>
        <w:t>8.92</w:t>
      </w:r>
      <w:r>
        <w:rPr>
          <w:rFonts w:hint="eastAsia" w:ascii="仿宋_GB2312" w:hAnsi="仿宋" w:eastAsia="仿宋_GB2312" w:cs="仿宋"/>
          <w:color w:val="auto"/>
          <w:sz w:val="32"/>
          <w:szCs w:val="32"/>
        </w:rPr>
        <w:t>%，主要原因是</w:t>
      </w:r>
      <w:r>
        <w:rPr>
          <w:rFonts w:hint="eastAsia" w:ascii="仿宋_GB2312" w:hAnsi="仿宋" w:eastAsia="仿宋_GB2312" w:cs="仿宋"/>
          <w:color w:val="auto"/>
          <w:sz w:val="32"/>
          <w:szCs w:val="32"/>
          <w:lang w:eastAsia="zh-CN"/>
        </w:rPr>
        <w:t>我局</w:t>
      </w:r>
      <w:r>
        <w:rPr>
          <w:rFonts w:hint="eastAsia" w:ascii="仿宋_GB2312" w:hAnsi="仿宋" w:eastAsia="仿宋_GB2312" w:cs="Times New Roman"/>
          <w:color w:val="auto"/>
          <w:kern w:val="2"/>
          <w:sz w:val="32"/>
        </w:rPr>
        <w:t>公务用车运行维护费</w:t>
      </w:r>
      <w:r>
        <w:rPr>
          <w:rFonts w:hint="eastAsia" w:ascii="仿宋_GB2312" w:hAnsi="仿宋" w:eastAsia="仿宋_GB2312" w:cs="仿宋"/>
          <w:color w:val="auto"/>
          <w:sz w:val="32"/>
          <w:szCs w:val="32"/>
          <w:lang w:eastAsia="zh-CN"/>
        </w:rPr>
        <w:t>比上年减少</w:t>
      </w:r>
      <w:r>
        <w:rPr>
          <w:rFonts w:hint="eastAsia" w:ascii="仿宋_GB2312" w:hAnsi="仿宋" w:eastAsia="仿宋_GB2312" w:cs="仿宋"/>
          <w:color w:val="auto"/>
          <w:sz w:val="32"/>
          <w:szCs w:val="32"/>
          <w:lang w:val="en-US" w:eastAsia="zh-CN"/>
        </w:rPr>
        <w:t>66.45万元</w:t>
      </w:r>
      <w:r>
        <w:rPr>
          <w:rFonts w:hint="eastAsia" w:ascii="仿宋_GB2312" w:hAnsi="仿宋" w:eastAsia="仿宋_GB2312" w:cs="Times New Roman"/>
          <w:color w:val="auto"/>
          <w:kern w:val="2"/>
          <w:sz w:val="32"/>
        </w:rPr>
        <w:t>。其中：因公出国（境）费</w:t>
      </w:r>
      <w:bookmarkStart w:id="10" w:name="PO_part3A2Amount2"/>
      <w:r>
        <w:rPr>
          <w:rFonts w:hint="eastAsia" w:ascii="仿宋_GB2312" w:hAnsi="仿宋" w:eastAsia="仿宋_GB2312" w:cs="Times New Roman"/>
          <w:color w:val="auto"/>
          <w:kern w:val="2"/>
          <w:sz w:val="32"/>
        </w:rPr>
        <w:t>0</w:t>
      </w:r>
      <w:bookmarkEnd w:id="10"/>
      <w:r>
        <w:rPr>
          <w:rFonts w:hint="eastAsia" w:ascii="仿宋_GB2312" w:hAnsi="仿宋" w:eastAsia="仿宋_GB2312" w:cs="Times New Roman"/>
          <w:color w:val="auto"/>
          <w:kern w:val="2"/>
          <w:sz w:val="32"/>
        </w:rPr>
        <w:t>万元，同比持平；公务用车购置及运行费</w:t>
      </w:r>
      <w:r>
        <w:rPr>
          <w:rFonts w:hint="eastAsia" w:ascii="仿宋_GB2312" w:hAnsi="仿宋" w:eastAsia="仿宋_GB2312" w:cs="Times New Roman"/>
          <w:color w:val="auto"/>
          <w:kern w:val="2"/>
          <w:sz w:val="32"/>
          <w:lang w:val="en-US" w:eastAsia="zh-CN"/>
        </w:rPr>
        <w:t>739.79</w:t>
      </w:r>
      <w:r>
        <w:rPr>
          <w:rFonts w:hint="eastAsia" w:ascii="仿宋_GB2312" w:hAnsi="仿宋" w:eastAsia="仿宋_GB2312" w:cs="Times New Roman"/>
          <w:color w:val="auto"/>
          <w:kern w:val="2"/>
          <w:sz w:val="32"/>
        </w:rPr>
        <w:t>万元（公务用车购置费</w:t>
      </w:r>
      <w:r>
        <w:rPr>
          <w:rFonts w:hint="eastAsia" w:ascii="仿宋_GB2312" w:hAnsi="仿宋" w:eastAsia="仿宋_GB2312" w:cs="Times New Roman"/>
          <w:color w:val="auto"/>
          <w:kern w:val="2"/>
          <w:sz w:val="32"/>
          <w:lang w:val="en-US" w:eastAsia="zh-CN"/>
        </w:rPr>
        <w:t>168.21</w:t>
      </w:r>
      <w:r>
        <w:rPr>
          <w:rFonts w:hint="eastAsia" w:ascii="仿宋_GB2312" w:hAnsi="仿宋" w:eastAsia="仿宋_GB2312" w:cs="Times New Roman"/>
          <w:color w:val="auto"/>
          <w:kern w:val="2"/>
          <w:sz w:val="32"/>
        </w:rPr>
        <w:t>万元、公务用车运行维护费</w:t>
      </w:r>
      <w:r>
        <w:rPr>
          <w:rFonts w:hint="eastAsia" w:ascii="仿宋_GB2312" w:hAnsi="仿宋" w:eastAsia="仿宋_GB2312" w:cs="Times New Roman"/>
          <w:color w:val="auto"/>
          <w:kern w:val="2"/>
          <w:sz w:val="32"/>
          <w:lang w:val="en-US" w:eastAsia="zh-CN"/>
        </w:rPr>
        <w:t>571.58</w:t>
      </w:r>
      <w:r>
        <w:rPr>
          <w:rFonts w:hint="eastAsia" w:ascii="仿宋_GB2312" w:hAnsi="仿宋" w:eastAsia="仿宋_GB2312" w:cs="Times New Roman"/>
          <w:color w:val="auto"/>
          <w:kern w:val="2"/>
          <w:sz w:val="32"/>
        </w:rPr>
        <w:t>万元）比上年</w:t>
      </w:r>
      <w:bookmarkStart w:id="11" w:name="PO_part3A2IncAmount3"/>
      <w:r>
        <w:rPr>
          <w:rFonts w:hint="eastAsia" w:ascii="仿宋_GB2312" w:hAnsi="仿宋" w:eastAsia="仿宋_GB2312" w:cs="Times New Roman"/>
          <w:color w:val="auto"/>
          <w:kern w:val="2"/>
          <w:sz w:val="32"/>
          <w:lang w:val="en-US" w:eastAsia="zh-CN"/>
        </w:rPr>
        <w:t>817.11</w:t>
      </w:r>
      <w:r>
        <w:rPr>
          <w:rFonts w:hint="eastAsia" w:ascii="仿宋_GB2312" w:hAnsi="仿宋" w:eastAsia="仿宋_GB2312" w:cs="Times New Roman"/>
          <w:color w:val="auto"/>
          <w:kern w:val="2"/>
          <w:sz w:val="32"/>
        </w:rPr>
        <w:t>万元</w:t>
      </w:r>
      <w:bookmarkEnd w:id="11"/>
      <w:r>
        <w:rPr>
          <w:rFonts w:hint="eastAsia" w:ascii="仿宋_GB2312" w:hAnsi="仿宋" w:eastAsia="仿宋_GB2312" w:cs="仿宋"/>
          <w:color w:val="auto"/>
          <w:sz w:val="32"/>
          <w:szCs w:val="32"/>
          <w:lang w:eastAsia="zh-CN"/>
        </w:rPr>
        <w:t>减少</w:t>
      </w:r>
      <w:r>
        <w:rPr>
          <w:rFonts w:hint="eastAsia" w:ascii="仿宋_GB2312" w:hAnsi="仿宋" w:eastAsia="仿宋_GB2312" w:cs="仿宋"/>
          <w:color w:val="auto"/>
          <w:sz w:val="32"/>
          <w:szCs w:val="32"/>
          <w:lang w:val="en-US" w:eastAsia="zh-CN"/>
        </w:rPr>
        <w:t>77.32万</w:t>
      </w:r>
      <w:r>
        <w:rPr>
          <w:rFonts w:hint="eastAsia" w:ascii="仿宋_GB2312" w:hAnsi="仿宋" w:eastAsia="仿宋_GB2312" w:cs="Times New Roman"/>
          <w:color w:val="auto"/>
          <w:kern w:val="2"/>
          <w:sz w:val="32"/>
        </w:rPr>
        <w:t>元，</w:t>
      </w:r>
      <w:r>
        <w:rPr>
          <w:rFonts w:hint="eastAsia" w:ascii="仿宋_GB2312" w:hAnsi="仿宋" w:eastAsia="仿宋_GB2312" w:cs="仿宋"/>
          <w:color w:val="auto"/>
          <w:sz w:val="32"/>
          <w:szCs w:val="32"/>
          <w:lang w:eastAsia="zh-CN"/>
        </w:rPr>
        <w:t>下降</w:t>
      </w:r>
      <w:r>
        <w:rPr>
          <w:rFonts w:hint="eastAsia" w:ascii="仿宋_GB2312" w:hAnsi="仿宋" w:eastAsia="仿宋_GB2312" w:cs="仿宋"/>
          <w:color w:val="auto"/>
          <w:sz w:val="32"/>
          <w:szCs w:val="32"/>
          <w:lang w:val="en-US" w:eastAsia="zh-CN"/>
        </w:rPr>
        <w:t>9.46</w:t>
      </w:r>
      <w:r>
        <w:rPr>
          <w:rFonts w:hint="eastAsia" w:ascii="仿宋_GB2312" w:hAnsi="仿宋" w:eastAsia="仿宋_GB2312" w:cs="Times New Roman"/>
          <w:color w:val="auto"/>
          <w:kern w:val="2"/>
          <w:sz w:val="32"/>
        </w:rPr>
        <w:t>%</w:t>
      </w:r>
      <w:r>
        <w:rPr>
          <w:rFonts w:hint="eastAsia" w:ascii="仿宋_GB2312" w:hAnsi="仿宋" w:eastAsia="仿宋_GB2312" w:cs="Times New Roman"/>
          <w:color w:val="auto"/>
          <w:kern w:val="2"/>
          <w:sz w:val="32"/>
          <w:lang w:eastAsia="zh-CN"/>
        </w:rPr>
        <w:t>，主要原因是因工作需求，</w:t>
      </w:r>
      <w:r>
        <w:rPr>
          <w:rFonts w:hint="eastAsia" w:ascii="仿宋_GB2312" w:hAnsi="仿宋" w:eastAsia="仿宋_GB2312" w:cs="仿宋"/>
          <w:color w:val="auto"/>
          <w:sz w:val="32"/>
          <w:szCs w:val="32"/>
          <w:lang w:eastAsia="zh-CN"/>
        </w:rPr>
        <w:t>我局</w:t>
      </w:r>
      <w:r>
        <w:rPr>
          <w:rFonts w:hint="eastAsia" w:ascii="仿宋_GB2312" w:hAnsi="仿宋" w:eastAsia="仿宋_GB2312" w:cs="Times New Roman"/>
          <w:color w:val="auto"/>
          <w:kern w:val="2"/>
          <w:sz w:val="32"/>
        </w:rPr>
        <w:t>公务用车运行维护费</w:t>
      </w:r>
      <w:r>
        <w:rPr>
          <w:rFonts w:hint="eastAsia" w:ascii="仿宋_GB2312" w:hAnsi="仿宋" w:eastAsia="仿宋_GB2312" w:cs="仿宋"/>
          <w:color w:val="auto"/>
          <w:sz w:val="32"/>
          <w:szCs w:val="32"/>
          <w:lang w:eastAsia="zh-CN"/>
        </w:rPr>
        <w:t>比上年减少</w:t>
      </w:r>
      <w:r>
        <w:rPr>
          <w:rFonts w:hint="eastAsia" w:ascii="仿宋_GB2312" w:hAnsi="仿宋" w:eastAsia="仿宋_GB2312" w:cs="仿宋"/>
          <w:color w:val="auto"/>
          <w:sz w:val="32"/>
          <w:szCs w:val="32"/>
          <w:lang w:val="en-US" w:eastAsia="zh-CN"/>
        </w:rPr>
        <w:t>66.45万元</w:t>
      </w:r>
      <w:r>
        <w:rPr>
          <w:rFonts w:hint="eastAsia" w:ascii="仿宋_GB2312" w:hAnsi="仿宋" w:eastAsia="仿宋_GB2312" w:cs="Times New Roman"/>
          <w:color w:val="auto"/>
          <w:kern w:val="2"/>
          <w:sz w:val="32"/>
        </w:rPr>
        <w:t>；公务接待费</w:t>
      </w:r>
      <w:bookmarkStart w:id="12" w:name="PO_part3A2Amount6"/>
      <w:r>
        <w:rPr>
          <w:rFonts w:hint="eastAsia" w:ascii="仿宋_GB2312" w:hAnsi="仿宋" w:eastAsia="仿宋_GB2312" w:cs="Times New Roman"/>
          <w:color w:val="auto"/>
          <w:kern w:val="2"/>
          <w:sz w:val="32"/>
          <w:lang w:val="en-US" w:eastAsia="zh-CN"/>
        </w:rPr>
        <w:t>9.09</w:t>
      </w:r>
      <w:r>
        <w:rPr>
          <w:rFonts w:hint="eastAsia" w:ascii="仿宋_GB2312" w:hAnsi="仿宋" w:eastAsia="仿宋_GB2312" w:cs="Times New Roman"/>
          <w:color w:val="auto"/>
          <w:kern w:val="2"/>
          <w:sz w:val="32"/>
        </w:rPr>
        <w:t>万元，</w:t>
      </w:r>
      <w:bookmarkEnd w:id="12"/>
      <w:r>
        <w:rPr>
          <w:rFonts w:hint="eastAsia" w:ascii="仿宋_GB2312" w:hAnsi="仿宋" w:eastAsia="仿宋_GB2312" w:cs="Times New Roman"/>
          <w:color w:val="auto"/>
          <w:kern w:val="2"/>
          <w:sz w:val="32"/>
        </w:rPr>
        <w:t>比上年</w:t>
      </w:r>
      <w:bookmarkStart w:id="13" w:name="PO_part3A2IncAmount4"/>
      <w:r>
        <w:rPr>
          <w:rFonts w:hint="eastAsia" w:ascii="仿宋_GB2312" w:hAnsi="仿宋" w:eastAsia="仿宋_GB2312" w:cs="Times New Roman"/>
          <w:color w:val="auto"/>
          <w:kern w:val="2"/>
          <w:sz w:val="32"/>
          <w:lang w:val="en-US" w:eastAsia="zh-CN"/>
        </w:rPr>
        <w:t>14.28</w:t>
      </w:r>
      <w:r>
        <w:rPr>
          <w:rFonts w:hint="eastAsia" w:ascii="仿宋_GB2312" w:hAnsi="仿宋" w:eastAsia="仿宋_GB2312" w:cs="Times New Roman"/>
          <w:color w:val="auto"/>
          <w:kern w:val="2"/>
          <w:sz w:val="32"/>
        </w:rPr>
        <w:t>万元</w:t>
      </w:r>
      <w:bookmarkEnd w:id="13"/>
      <w:r>
        <w:rPr>
          <w:rFonts w:hint="eastAsia" w:ascii="仿宋_GB2312" w:hAnsi="仿宋" w:eastAsia="仿宋_GB2312" w:cs="Times New Roman"/>
          <w:color w:val="auto"/>
          <w:kern w:val="2"/>
          <w:sz w:val="32"/>
          <w:lang w:eastAsia="zh-CN"/>
        </w:rPr>
        <w:t>减少</w:t>
      </w:r>
      <w:r>
        <w:rPr>
          <w:rFonts w:hint="eastAsia" w:ascii="仿宋_GB2312" w:hAnsi="仿宋" w:eastAsia="仿宋_GB2312" w:cs="Times New Roman"/>
          <w:color w:val="auto"/>
          <w:kern w:val="2"/>
          <w:sz w:val="32"/>
          <w:lang w:val="en-US" w:eastAsia="zh-CN"/>
        </w:rPr>
        <w:t>5.19</w:t>
      </w:r>
      <w:r>
        <w:rPr>
          <w:rFonts w:hint="eastAsia" w:ascii="仿宋_GB2312" w:hAnsi="仿宋" w:eastAsia="仿宋_GB2312" w:cs="Times New Roman"/>
          <w:color w:val="auto"/>
          <w:kern w:val="2"/>
          <w:sz w:val="32"/>
        </w:rPr>
        <w:t>万元，</w:t>
      </w:r>
      <w:r>
        <w:rPr>
          <w:rFonts w:hint="eastAsia" w:ascii="仿宋_GB2312" w:hAnsi="仿宋" w:eastAsia="仿宋_GB2312" w:cs="Times New Roman"/>
          <w:color w:val="auto"/>
          <w:kern w:val="2"/>
          <w:sz w:val="32"/>
          <w:lang w:eastAsia="zh-CN"/>
        </w:rPr>
        <w:t>下降</w:t>
      </w:r>
      <w:r>
        <w:rPr>
          <w:rFonts w:hint="eastAsia" w:ascii="仿宋_GB2312" w:hAnsi="仿宋" w:eastAsia="仿宋_GB2312" w:cs="Times New Roman"/>
          <w:color w:val="auto"/>
          <w:kern w:val="2"/>
          <w:sz w:val="32"/>
          <w:lang w:val="en-US" w:eastAsia="zh-CN"/>
        </w:rPr>
        <w:t>36.34</w:t>
      </w:r>
      <w:r>
        <w:rPr>
          <w:rFonts w:hint="eastAsia" w:ascii="仿宋_GB2312" w:hAnsi="仿宋" w:eastAsia="仿宋_GB2312" w:cs="Times New Roman"/>
          <w:color w:val="auto"/>
          <w:kern w:val="2"/>
          <w:sz w:val="32"/>
        </w:rPr>
        <w:t>%。</w:t>
      </w:r>
    </w:p>
    <w:p w14:paraId="77726307">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ascii="楷体_GB2312" w:eastAsia="楷体_GB2312"/>
          <w:b/>
          <w:bCs/>
          <w:szCs w:val="32"/>
        </w:rPr>
      </w:pPr>
      <w:r>
        <w:rPr>
          <w:rFonts w:hint="eastAsia" w:ascii="楷体_GB2312" w:eastAsia="楷体_GB2312"/>
          <w:b/>
          <w:bCs/>
          <w:szCs w:val="32"/>
        </w:rPr>
        <w:t>（四）部门整体支出绩效目标</w:t>
      </w:r>
    </w:p>
    <w:p w14:paraId="1892FDC7">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hint="eastAsia" w:ascii="仿宋_GB2312" w:hAnsi="华文仿宋" w:cs="仿宋_GB2312"/>
          <w:szCs w:val="32"/>
        </w:rPr>
      </w:pPr>
      <w:bookmarkStart w:id="14" w:name="_Toc22180"/>
      <w:bookmarkStart w:id="15" w:name="_Toc4514_WPSOffice_Level1"/>
      <w:r>
        <w:rPr>
          <w:rFonts w:hint="eastAsia" w:ascii="仿宋_GB2312" w:hAnsi="华文仿宋" w:cs="仿宋_GB2312"/>
          <w:szCs w:val="32"/>
        </w:rPr>
        <w:t>202</w:t>
      </w:r>
      <w:r>
        <w:rPr>
          <w:rFonts w:hint="eastAsia" w:ascii="仿宋_GB2312" w:hAnsi="华文仿宋" w:cs="仿宋_GB2312"/>
          <w:szCs w:val="32"/>
          <w:lang w:val="en-US" w:eastAsia="zh-CN"/>
        </w:rPr>
        <w:t>5</w:t>
      </w:r>
      <w:r>
        <w:rPr>
          <w:rFonts w:hint="eastAsia" w:ascii="仿宋_GB2312" w:hAnsi="华文仿宋" w:cs="仿宋_GB2312"/>
          <w:szCs w:val="32"/>
        </w:rPr>
        <w:t>年阳江市公安局全力以赴抓好防风险、保安全、护稳定、促发展各项工作，奋力推进公安工作现代化，为我市打造“沿海经济带重要战略支点、宜居宜业宜游现代化滨海城市”确保安全稳定的政治社会环境。</w:t>
      </w:r>
    </w:p>
    <w:p w14:paraId="54C24E8B">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hint="eastAsia" w:ascii="方正小标宋简体" w:eastAsia="方正小标宋简体"/>
          <w:lang w:eastAsia="zh-CN"/>
        </w:rPr>
      </w:pPr>
      <w:r>
        <w:rPr>
          <w:rFonts w:hint="eastAsia" w:ascii="方正小标宋简体" w:eastAsia="方正小标宋简体"/>
          <w:lang w:eastAsia="zh-CN"/>
        </w:rPr>
        <w:t>二、上一年度绩效评价整改情况</w:t>
      </w:r>
    </w:p>
    <w:p w14:paraId="476E4027">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hint="eastAsia" w:ascii="仿宋_GB2312" w:hAnsi="华文仿宋" w:cs="仿宋_GB2312"/>
          <w:szCs w:val="32"/>
        </w:rPr>
      </w:pPr>
      <w:r>
        <w:rPr>
          <w:rFonts w:hint="eastAsia" w:ascii="仿宋_GB2312" w:hAnsi="华文仿宋" w:cs="仿宋_GB2312"/>
          <w:szCs w:val="32"/>
          <w:highlight w:val="none"/>
          <w:lang w:eastAsia="zh-CN"/>
        </w:rPr>
        <w:t>上一年度存在问题：一是</w:t>
      </w:r>
      <w:r>
        <w:rPr>
          <w:rFonts w:hint="eastAsia" w:ascii="仿宋_GB2312" w:hAnsi="华文仿宋" w:cs="仿宋_GB2312"/>
          <w:szCs w:val="32"/>
          <w:lang w:eastAsia="zh-CN"/>
        </w:rPr>
        <w:t>部分指标完成情况不佳。部分产出指标未达预期，“制发居住证数”完成率88.15%、“月均戒毒人员人数”完成率46.46%，未达到预设标准；二是政府采购流程执行不严格。政府采购合同备案不及时，“2024-2025年饭堂食材等配送服务采购项目”包组1.2.3合同备案时长远超2个工作日时限；三是自评工作质量不高，报告与材料支撑存在短板。自评报告问题分析与建议过于简单，针对性不足；部分佐证材料链条不完整，专项资金、重点项目支出等关键领域缺少必要支撑材料，影响评价客观性。重点绩效评价或绩效自评复核结果、存在的问题进行整改的情况</w:t>
      </w:r>
      <w:r>
        <w:rPr>
          <w:rFonts w:hint="eastAsia" w:ascii="仿宋_GB2312" w:hAnsi="华文仿宋" w:cs="仿宋_GB2312"/>
          <w:szCs w:val="32"/>
        </w:rPr>
        <w:t>。</w:t>
      </w:r>
    </w:p>
    <w:p w14:paraId="5D78A1D6">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hint="eastAsia" w:ascii="仿宋_GB2312" w:hAnsi="华文仿宋" w:eastAsia="仿宋_GB2312" w:cs="仿宋_GB2312"/>
          <w:szCs w:val="32"/>
          <w:lang w:val="en-US" w:eastAsia="zh-CN"/>
        </w:rPr>
      </w:pPr>
      <w:r>
        <w:rPr>
          <w:rFonts w:hint="eastAsia" w:ascii="仿宋_GB2312" w:hAnsi="华文仿宋" w:cs="仿宋_GB2312"/>
          <w:szCs w:val="32"/>
          <w:lang w:eastAsia="zh-CN"/>
        </w:rPr>
        <w:t>整改措施：一是强化指标完成管控。对“月均戒毒人员人数”“制发居住证数”等未达标指标，拆解月度、季度阶段性目标，建立动态监测机制，及时调整推进措施；二是强化采购管理，严格规范流程执行。优化政府采购备案流程，确保2个工作日内完成备案；三是规范专项资金与财务管理，夯实材料支撑基础。健全佐证材料归档制度，明确各项自评指标佐证材料清单；</w:t>
      </w:r>
      <w:bookmarkStart w:id="32" w:name="_GoBack"/>
      <w:bookmarkEnd w:id="32"/>
      <w:r>
        <w:rPr>
          <w:rFonts w:hint="eastAsia" w:ascii="仿宋_GB2312" w:hAnsi="华文仿宋" w:cs="仿宋_GB2312"/>
          <w:szCs w:val="32"/>
          <w:lang w:eastAsia="zh-CN"/>
        </w:rPr>
        <w:t>定期对绩效自评、财务支出、专项资金等材料进行排查，及时补充缺失材料。</w:t>
      </w:r>
    </w:p>
    <w:p w14:paraId="11619BDF">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ascii="方正小标宋简体" w:eastAsia="方正小标宋简体"/>
        </w:rPr>
      </w:pPr>
      <w:r>
        <w:rPr>
          <w:rFonts w:hint="eastAsia" w:ascii="方正小标宋简体" w:eastAsia="方正小标宋简体"/>
          <w:lang w:eastAsia="zh-CN"/>
        </w:rPr>
        <w:t>三</w:t>
      </w:r>
      <w:r>
        <w:rPr>
          <w:rFonts w:hint="eastAsia" w:ascii="方正小标宋简体" w:eastAsia="方正小标宋简体"/>
        </w:rPr>
        <w:t>、绩效自评结论</w:t>
      </w:r>
      <w:bookmarkEnd w:id="14"/>
      <w:bookmarkEnd w:id="15"/>
    </w:p>
    <w:p w14:paraId="314978C4">
      <w:pPr>
        <w:snapToGrid w:val="0"/>
        <w:spacing w:line="540" w:lineRule="exact"/>
        <w:ind w:firstLine="616" w:firstLineChars="200"/>
        <w:rPr>
          <w:rFonts w:ascii="仿宋_GB2312" w:hAnsi="华文仿宋" w:cs="仿宋_GB2312"/>
          <w:szCs w:val="32"/>
        </w:rPr>
      </w:pPr>
      <w:bookmarkStart w:id="16" w:name="_Toc2072"/>
      <w:bookmarkStart w:id="17" w:name="_Toc2998_WPSOffice_Level1"/>
      <w:r>
        <w:rPr>
          <w:rFonts w:hint="eastAsia" w:ascii="仿宋" w:hAnsi="仿宋" w:eastAsia="仿宋" w:cs="仿宋_GB2312"/>
          <w:szCs w:val="32"/>
        </w:rPr>
        <w:t>根据上述整体绩效情况，综合评判本部门202</w:t>
      </w:r>
      <w:r>
        <w:rPr>
          <w:rFonts w:hint="eastAsia" w:ascii="仿宋" w:hAnsi="仿宋" w:eastAsia="仿宋" w:cs="仿宋_GB2312"/>
          <w:szCs w:val="32"/>
          <w:lang w:val="en-US" w:eastAsia="zh-CN"/>
        </w:rPr>
        <w:t>5</w:t>
      </w:r>
      <w:r>
        <w:rPr>
          <w:rFonts w:hint="eastAsia" w:ascii="仿宋" w:hAnsi="仿宋" w:eastAsia="仿宋" w:cs="仿宋_GB2312"/>
          <w:szCs w:val="32"/>
        </w:rPr>
        <w:t>年整体支出绩效目标的完成情况及其履行职责的经济性、效率性、效果性和公平性，自评分数为</w:t>
      </w:r>
      <w:r>
        <w:rPr>
          <w:rFonts w:hint="eastAsia" w:ascii="仿宋" w:hAnsi="仿宋" w:eastAsia="仿宋" w:cs="仿宋_GB2312"/>
          <w:color w:val="auto"/>
          <w:szCs w:val="32"/>
          <w:lang w:val="en-US" w:eastAsia="zh-CN"/>
        </w:rPr>
        <w:t>99.81</w:t>
      </w:r>
      <w:r>
        <w:rPr>
          <w:rFonts w:hint="eastAsia" w:ascii="仿宋" w:hAnsi="仿宋" w:eastAsia="仿宋" w:cs="仿宋_GB2312"/>
          <w:szCs w:val="32"/>
        </w:rPr>
        <w:t>分。</w:t>
      </w:r>
    </w:p>
    <w:p w14:paraId="734E410A">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ascii="方正小标宋简体" w:eastAsia="方正小标宋简体"/>
          <w:highlight w:val="none"/>
        </w:rPr>
      </w:pPr>
      <w:r>
        <w:rPr>
          <w:rFonts w:hint="eastAsia" w:ascii="方正小标宋简体" w:eastAsia="方正小标宋简体"/>
          <w:highlight w:val="none"/>
          <w:lang w:eastAsia="zh-CN"/>
        </w:rPr>
        <w:t>四</w:t>
      </w:r>
      <w:r>
        <w:rPr>
          <w:rFonts w:hint="eastAsia" w:ascii="方正小标宋简体" w:eastAsia="方正小标宋简体"/>
          <w:highlight w:val="none"/>
        </w:rPr>
        <w:t>、绩效自评分析</w:t>
      </w:r>
      <w:bookmarkEnd w:id="16"/>
      <w:bookmarkEnd w:id="17"/>
    </w:p>
    <w:p w14:paraId="063CDD62">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hint="eastAsia" w:ascii="楷体_GB2312" w:eastAsia="楷体_GB2312"/>
          <w:b/>
          <w:bCs/>
          <w:szCs w:val="32"/>
          <w:lang w:eastAsia="zh-CN"/>
        </w:rPr>
      </w:pPr>
      <w:bookmarkStart w:id="18" w:name="_Toc27392_WPSOffice_Level2"/>
      <w:bookmarkStart w:id="19" w:name="_Toc26765_WPSOffice_Level3"/>
      <w:bookmarkStart w:id="20" w:name="_Toc22677"/>
      <w:bookmarkStart w:id="21" w:name="_Toc19924"/>
      <w:r>
        <w:rPr>
          <w:rFonts w:hint="eastAsia" w:ascii="楷体_GB2312" w:eastAsia="楷体_GB2312"/>
          <w:b/>
          <w:bCs/>
          <w:szCs w:val="32"/>
        </w:rPr>
        <w:t>（一）</w:t>
      </w:r>
      <w:bookmarkEnd w:id="18"/>
      <w:bookmarkEnd w:id="19"/>
      <w:bookmarkEnd w:id="20"/>
      <w:bookmarkEnd w:id="21"/>
      <w:r>
        <w:rPr>
          <w:rFonts w:hint="eastAsia" w:ascii="楷体_GB2312" w:eastAsia="楷体_GB2312"/>
          <w:b/>
          <w:bCs/>
          <w:szCs w:val="32"/>
          <w:lang w:eastAsia="zh-CN"/>
        </w:rPr>
        <w:t>履职效能</w:t>
      </w:r>
    </w:p>
    <w:p w14:paraId="56C0B1EA">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仿宋_GB2312" w:hAnsi="仿宋_GB2312" w:cs="仿宋_GB2312"/>
          <w:b/>
          <w:bCs/>
          <w:szCs w:val="32"/>
          <w:lang w:eastAsia="zh-CN"/>
        </w:rPr>
      </w:pPr>
      <w:bookmarkStart w:id="22" w:name="_Toc4521"/>
      <w:r>
        <w:rPr>
          <w:rFonts w:hint="eastAsia" w:cs="仿宋_GB2312"/>
          <w:b/>
          <w:bCs/>
          <w:szCs w:val="32"/>
        </w:rPr>
        <w:t>1</w:t>
      </w:r>
      <w:r>
        <w:rPr>
          <w:rFonts w:hint="eastAsia" w:ascii="仿宋_GB2312" w:hAnsi="仿宋_GB2312" w:cs="仿宋_GB2312"/>
          <w:b/>
          <w:bCs/>
          <w:szCs w:val="32"/>
        </w:rPr>
        <w:t>.</w:t>
      </w:r>
      <w:bookmarkEnd w:id="22"/>
      <w:r>
        <w:rPr>
          <w:rFonts w:hint="eastAsia" w:ascii="仿宋_GB2312" w:hAnsi="仿宋_GB2312" w:cs="仿宋_GB2312"/>
          <w:b/>
          <w:bCs/>
          <w:szCs w:val="32"/>
          <w:lang w:eastAsia="zh-CN"/>
        </w:rPr>
        <w:t>整体效能。</w:t>
      </w:r>
      <w:bookmarkStart w:id="23" w:name="_Toc8156"/>
    </w:p>
    <w:p w14:paraId="6084AE08">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仿宋_GB2312" w:hAnsi="仿宋_GB2312" w:cs="仿宋_GB2312"/>
          <w:b/>
          <w:bCs/>
          <w:szCs w:val="32"/>
          <w:lang w:val="en-US" w:eastAsia="zh-CN"/>
        </w:rPr>
      </w:pPr>
      <w:r>
        <w:rPr>
          <w:rFonts w:hint="eastAsia" w:ascii="仿宋_GB2312" w:hAnsi="仿宋_GB2312" w:cs="仿宋_GB2312"/>
          <w:b/>
          <w:bCs/>
          <w:szCs w:val="32"/>
          <w:lang w:eastAsia="zh-CN"/>
        </w:rPr>
        <w:t>（</w:t>
      </w:r>
      <w:r>
        <w:rPr>
          <w:rFonts w:hint="eastAsia" w:ascii="仿宋_GB2312" w:hAnsi="仿宋_GB2312" w:cs="仿宋_GB2312"/>
          <w:b/>
          <w:bCs/>
          <w:szCs w:val="32"/>
          <w:lang w:val="en-US" w:eastAsia="zh-CN"/>
        </w:rPr>
        <w:t>1）部门整体支出绩效目标产出指标完成情况：</w:t>
      </w:r>
    </w:p>
    <w:p w14:paraId="179A5C15">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仿宋" w:hAnsi="仿宋" w:eastAsia="仿宋" w:cs="仿宋_GB2312"/>
          <w:szCs w:val="32"/>
          <w:lang w:val="en-US" w:eastAsia="zh-CN"/>
        </w:rPr>
      </w:pPr>
      <w:r>
        <w:rPr>
          <w:rFonts w:hint="eastAsia" w:ascii="仿宋" w:hAnsi="仿宋" w:eastAsia="仿宋" w:cs="仿宋_GB2312"/>
          <w:szCs w:val="32"/>
          <w:lang w:val="en-US" w:eastAsia="zh-CN"/>
        </w:rPr>
        <w:t>2025年我局部门整体支出绩效目标中产出指标共计8个，已基本完成，其完成情况具体如下：</w:t>
      </w:r>
    </w:p>
    <w:p w14:paraId="4B35ABE0">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default" w:ascii="仿宋" w:hAnsi="仿宋" w:eastAsia="仿宋" w:cs="仿宋_GB2312"/>
          <w:szCs w:val="32"/>
          <w:lang w:val="en-US" w:eastAsia="zh-CN"/>
        </w:rPr>
      </w:pPr>
      <w:r>
        <w:rPr>
          <w:rFonts w:hint="eastAsia" w:ascii="仿宋" w:hAnsi="仿宋" w:eastAsia="仿宋" w:cs="仿宋_GB2312"/>
          <w:szCs w:val="32"/>
          <w:lang w:val="en-US" w:eastAsia="zh-CN"/>
        </w:rPr>
        <w:t>产出指标：</w:t>
      </w:r>
      <w:r>
        <w:rPr>
          <w:rFonts w:hint="default" w:ascii="仿宋" w:hAnsi="仿宋" w:eastAsia="仿宋" w:cs="仿宋_GB2312"/>
          <w:szCs w:val="32"/>
          <w:lang w:val="en-US" w:eastAsia="zh-CN"/>
        </w:rPr>
        <w:t>保障工资发放人数</w:t>
      </w:r>
      <w:r>
        <w:rPr>
          <w:rFonts w:hint="eastAsia" w:ascii="仿宋" w:hAnsi="仿宋" w:eastAsia="仿宋" w:cs="仿宋_GB2312"/>
          <w:color w:val="auto"/>
          <w:szCs w:val="32"/>
          <w:lang w:val="en-US" w:eastAsia="zh-CN"/>
        </w:rPr>
        <w:t>2687</w:t>
      </w:r>
      <w:r>
        <w:rPr>
          <w:rFonts w:hint="default" w:ascii="仿宋" w:hAnsi="仿宋" w:eastAsia="仿宋" w:cs="仿宋_GB2312"/>
          <w:szCs w:val="32"/>
          <w:lang w:val="en-US" w:eastAsia="zh-CN"/>
        </w:rPr>
        <w:t>人；制发居住证数12486张；月均戒毒人员数165人；购置装备数量</w:t>
      </w:r>
      <w:r>
        <w:rPr>
          <w:rFonts w:hint="default" w:ascii="仿宋" w:hAnsi="仿宋" w:eastAsia="仿宋" w:cs="仿宋_GB2312"/>
          <w:color w:val="auto"/>
          <w:szCs w:val="32"/>
          <w:highlight w:val="none"/>
          <w:lang w:val="en-US" w:eastAsia="zh-CN"/>
        </w:rPr>
        <w:t>1565</w:t>
      </w:r>
      <w:r>
        <w:rPr>
          <w:rFonts w:hint="default" w:ascii="仿宋" w:hAnsi="仿宋" w:eastAsia="仿宋" w:cs="仿宋_GB2312"/>
          <w:szCs w:val="32"/>
          <w:lang w:val="en-US" w:eastAsia="zh-CN"/>
        </w:rPr>
        <w:t>件；装备验收合格率100%；购置装备及时到位率100%；支付及时性100%；成本控制情况100%</w:t>
      </w:r>
      <w:r>
        <w:rPr>
          <w:rFonts w:hint="eastAsia" w:ascii="仿宋" w:hAnsi="仿宋" w:eastAsia="仿宋" w:cs="仿宋_GB2312"/>
          <w:szCs w:val="32"/>
          <w:lang w:val="en-US" w:eastAsia="zh-CN"/>
        </w:rPr>
        <w:t>。</w:t>
      </w:r>
    </w:p>
    <w:p w14:paraId="2EB09F92">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firstLine="616" w:firstLineChars="200"/>
        <w:textAlignment w:val="auto"/>
        <w:outlineLvl w:val="9"/>
        <w:rPr>
          <w:rFonts w:hint="eastAsia" w:ascii="仿宋_GB2312" w:hAnsi="仿宋_GB2312" w:cs="仿宋_GB2312"/>
          <w:b/>
          <w:bCs/>
          <w:szCs w:val="32"/>
          <w:lang w:val="en-US" w:eastAsia="zh-CN"/>
        </w:rPr>
      </w:pPr>
      <w:r>
        <w:rPr>
          <w:rFonts w:hint="eastAsia" w:ascii="仿宋_GB2312" w:hAnsi="仿宋_GB2312" w:cs="仿宋_GB2312"/>
          <w:b/>
          <w:bCs/>
          <w:szCs w:val="32"/>
          <w:lang w:val="en-US" w:eastAsia="zh-CN"/>
        </w:rPr>
        <w:t>部门整体支出绩效目标效益指标完成情况：</w:t>
      </w:r>
    </w:p>
    <w:p w14:paraId="562EF7C4">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仿宋" w:hAnsi="仿宋" w:eastAsia="仿宋" w:cs="仿宋_GB2312"/>
          <w:szCs w:val="32"/>
          <w:lang w:val="en-US" w:eastAsia="zh-CN"/>
        </w:rPr>
      </w:pPr>
      <w:r>
        <w:rPr>
          <w:rFonts w:hint="eastAsia" w:ascii="仿宋" w:hAnsi="仿宋" w:eastAsia="仿宋" w:cs="仿宋_GB2312"/>
          <w:szCs w:val="32"/>
          <w:lang w:val="en-US" w:eastAsia="zh-CN"/>
        </w:rPr>
        <w:t>2025年我局部门整体支出绩效目标效益指标共计6个，已基本完成，其完成情况具体如下：</w:t>
      </w:r>
    </w:p>
    <w:p w14:paraId="4CC7E1C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16" w:firstLineChars="200"/>
        <w:textAlignment w:val="auto"/>
        <w:outlineLvl w:val="9"/>
        <w:rPr>
          <w:rFonts w:hint="eastAsia" w:ascii="仿宋_GB2312" w:hAnsi="仿宋" w:cs="仿宋"/>
          <w:color w:val="000000"/>
          <w:kern w:val="0"/>
          <w:szCs w:val="32"/>
        </w:rPr>
      </w:pPr>
      <w:r>
        <w:rPr>
          <w:rFonts w:hint="eastAsia" w:ascii="仿宋_GB2312" w:hAnsi="仿宋" w:cs="仿宋"/>
          <w:color w:val="000000"/>
          <w:kern w:val="0"/>
          <w:szCs w:val="32"/>
          <w:lang w:val="en-US" w:eastAsia="zh-CN"/>
        </w:rPr>
        <w:t>效益指标：2025年我局公安工作效率有效提升，打击违法犯罪效能显著提升，社会治安稳定明显提升，为打击违法犯罪提供长期有力保障</w:t>
      </w:r>
      <w:r>
        <w:rPr>
          <w:rFonts w:hint="eastAsia" w:ascii="仿宋_GB2312" w:hAnsi="仿宋" w:cs="仿宋"/>
          <w:color w:val="000000"/>
          <w:kern w:val="0"/>
          <w:szCs w:val="32"/>
        </w:rPr>
        <w:t>。</w:t>
      </w:r>
    </w:p>
    <w:p w14:paraId="23C14BA3">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仿宋_GB2312" w:hAnsi="仿宋_GB2312" w:cs="仿宋_GB2312"/>
          <w:b/>
          <w:bCs/>
          <w:szCs w:val="32"/>
          <w:lang w:val="en-US" w:eastAsia="zh-CN"/>
        </w:rPr>
      </w:pPr>
      <w:r>
        <w:rPr>
          <w:rFonts w:hint="eastAsia" w:ascii="仿宋_GB2312" w:hAnsi="仿宋_GB2312" w:cs="仿宋_GB2312"/>
          <w:b/>
          <w:bCs/>
          <w:szCs w:val="32"/>
          <w:lang w:val="en-US" w:eastAsia="zh-CN"/>
        </w:rPr>
        <w:t>（3）年度重点工作完成率：</w:t>
      </w:r>
    </w:p>
    <w:p w14:paraId="48CCAE91">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仿宋_GB2312" w:hAnsi="仿宋" w:cs="仿宋"/>
          <w:color w:val="000000"/>
          <w:kern w:val="0"/>
          <w:szCs w:val="32"/>
          <w:lang w:val="en-US" w:eastAsia="zh-CN"/>
        </w:rPr>
      </w:pPr>
      <w:r>
        <w:rPr>
          <w:rFonts w:hint="eastAsia" w:ascii="仿宋_GB2312" w:hAnsi="仿宋" w:cs="仿宋"/>
          <w:color w:val="000000"/>
          <w:kern w:val="0"/>
          <w:szCs w:val="32"/>
          <w:lang w:val="en-US" w:eastAsia="zh-CN"/>
        </w:rPr>
        <w:t>2025年我局年度重点工作任务为“禁毒专项整治”，其完成情况具体如下：</w:t>
      </w:r>
    </w:p>
    <w:p w14:paraId="72C3F6A1">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default" w:ascii="仿宋_GB2312" w:hAnsi="仿宋" w:cs="仿宋"/>
          <w:color w:val="000000"/>
          <w:kern w:val="0"/>
          <w:szCs w:val="32"/>
          <w:lang w:val="en-US" w:eastAsia="zh-CN"/>
        </w:rPr>
      </w:pPr>
      <w:r>
        <w:rPr>
          <w:rFonts w:hint="default" w:ascii="仿宋_GB2312" w:hAnsi="仿宋" w:cs="仿宋"/>
          <w:color w:val="000000"/>
          <w:kern w:val="0"/>
          <w:szCs w:val="32"/>
          <w:lang w:val="en-US" w:eastAsia="zh-CN"/>
        </w:rPr>
        <w:t>2025年开展涉依托咪酯问题整治，推动毒情形势持续好转，确保实现“</w:t>
      </w:r>
      <w:r>
        <w:rPr>
          <w:rFonts w:hint="eastAsia" w:ascii="仿宋_GB2312" w:hAnsi="仿宋" w:cs="仿宋"/>
          <w:color w:val="000000"/>
          <w:kern w:val="0"/>
          <w:szCs w:val="32"/>
          <w:lang w:val="en-US" w:eastAsia="zh-CN"/>
        </w:rPr>
        <w:t>吸食</w:t>
      </w:r>
      <w:r>
        <w:rPr>
          <w:rFonts w:hint="default" w:ascii="仿宋_GB2312" w:hAnsi="仿宋" w:cs="仿宋"/>
          <w:color w:val="000000"/>
          <w:kern w:val="0"/>
          <w:szCs w:val="32"/>
          <w:lang w:val="en-US" w:eastAsia="zh-CN"/>
        </w:rPr>
        <w:t>依托咪酯</w:t>
      </w:r>
      <w:r>
        <w:rPr>
          <w:rFonts w:hint="eastAsia" w:ascii="仿宋_GB2312" w:hAnsi="仿宋" w:cs="仿宋"/>
          <w:color w:val="000000"/>
          <w:kern w:val="0"/>
          <w:szCs w:val="32"/>
          <w:lang w:val="en-US" w:eastAsia="zh-CN"/>
        </w:rPr>
        <w:t>人数</w:t>
      </w:r>
      <w:r>
        <w:rPr>
          <w:rFonts w:hint="default" w:ascii="仿宋_GB2312" w:hAnsi="仿宋" w:cs="仿宋"/>
          <w:color w:val="000000"/>
          <w:kern w:val="0"/>
          <w:szCs w:val="32"/>
          <w:lang w:val="en-US" w:eastAsia="zh-CN"/>
        </w:rPr>
        <w:t>下降，涉依托咪酯违法犯罪风险全面控制”的工作目标。</w:t>
      </w:r>
    </w:p>
    <w:p w14:paraId="4FE49832">
      <w:pPr>
        <w:spacing w:line="540" w:lineRule="exact"/>
        <w:ind w:firstLine="616" w:firstLineChars="200"/>
        <w:rPr>
          <w:rFonts w:hint="default" w:ascii="Times New Roman" w:hAnsi="Times New Roman" w:cs="Times New Roman"/>
          <w:szCs w:val="32"/>
          <w:lang w:val="en-US" w:eastAsia="zh-CN"/>
        </w:rPr>
      </w:pPr>
      <w:r>
        <w:rPr>
          <w:rFonts w:hint="default" w:ascii="Times New Roman" w:hAnsi="Times New Roman" w:cs="Times New Roman"/>
          <w:b/>
          <w:bCs/>
          <w:szCs w:val="32"/>
        </w:rPr>
        <w:t>2.</w:t>
      </w:r>
      <w:bookmarkEnd w:id="23"/>
      <w:r>
        <w:rPr>
          <w:rFonts w:hint="default" w:ascii="Times New Roman" w:hAnsi="Times New Roman" w:cs="Times New Roman"/>
          <w:b/>
          <w:bCs/>
          <w:szCs w:val="32"/>
          <w:lang w:eastAsia="zh-CN"/>
        </w:rPr>
        <w:t>专项效能</w:t>
      </w:r>
      <w:r>
        <w:rPr>
          <w:rFonts w:hint="eastAsia" w:cs="Times New Roman"/>
          <w:b/>
          <w:bCs/>
          <w:szCs w:val="32"/>
          <w:lang w:eastAsia="zh-CN"/>
        </w:rPr>
        <w:t>。</w:t>
      </w:r>
      <w:r>
        <w:rPr>
          <w:rFonts w:hint="eastAsia"/>
          <w:szCs w:val="32"/>
          <w:lang w:val="en-US" w:eastAsia="zh-CN"/>
        </w:rPr>
        <w:t>2025年我局专项资金项目申报、批复程序符合相关管理办法；实施过程严格按规定执行；项目招投标、调整、完成验收等严格履行相应手续。同时已建立有效资金管理和绩效运行监控机制。</w:t>
      </w:r>
    </w:p>
    <w:p w14:paraId="2CD45AC6">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hint="eastAsia" w:ascii="楷体_GB2312" w:eastAsia="楷体_GB2312"/>
          <w:b/>
          <w:bCs/>
          <w:szCs w:val="32"/>
          <w:lang w:eastAsia="zh-CN"/>
        </w:rPr>
      </w:pPr>
      <w:bookmarkStart w:id="24" w:name="_Toc13662"/>
      <w:bookmarkStart w:id="25" w:name="_Toc19200_WPSOffice_Level2"/>
      <w:bookmarkStart w:id="26" w:name="_Toc32482"/>
      <w:bookmarkStart w:id="27" w:name="_Toc5828_WPSOffice_Level3"/>
      <w:r>
        <w:rPr>
          <w:rFonts w:hint="eastAsia" w:ascii="楷体_GB2312" w:eastAsia="楷体_GB2312"/>
          <w:b/>
          <w:bCs/>
          <w:szCs w:val="32"/>
        </w:rPr>
        <w:t>（二）</w:t>
      </w:r>
      <w:bookmarkEnd w:id="24"/>
      <w:bookmarkEnd w:id="25"/>
      <w:bookmarkEnd w:id="26"/>
      <w:bookmarkEnd w:id="27"/>
      <w:r>
        <w:rPr>
          <w:rFonts w:hint="eastAsia" w:ascii="楷体_GB2312" w:eastAsia="楷体_GB2312"/>
          <w:b/>
          <w:bCs/>
          <w:szCs w:val="32"/>
          <w:lang w:eastAsia="zh-CN"/>
        </w:rPr>
        <w:t>管理效率</w:t>
      </w:r>
    </w:p>
    <w:p w14:paraId="4585D43D">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pPr>
      <w:r>
        <w:rPr>
          <w:rFonts w:hint="eastAsia" w:cs="仿宋_GB2312"/>
          <w:b/>
          <w:bCs/>
          <w:szCs w:val="32"/>
        </w:rPr>
        <w:t>1</w:t>
      </w:r>
      <w:r>
        <w:rPr>
          <w:rFonts w:hint="eastAsia" w:ascii="仿宋_GB2312" w:hAnsi="仿宋_GB2312" w:cs="仿宋_GB2312"/>
          <w:b/>
          <w:bCs/>
          <w:szCs w:val="32"/>
        </w:rPr>
        <w:t>.</w:t>
      </w:r>
      <w:r>
        <w:rPr>
          <w:rFonts w:hint="eastAsia" w:ascii="仿宋_GB2312" w:hAnsi="仿宋_GB2312" w:cs="仿宋_GB2312"/>
          <w:b/>
          <w:bCs/>
          <w:szCs w:val="32"/>
          <w:lang w:eastAsia="zh-CN"/>
        </w:rPr>
        <w:t>预算编制</w:t>
      </w:r>
      <w:r>
        <w:rPr>
          <w:rFonts w:hint="eastAsia" w:ascii="仿宋_GB2312" w:hAnsi="仿宋_GB2312" w:cs="仿宋_GB2312"/>
          <w:b/>
          <w:bCs/>
          <w:szCs w:val="32"/>
        </w:rPr>
        <w:t>。</w:t>
      </w:r>
      <w:r>
        <w:rPr>
          <w:rFonts w:hint="eastAsia" w:ascii="仿宋_GB2312" w:hAnsi="仿宋_GB2312" w:cs="仿宋_GB2312"/>
          <w:bCs/>
          <w:szCs w:val="32"/>
        </w:rPr>
        <w:t>202</w:t>
      </w:r>
      <w:r>
        <w:rPr>
          <w:rFonts w:hint="eastAsia" w:ascii="仿宋_GB2312" w:hAnsi="仿宋_GB2312" w:cs="仿宋_GB2312"/>
          <w:bCs/>
          <w:szCs w:val="32"/>
          <w:lang w:val="en-US" w:eastAsia="zh-CN"/>
        </w:rPr>
        <w:t>5</w:t>
      </w:r>
      <w:r>
        <w:rPr>
          <w:rFonts w:hint="eastAsia" w:ascii="仿宋_GB2312" w:hAnsi="仿宋_GB2312" w:cs="仿宋_GB2312"/>
          <w:bCs/>
          <w:szCs w:val="32"/>
        </w:rPr>
        <w:t>年度我局严格按照市财政局印发的预算编制工作方案、通知和有关制度要求，并结合202</w:t>
      </w:r>
      <w:r>
        <w:rPr>
          <w:rFonts w:hint="eastAsia" w:ascii="仿宋_GB2312" w:hAnsi="仿宋_GB2312" w:cs="仿宋_GB2312"/>
          <w:bCs/>
          <w:szCs w:val="32"/>
          <w:lang w:val="en-US" w:eastAsia="zh-CN"/>
        </w:rPr>
        <w:t>5</w:t>
      </w:r>
      <w:r>
        <w:rPr>
          <w:rFonts w:hint="eastAsia" w:ascii="仿宋_GB2312" w:hAnsi="仿宋_GB2312" w:cs="仿宋_GB2312"/>
          <w:bCs/>
          <w:szCs w:val="32"/>
        </w:rPr>
        <w:t>年度本单位职责以及市委市政府方针政策和工作要求，合理、规范地编制预算，同时合理、明确地设置了与本单位职能、年度工作任务、申请资金规模等相匹配的整体支出绩效目标。</w:t>
      </w:r>
    </w:p>
    <w:p w14:paraId="793BD575">
      <w:pPr>
        <w:spacing w:line="540" w:lineRule="exact"/>
        <w:ind w:firstLine="616" w:firstLineChars="200"/>
        <w:rPr>
          <w:rFonts w:hint="eastAsia" w:ascii="仿宋_GB2312" w:hAnsi="仿宋_GB2312" w:eastAsia="仿宋_GB2312" w:cs="仿宋_GB2312"/>
          <w:bCs/>
          <w:szCs w:val="32"/>
          <w:lang w:eastAsia="zh-CN"/>
        </w:rPr>
      </w:pPr>
      <w:bookmarkStart w:id="28" w:name="_Toc3319"/>
      <w:r>
        <w:rPr>
          <w:rFonts w:hint="eastAsia" w:cs="仿宋_GB2312"/>
          <w:b/>
          <w:bCs/>
          <w:szCs w:val="32"/>
        </w:rPr>
        <w:t>2</w:t>
      </w:r>
      <w:r>
        <w:rPr>
          <w:rFonts w:hint="eastAsia" w:ascii="仿宋_GB2312" w:hAnsi="仿宋_GB2312" w:cs="仿宋_GB2312"/>
          <w:b/>
          <w:bCs/>
          <w:szCs w:val="32"/>
        </w:rPr>
        <w:t>.</w:t>
      </w:r>
      <w:r>
        <w:rPr>
          <w:rFonts w:hint="eastAsia" w:ascii="仿宋_GB2312" w:hAnsi="仿宋_GB2312" w:cs="仿宋_GB2312"/>
          <w:b/>
          <w:bCs/>
          <w:szCs w:val="32"/>
          <w:lang w:eastAsia="zh-CN"/>
        </w:rPr>
        <w:t>预算执行</w:t>
      </w:r>
      <w:r>
        <w:rPr>
          <w:rFonts w:hint="eastAsia" w:ascii="仿宋_GB2312" w:hAnsi="仿宋_GB2312" w:cs="仿宋_GB2312"/>
          <w:b/>
          <w:bCs/>
          <w:szCs w:val="32"/>
        </w:rPr>
        <w:t>。</w:t>
      </w:r>
      <w:bookmarkEnd w:id="28"/>
      <w:r>
        <w:rPr>
          <w:rFonts w:hint="eastAsia" w:ascii="仿宋_GB2312" w:hAnsi="仿宋_GB2312" w:cs="仿宋_GB2312"/>
          <w:bCs/>
          <w:szCs w:val="32"/>
        </w:rPr>
        <w:t>一是2025年度我局共收到财政拨款资金59338.38万元（含年初结转），共支出财政预算资金55547.85万元，支付率达93.62%。</w:t>
      </w:r>
      <w:r>
        <w:rPr>
          <w:rFonts w:hint="eastAsia" w:ascii="仿宋_GB2312" w:hAnsi="仿宋_GB2312" w:cs="仿宋_GB2312"/>
          <w:bCs/>
          <w:szCs w:val="32"/>
          <w:lang w:eastAsia="zh-CN"/>
        </w:rPr>
        <w:t>二是</w:t>
      </w:r>
      <w:r>
        <w:rPr>
          <w:rFonts w:hint="eastAsia" w:ascii="仿宋_GB2312" w:hAnsi="仿宋_GB2312" w:cs="仿宋_GB2312"/>
          <w:bCs/>
          <w:szCs w:val="32"/>
        </w:rPr>
        <w:t>财务管理合规性方面，202</w:t>
      </w:r>
      <w:r>
        <w:rPr>
          <w:rFonts w:hint="eastAsia" w:ascii="仿宋_GB2312" w:hAnsi="仿宋_GB2312" w:cs="仿宋_GB2312"/>
          <w:bCs/>
          <w:szCs w:val="32"/>
          <w:lang w:val="en-US" w:eastAsia="zh-CN"/>
        </w:rPr>
        <w:t>5</w:t>
      </w:r>
      <w:r>
        <w:rPr>
          <w:rFonts w:hint="eastAsia" w:ascii="仿宋_GB2312" w:hAnsi="仿宋_GB2312" w:cs="仿宋_GB2312"/>
          <w:bCs/>
          <w:szCs w:val="32"/>
        </w:rPr>
        <w:t>年我局财务管理工作严格按照资金规定用途及费用开支标准执行，同时严格按政府会计制定进行会计核算</w:t>
      </w:r>
      <w:r>
        <w:rPr>
          <w:rFonts w:hint="eastAsia" w:ascii="仿宋_GB2312" w:hAnsi="仿宋_GB2312" w:cs="仿宋_GB2312"/>
          <w:bCs/>
          <w:szCs w:val="32"/>
          <w:lang w:eastAsia="zh-CN"/>
        </w:rPr>
        <w:t>。</w:t>
      </w:r>
    </w:p>
    <w:p w14:paraId="6EE582D5">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ascii="仿宋_GB2312" w:hAnsi="仿宋_GB2312" w:cs="仿宋_GB2312"/>
          <w:szCs w:val="32"/>
        </w:rPr>
      </w:pPr>
      <w:bookmarkStart w:id="29" w:name="_Toc29827"/>
      <w:r>
        <w:rPr>
          <w:rFonts w:hint="eastAsia" w:cs="仿宋_GB2312"/>
          <w:b/>
          <w:bCs/>
          <w:szCs w:val="32"/>
        </w:rPr>
        <w:t>3</w:t>
      </w:r>
      <w:r>
        <w:rPr>
          <w:rFonts w:hint="eastAsia" w:ascii="仿宋_GB2312" w:hAnsi="仿宋_GB2312" w:cs="仿宋_GB2312"/>
          <w:b/>
          <w:bCs/>
          <w:szCs w:val="32"/>
        </w:rPr>
        <w:t>.</w:t>
      </w:r>
      <w:r>
        <w:rPr>
          <w:rFonts w:hint="eastAsia" w:ascii="仿宋_GB2312" w:hAnsi="仿宋_GB2312" w:cs="仿宋_GB2312"/>
          <w:b/>
          <w:bCs/>
          <w:szCs w:val="32"/>
          <w:lang w:eastAsia="zh-CN"/>
        </w:rPr>
        <w:t>信息公开</w:t>
      </w:r>
      <w:r>
        <w:rPr>
          <w:rFonts w:hint="eastAsia" w:ascii="仿宋_GB2312" w:hAnsi="仿宋_GB2312" w:cs="仿宋_GB2312"/>
          <w:b/>
          <w:bCs/>
          <w:szCs w:val="32"/>
        </w:rPr>
        <w:t>。</w:t>
      </w:r>
      <w:bookmarkEnd w:id="29"/>
      <w:r>
        <w:rPr>
          <w:rFonts w:hint="eastAsia" w:ascii="仿宋_GB2312" w:hAnsi="仿宋_GB2312" w:cs="仿宋_GB2312"/>
          <w:bCs/>
          <w:szCs w:val="32"/>
        </w:rPr>
        <w:t>202</w:t>
      </w:r>
      <w:r>
        <w:rPr>
          <w:rFonts w:hint="eastAsia" w:ascii="仿宋_GB2312" w:hAnsi="仿宋_GB2312" w:cs="仿宋_GB2312"/>
          <w:bCs/>
          <w:szCs w:val="32"/>
          <w:lang w:val="en-US" w:eastAsia="zh-CN"/>
        </w:rPr>
        <w:t>5</w:t>
      </w:r>
      <w:r>
        <w:rPr>
          <w:rFonts w:hint="eastAsia" w:ascii="仿宋_GB2312" w:hAnsi="仿宋_GB2312" w:cs="仿宋_GB2312"/>
          <w:bCs/>
          <w:szCs w:val="32"/>
        </w:rPr>
        <w:t>年我局预决算（财政批复后）、绩效目标以及绩效评价等材料严格按相关文件要求，按规定内容、在规定时间和范围内公开</w:t>
      </w:r>
      <w:r>
        <w:rPr>
          <w:rFonts w:hint="eastAsia" w:ascii="仿宋_GB2312" w:hAnsi="仿宋_GB2312" w:cs="仿宋_GB2312"/>
          <w:szCs w:val="32"/>
        </w:rPr>
        <w:t>。</w:t>
      </w:r>
    </w:p>
    <w:p w14:paraId="63BFEF33">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仿宋_GB2312" w:hAnsi="仿宋_GB2312" w:cs="仿宋_GB2312"/>
          <w:szCs w:val="32"/>
        </w:rPr>
      </w:pPr>
      <w:bookmarkStart w:id="30" w:name="_Toc3788"/>
      <w:r>
        <w:rPr>
          <w:rFonts w:hint="eastAsia" w:cs="仿宋_GB2312"/>
          <w:b/>
          <w:bCs/>
          <w:szCs w:val="32"/>
        </w:rPr>
        <w:t>4</w:t>
      </w:r>
      <w:r>
        <w:rPr>
          <w:rFonts w:hint="eastAsia" w:ascii="仿宋_GB2312" w:hAnsi="仿宋_GB2312" w:cs="仿宋_GB2312"/>
          <w:b/>
          <w:bCs/>
          <w:szCs w:val="32"/>
        </w:rPr>
        <w:t>.</w:t>
      </w:r>
      <w:r>
        <w:rPr>
          <w:rFonts w:hint="eastAsia" w:ascii="仿宋_GB2312" w:hAnsi="仿宋_GB2312" w:cs="仿宋_GB2312"/>
          <w:b/>
          <w:bCs/>
          <w:szCs w:val="32"/>
          <w:lang w:eastAsia="zh-CN"/>
        </w:rPr>
        <w:t>绩效</w:t>
      </w:r>
      <w:r>
        <w:rPr>
          <w:rFonts w:hint="eastAsia" w:ascii="仿宋_GB2312" w:hAnsi="仿宋_GB2312" w:cs="仿宋_GB2312"/>
          <w:b/>
          <w:bCs/>
          <w:szCs w:val="32"/>
        </w:rPr>
        <w:t>管理。</w:t>
      </w:r>
      <w:bookmarkEnd w:id="30"/>
      <w:r>
        <w:rPr>
          <w:rFonts w:hint="eastAsia" w:ascii="仿宋_GB2312" w:hAnsi="仿宋_GB2312" w:cs="仿宋_GB2312"/>
          <w:szCs w:val="32"/>
        </w:rPr>
        <w:t>一绩效管理制度建设方面，我局已出台阳江市预算绩效管理制度，且绩效职责分工较为明确；二绩效管理执行情况，202</w:t>
      </w:r>
      <w:r>
        <w:rPr>
          <w:rFonts w:hint="eastAsia" w:ascii="仿宋_GB2312" w:hAnsi="仿宋_GB2312" w:cs="仿宋_GB2312"/>
          <w:szCs w:val="32"/>
          <w:lang w:val="en-US" w:eastAsia="zh-CN"/>
        </w:rPr>
        <w:t>5</w:t>
      </w:r>
      <w:r>
        <w:rPr>
          <w:rFonts w:hint="eastAsia" w:ascii="仿宋_GB2312" w:hAnsi="仿宋_GB2312" w:cs="仿宋_GB2312"/>
          <w:szCs w:val="32"/>
        </w:rPr>
        <w:t>年我局严格按规定做好部门整体支出绩效目标和项目支出绩效目标编审工作，同时按市财政局的要求做好部门整体支出绩效评价工作；三绩效结果应用方面，202</w:t>
      </w:r>
      <w:r>
        <w:rPr>
          <w:rFonts w:hint="eastAsia" w:ascii="仿宋_GB2312" w:hAnsi="仿宋_GB2312" w:cs="仿宋_GB2312"/>
          <w:szCs w:val="32"/>
          <w:lang w:val="en-US" w:eastAsia="zh-CN"/>
        </w:rPr>
        <w:t>5</w:t>
      </w:r>
      <w:r>
        <w:rPr>
          <w:rFonts w:hint="eastAsia" w:ascii="仿宋_GB2312" w:hAnsi="仿宋_GB2312" w:cs="仿宋_GB2312"/>
          <w:szCs w:val="32"/>
        </w:rPr>
        <w:t>年我局及时反馈处理监控预警提醒信息、及时将重点评价整改情况反馈市财政部门。</w:t>
      </w:r>
    </w:p>
    <w:p w14:paraId="2E856235">
      <w:pPr>
        <w:spacing w:line="540" w:lineRule="exact"/>
        <w:ind w:firstLine="616" w:firstLineChars="200"/>
        <w:rPr>
          <w:bCs/>
          <w:szCs w:val="32"/>
        </w:rPr>
      </w:pPr>
      <w:r>
        <w:rPr>
          <w:rFonts w:hint="default" w:ascii="Times New Roman" w:hAnsi="Times New Roman" w:cs="Times New Roman"/>
          <w:b/>
          <w:bCs/>
          <w:szCs w:val="32"/>
          <w:lang w:val="en-US" w:eastAsia="zh-CN"/>
        </w:rPr>
        <w:t>5.采购管理。</w:t>
      </w:r>
      <w:r>
        <w:rPr>
          <w:rFonts w:hint="eastAsia"/>
          <w:bCs/>
          <w:szCs w:val="32"/>
        </w:rPr>
        <w:t>一采购合理性方面，202</w:t>
      </w:r>
      <w:r>
        <w:rPr>
          <w:rFonts w:hint="eastAsia"/>
          <w:bCs/>
          <w:szCs w:val="32"/>
          <w:lang w:val="en-US" w:eastAsia="zh-CN"/>
        </w:rPr>
        <w:t>5</w:t>
      </w:r>
      <w:r>
        <w:rPr>
          <w:rFonts w:hint="eastAsia"/>
          <w:bCs/>
          <w:szCs w:val="32"/>
        </w:rPr>
        <w:t>年我局采购工作严格按相关规定编制采购需求，且采购事项均按要求经过审批，选择合适的政府采购方式，不存在违反公平竞争原则以及规避公开招标的情况；二采购内控制度建设方面，我局已于2022年制定《阳江市公安局政府采购管理规定》；三采购活动合规性方面，202</w:t>
      </w:r>
      <w:r>
        <w:rPr>
          <w:rFonts w:hint="eastAsia"/>
          <w:bCs/>
          <w:szCs w:val="32"/>
          <w:lang w:val="en-US" w:eastAsia="zh-CN"/>
        </w:rPr>
        <w:t>5</w:t>
      </w:r>
      <w:r>
        <w:rPr>
          <w:rFonts w:hint="eastAsia"/>
          <w:bCs/>
          <w:szCs w:val="32"/>
        </w:rPr>
        <w:t>年我局采购项目严格按规定实施，没有发生采购投诉的情况；四采购合同签订时效性方面，202</w:t>
      </w:r>
      <w:r>
        <w:rPr>
          <w:rFonts w:hint="eastAsia"/>
          <w:bCs/>
          <w:szCs w:val="32"/>
          <w:lang w:val="en-US" w:eastAsia="zh-CN"/>
        </w:rPr>
        <w:t>5</w:t>
      </w:r>
      <w:r>
        <w:rPr>
          <w:rFonts w:hint="eastAsia"/>
          <w:bCs/>
          <w:szCs w:val="32"/>
        </w:rPr>
        <w:t>年我局政府采购项目严格按要求，在规定时间内签订合同。五采购信息公开情况，202</w:t>
      </w:r>
      <w:r>
        <w:rPr>
          <w:rFonts w:hint="eastAsia"/>
          <w:bCs/>
          <w:szCs w:val="32"/>
          <w:lang w:val="en-US" w:eastAsia="zh-CN"/>
        </w:rPr>
        <w:t>5</w:t>
      </w:r>
      <w:r>
        <w:rPr>
          <w:rFonts w:hint="eastAsia"/>
          <w:bCs/>
          <w:szCs w:val="32"/>
        </w:rPr>
        <w:t>年我局采购项目信息严格按规定做到相关信息公开及时准确；六采购履约及验收方面，202</w:t>
      </w:r>
      <w:r>
        <w:rPr>
          <w:rFonts w:hint="eastAsia"/>
          <w:bCs/>
          <w:szCs w:val="32"/>
          <w:lang w:val="en-US" w:eastAsia="zh-CN"/>
        </w:rPr>
        <w:t>5</w:t>
      </w:r>
      <w:r>
        <w:rPr>
          <w:rFonts w:hint="eastAsia"/>
          <w:bCs/>
          <w:szCs w:val="32"/>
        </w:rPr>
        <w:t>年我局采购项目实施和采购验收严格按照《阳江市公安局政府采购管理规定》和具体项目合同约定执行，没有违反政策规定的情况。</w:t>
      </w:r>
    </w:p>
    <w:p w14:paraId="3C802E3B">
      <w:pPr>
        <w:spacing w:line="540" w:lineRule="exact"/>
        <w:ind w:firstLine="616" w:firstLineChars="200"/>
        <w:rPr>
          <w:rFonts w:hint="default" w:ascii="Times New Roman" w:hAnsi="Times New Roman" w:cs="Times New Roman"/>
          <w:szCs w:val="32"/>
          <w:lang w:val="en-US" w:eastAsia="zh-CN"/>
        </w:rPr>
      </w:pPr>
      <w:r>
        <w:rPr>
          <w:rFonts w:hint="default" w:ascii="Times New Roman" w:hAnsi="Times New Roman" w:cs="Times New Roman"/>
          <w:b/>
          <w:bCs/>
          <w:szCs w:val="32"/>
          <w:lang w:val="en-US" w:eastAsia="zh-CN"/>
        </w:rPr>
        <w:t>6.资产管理。</w:t>
      </w:r>
      <w:r>
        <w:rPr>
          <w:rFonts w:hint="eastAsia"/>
          <w:b w:val="0"/>
          <w:bCs w:val="0"/>
          <w:szCs w:val="32"/>
        </w:rPr>
        <w:t>一</w:t>
      </w:r>
      <w:r>
        <w:rPr>
          <w:rFonts w:hint="eastAsia"/>
          <w:szCs w:val="32"/>
        </w:rPr>
        <w:t>资产配置方面，202</w:t>
      </w:r>
      <w:r>
        <w:rPr>
          <w:rFonts w:hint="eastAsia"/>
          <w:szCs w:val="32"/>
          <w:lang w:val="en-US" w:eastAsia="zh-CN"/>
        </w:rPr>
        <w:t>5</w:t>
      </w:r>
      <w:r>
        <w:rPr>
          <w:rFonts w:hint="eastAsia"/>
          <w:szCs w:val="32"/>
        </w:rPr>
        <w:t>年我局办公室面积和办公设备配置严格按照规定标准执行；二资产收益方面，我局资产处置收益严格按规定及时上缴国库；三资产盘点情况，202</w:t>
      </w:r>
      <w:r>
        <w:rPr>
          <w:rFonts w:hint="eastAsia"/>
          <w:szCs w:val="32"/>
          <w:lang w:val="en-US" w:eastAsia="zh-CN"/>
        </w:rPr>
        <w:t>5</w:t>
      </w:r>
      <w:r>
        <w:rPr>
          <w:rFonts w:hint="eastAsia"/>
          <w:szCs w:val="32"/>
        </w:rPr>
        <w:t>年我局按要求完成了固定资产盘点工作；四资产管理方面，我局已制定阳江市公安局国有资产管理规定，</w:t>
      </w:r>
      <w:r>
        <w:rPr>
          <w:rFonts w:hint="eastAsia"/>
          <w:szCs w:val="32"/>
          <w:lang w:val="en-US" w:eastAsia="zh-CN"/>
        </w:rPr>
        <w:t>并</w:t>
      </w:r>
      <w:r>
        <w:rPr>
          <w:rFonts w:hint="eastAsia"/>
          <w:szCs w:val="32"/>
        </w:rPr>
        <w:t>严格按规定执行；五固定资产利用率方面，202</w:t>
      </w:r>
      <w:r>
        <w:rPr>
          <w:rFonts w:hint="eastAsia"/>
          <w:szCs w:val="32"/>
          <w:lang w:val="en-US" w:eastAsia="zh-CN"/>
        </w:rPr>
        <w:t>5</w:t>
      </w:r>
      <w:r>
        <w:rPr>
          <w:rFonts w:hint="eastAsia"/>
          <w:szCs w:val="32"/>
        </w:rPr>
        <w:t>年我局固定资产均在使用状态，使用率达100%。</w:t>
      </w:r>
    </w:p>
    <w:p w14:paraId="17FC9938">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default" w:ascii="Times New Roman" w:hAnsi="Times New Roman" w:cs="Times New Roman"/>
          <w:szCs w:val="32"/>
          <w:lang w:val="en-US" w:eastAsia="zh-CN"/>
        </w:rPr>
      </w:pPr>
      <w:r>
        <w:rPr>
          <w:rFonts w:hint="default" w:ascii="Times New Roman" w:hAnsi="Times New Roman" w:cs="Times New Roman"/>
          <w:b/>
          <w:bCs/>
          <w:szCs w:val="32"/>
          <w:lang w:val="en-US" w:eastAsia="zh-CN"/>
        </w:rPr>
        <w:t>7.运行成本。</w:t>
      </w:r>
      <w:r>
        <w:rPr>
          <w:rFonts w:hint="eastAsia"/>
          <w:szCs w:val="32"/>
          <w:lang w:val="en-US" w:eastAsia="zh-CN"/>
        </w:rPr>
        <w:t>在</w:t>
      </w:r>
      <w:r>
        <w:rPr>
          <w:rFonts w:hint="eastAsia"/>
          <w:szCs w:val="32"/>
        </w:rPr>
        <w:t>“三公”经费控制情况</w:t>
      </w:r>
      <w:r>
        <w:rPr>
          <w:rFonts w:hint="eastAsia"/>
          <w:szCs w:val="32"/>
          <w:lang w:eastAsia="zh-CN"/>
        </w:rPr>
        <w:t>方面</w:t>
      </w:r>
      <w:r>
        <w:rPr>
          <w:rFonts w:hint="eastAsia"/>
          <w:szCs w:val="32"/>
        </w:rPr>
        <w:t>，202</w:t>
      </w:r>
      <w:r>
        <w:rPr>
          <w:rFonts w:hint="eastAsia"/>
          <w:szCs w:val="32"/>
          <w:lang w:val="en-US" w:eastAsia="zh-CN"/>
        </w:rPr>
        <w:t>5</w:t>
      </w:r>
      <w:r>
        <w:rPr>
          <w:rFonts w:hint="eastAsia"/>
          <w:szCs w:val="32"/>
        </w:rPr>
        <w:t>年我局严格按照财政预算安排的“三公”经费执行，不存在超预算的情况。</w:t>
      </w:r>
    </w:p>
    <w:p w14:paraId="0229DB3B">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ascii="方正小标宋简体" w:eastAsia="方正小标宋简体"/>
        </w:rPr>
      </w:pPr>
      <w:bookmarkStart w:id="31" w:name="_Toc18975"/>
      <w:r>
        <w:rPr>
          <w:rFonts w:hint="eastAsia" w:ascii="方正小标宋简体" w:eastAsia="方正小标宋简体"/>
          <w:lang w:eastAsia="zh-CN"/>
        </w:rPr>
        <w:t>五</w:t>
      </w:r>
      <w:r>
        <w:rPr>
          <w:rFonts w:hint="eastAsia" w:ascii="方正小标宋简体" w:eastAsia="方正小标宋简体"/>
        </w:rPr>
        <w:t>、存在的问题、原因分析及改进措施</w:t>
      </w:r>
    </w:p>
    <w:p w14:paraId="4D05EE5B">
      <w:pPr>
        <w:keepNext w:val="0"/>
        <w:keepLines w:val="0"/>
        <w:pageBreakBefore w:val="0"/>
        <w:widowControl w:val="0"/>
        <w:kinsoku/>
        <w:wordWrap/>
        <w:overflowPunct/>
        <w:topLinePunct w:val="0"/>
        <w:autoSpaceDE/>
        <w:autoSpaceDN/>
        <w:bidi w:val="0"/>
        <w:adjustRightInd/>
        <w:snapToGrid/>
        <w:spacing w:line="240" w:lineRule="auto"/>
        <w:ind w:firstLine="616" w:firstLineChars="200"/>
        <w:textAlignment w:val="auto"/>
        <w:outlineLvl w:val="9"/>
        <w:rPr>
          <w:rFonts w:hint="eastAsia" w:ascii="仿宋" w:hAnsi="仿宋" w:eastAsia="仿宋"/>
          <w:b/>
        </w:rPr>
      </w:pPr>
      <w:r>
        <w:rPr>
          <w:rFonts w:hint="eastAsia" w:ascii="仿宋" w:hAnsi="仿宋" w:eastAsia="仿宋"/>
          <w:b/>
        </w:rPr>
        <w:t>（一）存在问题</w:t>
      </w:r>
    </w:p>
    <w:p w14:paraId="17A293AA">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szCs w:val="32"/>
        </w:rPr>
      </w:pPr>
      <w:r>
        <w:rPr>
          <w:rFonts w:hint="eastAsia" w:ascii="仿宋" w:hAnsi="仿宋" w:eastAsia="仿宋"/>
          <w:b/>
          <w:lang w:val="en-US" w:eastAsia="zh-CN"/>
        </w:rPr>
        <w:t xml:space="preserve">   </w:t>
      </w:r>
      <w:r>
        <w:rPr>
          <w:rFonts w:hint="eastAsia"/>
          <w:szCs w:val="32"/>
          <w:lang w:val="en-US" w:eastAsia="zh-CN"/>
        </w:rPr>
        <w:t xml:space="preserve"> </w:t>
      </w:r>
      <w:r>
        <w:rPr>
          <w:rFonts w:hint="eastAsia"/>
          <w:szCs w:val="32"/>
        </w:rPr>
        <w:t>绩效管理专业能力欠缺</w:t>
      </w:r>
      <w:r>
        <w:rPr>
          <w:rFonts w:hint="eastAsia"/>
          <w:szCs w:val="32"/>
          <w:lang w:eastAsia="zh-CN"/>
        </w:rPr>
        <w:t>。</w:t>
      </w:r>
      <w:r>
        <w:rPr>
          <w:rFonts w:hint="eastAsia"/>
          <w:szCs w:val="32"/>
        </w:rPr>
        <w:t>部门从事绩效自评、预算管理的工作人员专业能力不足，缺乏系统的绩效管理、财政政策、指标设计等专业培训，对绩效指标量化设计、动态监控、深度自评分析、结果应用等实操业务掌握不熟练。</w:t>
      </w:r>
    </w:p>
    <w:p w14:paraId="366B67C1">
      <w:pPr>
        <w:keepNext w:val="0"/>
        <w:keepLines w:val="0"/>
        <w:pageBreakBefore w:val="0"/>
        <w:widowControl w:val="0"/>
        <w:kinsoku/>
        <w:wordWrap/>
        <w:overflowPunct/>
        <w:topLinePunct w:val="0"/>
        <w:autoSpaceDE/>
        <w:autoSpaceDN/>
        <w:bidi w:val="0"/>
        <w:adjustRightInd/>
        <w:snapToGrid/>
        <w:ind w:firstLine="616" w:firstLineChars="200"/>
        <w:textAlignment w:val="auto"/>
        <w:rPr>
          <w:rFonts w:ascii="仿宋" w:hAnsi="仿宋" w:eastAsia="仿宋"/>
          <w:b/>
        </w:rPr>
      </w:pPr>
      <w:r>
        <w:rPr>
          <w:rFonts w:hint="eastAsia" w:ascii="仿宋" w:hAnsi="仿宋" w:eastAsia="仿宋"/>
          <w:b/>
        </w:rPr>
        <w:t>（二）改进措施</w:t>
      </w:r>
    </w:p>
    <w:p w14:paraId="3675740D">
      <w:pPr>
        <w:keepNext w:val="0"/>
        <w:keepLines w:val="0"/>
        <w:pageBreakBefore w:val="0"/>
        <w:widowControl w:val="0"/>
        <w:kinsoku/>
        <w:wordWrap/>
        <w:overflowPunct/>
        <w:topLinePunct w:val="0"/>
        <w:autoSpaceDE/>
        <w:autoSpaceDN/>
        <w:bidi w:val="0"/>
        <w:adjustRightInd/>
        <w:snapToGrid/>
        <w:spacing w:line="240" w:lineRule="auto"/>
        <w:ind w:left="0" w:firstLine="616" w:firstLineChars="200"/>
        <w:jc w:val="both"/>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加强业务培训，提升专业能力</w:t>
      </w:r>
      <w:r>
        <w:rPr>
          <w:rFonts w:hint="eastAsia"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常态化组织财务、业务骨干开展财政绩效管理政策、指标设计、预算管控、绩效评价实操等专题培训，深入学习财政绩效管理制度和最新政策要求，提升工作人员的专业素养和实操能力。同时，加强横向交流学习，借鉴先进单位绩效管理优秀经验，持续优化本部门绩效管理工作模式，全面提升部门整体支出绩效管理水平。</w:t>
      </w:r>
    </w:p>
    <w:p w14:paraId="1CCECDCE">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ascii="方正小标宋简体" w:eastAsia="方正小标宋简体"/>
        </w:rPr>
      </w:pPr>
      <w:r>
        <w:rPr>
          <w:rFonts w:hint="eastAsia" w:ascii="方正小标宋简体" w:eastAsia="方正小标宋简体"/>
          <w:lang w:eastAsia="zh-CN"/>
        </w:rPr>
        <w:t>六、</w:t>
      </w:r>
      <w:r>
        <w:rPr>
          <w:rFonts w:hint="eastAsia" w:ascii="方正小标宋简体" w:eastAsia="方正小标宋简体"/>
        </w:rPr>
        <w:t>其他需要说明的情况</w:t>
      </w:r>
    </w:p>
    <w:p w14:paraId="618B3A60">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hint="eastAsia" w:eastAsia="仿宋_GB2312"/>
          <w:lang w:eastAsia="zh-CN"/>
        </w:rPr>
      </w:pPr>
      <w:r>
        <w:rPr>
          <w:rFonts w:hint="eastAsia"/>
          <w:lang w:eastAsia="zh-CN"/>
        </w:rPr>
        <w:t>无</w:t>
      </w:r>
    </w:p>
    <w:bookmarkEnd w:id="31"/>
    <w:p w14:paraId="01D8D2B6"/>
    <w:sectPr>
      <w:headerReference r:id="rId3" w:type="default"/>
      <w:footerReference r:id="rId4" w:type="default"/>
      <w:pgSz w:w="11906" w:h="16838"/>
      <w:pgMar w:top="1701" w:right="1588" w:bottom="1644" w:left="1701" w:header="851" w:footer="992" w:gutter="0"/>
      <w:cols w:space="425" w:num="1"/>
      <w:docGrid w:type="linesAndChars" w:linePitch="562" w:charSpace="-25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EB97B05-032E-4245-B77D-200BFCB4BCF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6425F82B-23AC-4A84-9EDA-2DDBE37E3076}"/>
  </w:font>
  <w:font w:name="仿宋">
    <w:panose1 w:val="02010609060101010101"/>
    <w:charset w:val="86"/>
    <w:family w:val="swiss"/>
    <w:pitch w:val="default"/>
    <w:sig w:usb0="800002BF" w:usb1="38CF7CFA" w:usb2="00000016" w:usb3="00000000" w:csb0="00040001" w:csb1="00000000"/>
    <w:embedRegular r:id="rId3" w:fontKey="{C4FE7504-276F-4038-990B-72AC3161EF41}"/>
  </w:font>
  <w:font w:name="方正小标宋简体">
    <w:panose1 w:val="02000000000000000000"/>
    <w:charset w:val="86"/>
    <w:family w:val="auto"/>
    <w:pitch w:val="default"/>
    <w:sig w:usb0="00000001" w:usb1="08000000" w:usb2="00000000" w:usb3="00000000" w:csb0="00040000" w:csb1="00000000"/>
    <w:embedRegular r:id="rId4" w:fontKey="{CB44C191-3B25-4B14-A31F-176A442F8173}"/>
  </w:font>
  <w:font w:name="楷体_GB2312">
    <w:altName w:val="楷体"/>
    <w:panose1 w:val="02010609030101010101"/>
    <w:charset w:val="86"/>
    <w:family w:val="modern"/>
    <w:pitch w:val="default"/>
    <w:sig w:usb0="00000000" w:usb1="00000000" w:usb2="00000000" w:usb3="00000000" w:csb0="00040000" w:csb1="00000000"/>
    <w:embedRegular r:id="rId5" w:fontKey="{B1C53450-028A-4F44-9540-1569A3B86220}"/>
  </w:font>
  <w:font w:name="楷体">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embedRegular r:id="rId6" w:fontKey="{1621F56B-B791-477F-A55D-4E165512AA6E}"/>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9E1ED">
    <w:pPr>
      <w:pStyle w:val="5"/>
      <w:jc w:val="center"/>
    </w:pPr>
    <w:r>
      <w:fldChar w:fldCharType="begin"/>
    </w:r>
    <w:r>
      <w:instrText xml:space="preserve">PAGE   \* MERGEFORMAT</w:instrText>
    </w:r>
    <w:r>
      <w:fldChar w:fldCharType="separate"/>
    </w:r>
    <w:r>
      <w:rPr>
        <w:lang w:val="zh-CN"/>
      </w:rPr>
      <w:t>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C20F0">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9AAA2A"/>
    <w:multiLevelType w:val="singleLevel"/>
    <w:tmpl w:val="BA9AAA2A"/>
    <w:lvl w:ilvl="0" w:tentative="0">
      <w:start w:val="3"/>
      <w:numFmt w:val="chineseCounting"/>
      <w:suff w:val="nothing"/>
      <w:lvlText w:val="（%1）"/>
      <w:lvlJc w:val="left"/>
      <w:rPr>
        <w:rFonts w:hint="eastAsia"/>
      </w:rPr>
    </w:lvl>
  </w:abstractNum>
  <w:abstractNum w:abstractNumId="1">
    <w:nsid w:val="3A88C1BC"/>
    <w:multiLevelType w:val="singleLevel"/>
    <w:tmpl w:val="3A88C1BC"/>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DA04CD"/>
    <w:rsid w:val="00000560"/>
    <w:rsid w:val="00007A67"/>
    <w:rsid w:val="00022542"/>
    <w:rsid w:val="000258AA"/>
    <w:rsid w:val="000D1E99"/>
    <w:rsid w:val="0012286D"/>
    <w:rsid w:val="00132593"/>
    <w:rsid w:val="00145B76"/>
    <w:rsid w:val="00170E39"/>
    <w:rsid w:val="001834A3"/>
    <w:rsid w:val="00195019"/>
    <w:rsid w:val="001B111B"/>
    <w:rsid w:val="001B4856"/>
    <w:rsid w:val="001D33F5"/>
    <w:rsid w:val="001E1FDF"/>
    <w:rsid w:val="001F07DA"/>
    <w:rsid w:val="001F096B"/>
    <w:rsid w:val="0023428B"/>
    <w:rsid w:val="00235EDE"/>
    <w:rsid w:val="00267E35"/>
    <w:rsid w:val="002A7F8F"/>
    <w:rsid w:val="002C4D92"/>
    <w:rsid w:val="002D7EDF"/>
    <w:rsid w:val="002E516E"/>
    <w:rsid w:val="002E5CB6"/>
    <w:rsid w:val="002F1311"/>
    <w:rsid w:val="00314DC0"/>
    <w:rsid w:val="00331AA1"/>
    <w:rsid w:val="00347820"/>
    <w:rsid w:val="00347914"/>
    <w:rsid w:val="00395359"/>
    <w:rsid w:val="003B7E05"/>
    <w:rsid w:val="003D4D40"/>
    <w:rsid w:val="004078CE"/>
    <w:rsid w:val="00410146"/>
    <w:rsid w:val="00413B2F"/>
    <w:rsid w:val="00421D22"/>
    <w:rsid w:val="0043014F"/>
    <w:rsid w:val="004531CF"/>
    <w:rsid w:val="004749F5"/>
    <w:rsid w:val="00486009"/>
    <w:rsid w:val="004B2E77"/>
    <w:rsid w:val="004D35D6"/>
    <w:rsid w:val="004D736E"/>
    <w:rsid w:val="00510F6B"/>
    <w:rsid w:val="00537F7E"/>
    <w:rsid w:val="00566EB1"/>
    <w:rsid w:val="00572A0D"/>
    <w:rsid w:val="00574D73"/>
    <w:rsid w:val="005B06B5"/>
    <w:rsid w:val="005B07DD"/>
    <w:rsid w:val="005B6EB7"/>
    <w:rsid w:val="005C28C3"/>
    <w:rsid w:val="005D4C3F"/>
    <w:rsid w:val="005E6FE2"/>
    <w:rsid w:val="00606F30"/>
    <w:rsid w:val="00620700"/>
    <w:rsid w:val="0062264E"/>
    <w:rsid w:val="006265B7"/>
    <w:rsid w:val="006317C3"/>
    <w:rsid w:val="00665117"/>
    <w:rsid w:val="00675A9A"/>
    <w:rsid w:val="006B0F8D"/>
    <w:rsid w:val="006D4795"/>
    <w:rsid w:val="00736CB1"/>
    <w:rsid w:val="0074594E"/>
    <w:rsid w:val="0075049C"/>
    <w:rsid w:val="00754811"/>
    <w:rsid w:val="007705F1"/>
    <w:rsid w:val="00781B6C"/>
    <w:rsid w:val="0078264B"/>
    <w:rsid w:val="007A1F56"/>
    <w:rsid w:val="007A7399"/>
    <w:rsid w:val="007C2CDB"/>
    <w:rsid w:val="00804DCB"/>
    <w:rsid w:val="00816A2A"/>
    <w:rsid w:val="008428B2"/>
    <w:rsid w:val="0084340E"/>
    <w:rsid w:val="0086235A"/>
    <w:rsid w:val="00876A57"/>
    <w:rsid w:val="00880F2C"/>
    <w:rsid w:val="008B525A"/>
    <w:rsid w:val="008C30AE"/>
    <w:rsid w:val="008E75C3"/>
    <w:rsid w:val="0090022C"/>
    <w:rsid w:val="00982492"/>
    <w:rsid w:val="009D75F0"/>
    <w:rsid w:val="00A66BD5"/>
    <w:rsid w:val="00A813BE"/>
    <w:rsid w:val="00A8644D"/>
    <w:rsid w:val="00A91495"/>
    <w:rsid w:val="00AC5B70"/>
    <w:rsid w:val="00AF7207"/>
    <w:rsid w:val="00B05F42"/>
    <w:rsid w:val="00B12D08"/>
    <w:rsid w:val="00B32B1B"/>
    <w:rsid w:val="00B55F8F"/>
    <w:rsid w:val="00B857D8"/>
    <w:rsid w:val="00B953DC"/>
    <w:rsid w:val="00BA5204"/>
    <w:rsid w:val="00BF3EFE"/>
    <w:rsid w:val="00BF4502"/>
    <w:rsid w:val="00C005AF"/>
    <w:rsid w:val="00C10A76"/>
    <w:rsid w:val="00C112EA"/>
    <w:rsid w:val="00C13943"/>
    <w:rsid w:val="00C65605"/>
    <w:rsid w:val="00C8769E"/>
    <w:rsid w:val="00CD5F4B"/>
    <w:rsid w:val="00D24C0F"/>
    <w:rsid w:val="00D41CC7"/>
    <w:rsid w:val="00D45282"/>
    <w:rsid w:val="00D67E60"/>
    <w:rsid w:val="00D73EB4"/>
    <w:rsid w:val="00D74AD4"/>
    <w:rsid w:val="00D82FAA"/>
    <w:rsid w:val="00DA04CD"/>
    <w:rsid w:val="00DA43A7"/>
    <w:rsid w:val="00DA5CEB"/>
    <w:rsid w:val="00DC37C4"/>
    <w:rsid w:val="00DC4199"/>
    <w:rsid w:val="00DE17BB"/>
    <w:rsid w:val="00DF7A41"/>
    <w:rsid w:val="00E03302"/>
    <w:rsid w:val="00E21FA4"/>
    <w:rsid w:val="00E23CAC"/>
    <w:rsid w:val="00E3272E"/>
    <w:rsid w:val="00E71A39"/>
    <w:rsid w:val="00E82D5B"/>
    <w:rsid w:val="00EA4E69"/>
    <w:rsid w:val="00EC4520"/>
    <w:rsid w:val="00ED3E32"/>
    <w:rsid w:val="00ED5CA9"/>
    <w:rsid w:val="00EF1D42"/>
    <w:rsid w:val="00F04107"/>
    <w:rsid w:val="00F14CD1"/>
    <w:rsid w:val="00F43167"/>
    <w:rsid w:val="00F43EA4"/>
    <w:rsid w:val="00F57915"/>
    <w:rsid w:val="00FF40BF"/>
    <w:rsid w:val="04C238BE"/>
    <w:rsid w:val="04C81B75"/>
    <w:rsid w:val="04E723E0"/>
    <w:rsid w:val="096D3578"/>
    <w:rsid w:val="0BA06336"/>
    <w:rsid w:val="0C1B46F8"/>
    <w:rsid w:val="0CAD24F6"/>
    <w:rsid w:val="0D745DAD"/>
    <w:rsid w:val="0D9378B6"/>
    <w:rsid w:val="0EA52A0A"/>
    <w:rsid w:val="0F9A365F"/>
    <w:rsid w:val="10607279"/>
    <w:rsid w:val="107A6B0B"/>
    <w:rsid w:val="10A67D57"/>
    <w:rsid w:val="11371E0C"/>
    <w:rsid w:val="113969C6"/>
    <w:rsid w:val="1176505B"/>
    <w:rsid w:val="12252338"/>
    <w:rsid w:val="1293587A"/>
    <w:rsid w:val="135564E3"/>
    <w:rsid w:val="16D61FC6"/>
    <w:rsid w:val="17AF6666"/>
    <w:rsid w:val="19B93BA5"/>
    <w:rsid w:val="1ADB6A17"/>
    <w:rsid w:val="1B2C2C4B"/>
    <w:rsid w:val="1B9852AF"/>
    <w:rsid w:val="1BBD409D"/>
    <w:rsid w:val="1DF83068"/>
    <w:rsid w:val="1EAE227A"/>
    <w:rsid w:val="1EF6633E"/>
    <w:rsid w:val="1F63035D"/>
    <w:rsid w:val="20436F19"/>
    <w:rsid w:val="204E0CAA"/>
    <w:rsid w:val="231559B0"/>
    <w:rsid w:val="23CE11F0"/>
    <w:rsid w:val="244F4FEC"/>
    <w:rsid w:val="2574470D"/>
    <w:rsid w:val="25A927F6"/>
    <w:rsid w:val="26B475FA"/>
    <w:rsid w:val="279F4671"/>
    <w:rsid w:val="2C496873"/>
    <w:rsid w:val="2CA36A90"/>
    <w:rsid w:val="31BD2380"/>
    <w:rsid w:val="321468EA"/>
    <w:rsid w:val="32396FAE"/>
    <w:rsid w:val="32476A1F"/>
    <w:rsid w:val="38304CE9"/>
    <w:rsid w:val="398E129F"/>
    <w:rsid w:val="3B3F1DAA"/>
    <w:rsid w:val="3DFC546C"/>
    <w:rsid w:val="3E5416F2"/>
    <w:rsid w:val="3F5D194E"/>
    <w:rsid w:val="40694DC0"/>
    <w:rsid w:val="40E203D3"/>
    <w:rsid w:val="411F7C23"/>
    <w:rsid w:val="412B179E"/>
    <w:rsid w:val="414478E0"/>
    <w:rsid w:val="416A0A92"/>
    <w:rsid w:val="422603E6"/>
    <w:rsid w:val="44767252"/>
    <w:rsid w:val="44C91695"/>
    <w:rsid w:val="45744B7A"/>
    <w:rsid w:val="4597570B"/>
    <w:rsid w:val="483E2094"/>
    <w:rsid w:val="4890686D"/>
    <w:rsid w:val="48F06971"/>
    <w:rsid w:val="49A55F90"/>
    <w:rsid w:val="4B1D7F61"/>
    <w:rsid w:val="4B4A046A"/>
    <w:rsid w:val="4B7E3AE4"/>
    <w:rsid w:val="4CE75B92"/>
    <w:rsid w:val="4E054177"/>
    <w:rsid w:val="4EEA4FCB"/>
    <w:rsid w:val="5163582E"/>
    <w:rsid w:val="53043E75"/>
    <w:rsid w:val="53EB5FE8"/>
    <w:rsid w:val="558A6D4D"/>
    <w:rsid w:val="55DA38A0"/>
    <w:rsid w:val="56780D02"/>
    <w:rsid w:val="567F7FA4"/>
    <w:rsid w:val="57654057"/>
    <w:rsid w:val="578D647B"/>
    <w:rsid w:val="57A31B53"/>
    <w:rsid w:val="57C20C8A"/>
    <w:rsid w:val="57FE49CA"/>
    <w:rsid w:val="587A146A"/>
    <w:rsid w:val="58936A9D"/>
    <w:rsid w:val="58AA1B0C"/>
    <w:rsid w:val="59224E61"/>
    <w:rsid w:val="59A42175"/>
    <w:rsid w:val="59B92ABF"/>
    <w:rsid w:val="5DC60FED"/>
    <w:rsid w:val="5E102850"/>
    <w:rsid w:val="5E666DE2"/>
    <w:rsid w:val="5E7B6E32"/>
    <w:rsid w:val="600128AE"/>
    <w:rsid w:val="616857AA"/>
    <w:rsid w:val="619F5BD5"/>
    <w:rsid w:val="641D797B"/>
    <w:rsid w:val="64437109"/>
    <w:rsid w:val="651D5F7C"/>
    <w:rsid w:val="657704D8"/>
    <w:rsid w:val="67655552"/>
    <w:rsid w:val="68944E05"/>
    <w:rsid w:val="695232F6"/>
    <w:rsid w:val="6A3401EC"/>
    <w:rsid w:val="6C0C1E82"/>
    <w:rsid w:val="6E0C7681"/>
    <w:rsid w:val="6E0D40C6"/>
    <w:rsid w:val="6E796721"/>
    <w:rsid w:val="700C488E"/>
    <w:rsid w:val="717107DF"/>
    <w:rsid w:val="71AA2CF2"/>
    <w:rsid w:val="74251D33"/>
    <w:rsid w:val="74350750"/>
    <w:rsid w:val="75466405"/>
    <w:rsid w:val="7565081C"/>
    <w:rsid w:val="76BE1C0E"/>
    <w:rsid w:val="76E94DC7"/>
    <w:rsid w:val="772E72D2"/>
    <w:rsid w:val="78AD5BFC"/>
    <w:rsid w:val="79A50E6D"/>
    <w:rsid w:val="7A7C35B8"/>
    <w:rsid w:val="7B4E0760"/>
    <w:rsid w:val="7DAF7182"/>
    <w:rsid w:val="7F1A5FD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rPr>
      <w:rFonts w:ascii="Times New Roman" w:hAnsi="Times New Roman" w:eastAsia="宋体" w:cs="Times New Roman"/>
    </w:rPr>
  </w:style>
  <w:style w:type="paragraph" w:customStyle="1" w:styleId="3">
    <w:name w:val="Intense Quote_b1dc4084-b07e-4d59-b987-784ebac30932"/>
    <w:next w:val="1"/>
    <w:qFormat/>
    <w:uiPriority w:val="0"/>
    <w:pPr>
      <w:wordWrap w:val="0"/>
      <w:spacing w:before="360" w:after="360"/>
      <w:ind w:left="950" w:right="950"/>
      <w:jc w:val="center"/>
    </w:pPr>
    <w:rPr>
      <w:rFonts w:ascii="Calibri" w:hAnsi="Calibri" w:eastAsia="宋体" w:cs="Times New Roman"/>
      <w:i/>
      <w:sz w:val="21"/>
      <w:lang w:val="en-US" w:eastAsia="zh-CN" w:bidi="ar-SA"/>
    </w:r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customStyle="1" w:styleId="10">
    <w:name w:val="BodyText"/>
    <w:basedOn w:val="1"/>
    <w:next w:val="11"/>
    <w:qFormat/>
    <w:uiPriority w:val="0"/>
    <w:pPr>
      <w:spacing w:after="120"/>
    </w:pPr>
    <w:rPr>
      <w:rFonts w:ascii="Times New Roman" w:hAnsi="Times New Roman" w:eastAsia="宋体" w:cs="Times New Roman"/>
      <w:szCs w:val="20"/>
    </w:rPr>
  </w:style>
  <w:style w:type="paragraph" w:customStyle="1" w:styleId="11">
    <w:name w:val="BodyText1I2"/>
    <w:basedOn w:val="12"/>
    <w:qFormat/>
    <w:uiPriority w:val="0"/>
    <w:pPr>
      <w:ind w:firstLine="420" w:firstLineChars="200"/>
    </w:pPr>
    <w:rPr>
      <w:rFonts w:ascii="Times New Roman" w:hAnsi="Times New Roman" w:eastAsia="宋体" w:cs="Times New Roman"/>
    </w:rPr>
  </w:style>
  <w:style w:type="paragraph" w:customStyle="1" w:styleId="12">
    <w:name w:val="BodyTextIndent"/>
    <w:basedOn w:val="1"/>
    <w:qFormat/>
    <w:uiPriority w:val="0"/>
    <w:pPr>
      <w:ind w:firstLine="800" w:firstLineChars="250"/>
    </w:pPr>
    <w:rPr>
      <w:rFonts w:ascii="仿宋_GB2312" w:hAnsi="仿宋" w:eastAsia="宋体" w:cs="Times New Roman"/>
    </w:rPr>
  </w:style>
  <w:style w:type="paragraph" w:customStyle="1" w:styleId="13">
    <w:name w:val="_Style 5"/>
    <w:qFormat/>
    <w:uiPriority w:val="0"/>
    <w:pPr>
      <w:widowControl w:val="0"/>
      <w:ind w:firstLine="200" w:firstLineChars="200"/>
      <w:jc w:val="both"/>
    </w:pPr>
    <w:rPr>
      <w:rFonts w:ascii="Calibri" w:hAnsi="Calibri" w:eastAsia="宋体" w:cs="Times New Roman"/>
      <w:kern w:val="2"/>
      <w:sz w:val="24"/>
      <w:szCs w:val="22"/>
      <w:lang w:val="en-US" w:eastAsia="zh-CN" w:bidi="ar-SA"/>
    </w:rPr>
  </w:style>
  <w:style w:type="paragraph" w:customStyle="1" w:styleId="14">
    <w:name w:val="正文首行缩进 21"/>
    <w:basedOn w:val="1"/>
    <w:qFormat/>
    <w:uiPriority w:val="0"/>
    <w:pPr>
      <w:spacing w:line="360" w:lineRule="auto"/>
      <w:ind w:firstLine="420" w:firstLineChars="200"/>
      <w:textAlignment w:val="baseline"/>
    </w:pPr>
    <w:rPr>
      <w:rFonts w:eastAsia="宋体"/>
      <w:sz w:val="24"/>
    </w:rPr>
  </w:style>
  <w:style w:type="paragraph" w:customStyle="1" w:styleId="15">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9</Pages>
  <Words>4077</Words>
  <Characters>4404</Characters>
  <Lines>21</Lines>
  <Paragraphs>10</Paragraphs>
  <TotalTime>26</TotalTime>
  <ScaleCrop>false</ScaleCrop>
  <LinksUpToDate>false</LinksUpToDate>
  <CharactersWithSpaces>4416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2020-07-14T08:14:00Z</dcterms:created>
  <dc:creator>shx</dc:creator>
  <cp:lastModifiedBy>啊楠 ~ </cp:lastModifiedBy>
  <cp:lastPrinted>2026-09-20T03:49:00Z</cp:lastPrinted>
  <dcterms:modified xsi:type="dcterms:W3CDTF">2026-09-20T09:45:24Z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eyJoZGlkIjoiZTc0YWI4NDQyMjRkMGFkMDUyMGRhYjM5ZjFlNTA1YzUiLCJ1c2VySWQiOiI2ODQ4MzU5MTMifQ==</vt:lpwstr>
  </property>
  <property fmtid="{D5CDD505-2E9C-101B-9397-08002B2CF9AE}" pid="4" name="ICV">
    <vt:lpwstr>8ADCFE98A2DA40C1AA56E2730696DFA8_12</vt:lpwstr>
  </property>
</Properties>
</file>