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16"/>
        <w:widowControl/>
        <w:spacing w:line="620" w:lineRule="exact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Times New Roman"/>
          <w:color w:val="000000"/>
          <w:sz w:val="32"/>
          <w:szCs w:val="32"/>
        </w:rPr>
        <w:t>1</w:t>
      </w:r>
    </w:p>
    <w:p>
      <w:pPr>
        <w:pStyle w:val="16"/>
        <w:widowControl/>
        <w:spacing w:line="620" w:lineRule="exact"/>
        <w:jc w:val="center"/>
        <w:rPr>
          <w:rFonts w:ascii="Times New Roman" w:hAnsi="Times New Roman" w:eastAsia="黑体" w:cs="Times New Roman"/>
          <w:color w:val="000000"/>
          <w:sz w:val="32"/>
          <w:szCs w:val="32"/>
          <w:highlight w:val="none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w w:val="95"/>
          <w:kern w:val="0"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w w:val="95"/>
          <w:kern w:val="0"/>
          <w:sz w:val="44"/>
          <w:szCs w:val="44"/>
          <w:highlight w:val="none"/>
          <w:shd w:val="clear" w:color="auto" w:fill="FFFFFF"/>
        </w:rPr>
        <w:t>《阳江市充电基础设施高质量发展方案》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Times New Roman"/>
          <w:w w:val="95"/>
          <w:sz w:val="44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w w:val="95"/>
          <w:kern w:val="0"/>
          <w:sz w:val="44"/>
          <w:szCs w:val="44"/>
          <w:highlight w:val="none"/>
          <w:shd w:val="clear" w:color="auto" w:fill="FFFFFF"/>
        </w:rPr>
        <w:t>编制计划</w:t>
      </w:r>
    </w:p>
    <w:p>
      <w:pPr>
        <w:spacing w:line="600" w:lineRule="exact"/>
        <w:jc w:val="center"/>
        <w:rPr>
          <w:rFonts w:ascii="Times New Roman" w:hAnsi="Times New Roman" w:eastAsia="仿宋_GB2312" w:cs="Times New Roman"/>
          <w:b/>
          <w:bCs/>
          <w:sz w:val="32"/>
          <w:szCs w:val="32"/>
          <w:highlight w:val="none"/>
        </w:rPr>
      </w:pPr>
    </w:p>
    <w:p>
      <w:pPr>
        <w:spacing w:line="600" w:lineRule="exact"/>
        <w:ind w:firstLine="643" w:firstLineChars="200"/>
        <w:rPr>
          <w:rFonts w:ascii="Times New Roman" w:hAnsi="Times New Roman" w:eastAsia="仿宋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highlight w:val="none"/>
          <w:lang w:eastAsia="zh-CN"/>
        </w:rPr>
        <w:t>方案</w:t>
      </w:r>
      <w:r>
        <w:rPr>
          <w:rFonts w:ascii="Times New Roman" w:hAnsi="Times New Roman" w:eastAsia="仿宋" w:cs="Times New Roman"/>
          <w:b/>
          <w:bCs/>
          <w:sz w:val="32"/>
          <w:szCs w:val="32"/>
          <w:highlight w:val="none"/>
        </w:rPr>
        <w:t>名称：</w:t>
      </w:r>
      <w:r>
        <w:rPr>
          <w:rFonts w:ascii="Times New Roman" w:hAnsi="Times New Roman" w:eastAsia="仿宋" w:cs="Times New Roman"/>
          <w:sz w:val="32"/>
          <w:szCs w:val="32"/>
          <w:highlight w:val="none"/>
        </w:rPr>
        <w:t>《阳江市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充电基础设施高质量发展方案</w:t>
      </w:r>
      <w:r>
        <w:rPr>
          <w:rFonts w:ascii="Times New Roman" w:hAnsi="Times New Roman" w:eastAsia="仿宋" w:cs="Times New Roman"/>
          <w:sz w:val="32"/>
          <w:szCs w:val="32"/>
          <w:highlight w:val="none"/>
        </w:rPr>
        <w:t>》</w:t>
      </w:r>
    </w:p>
    <w:p>
      <w:pPr>
        <w:spacing w:line="600" w:lineRule="exact"/>
        <w:ind w:firstLine="643" w:firstLineChars="200"/>
        <w:rPr>
          <w:rFonts w:ascii="Times New Roman" w:hAnsi="Times New Roman" w:eastAsia="仿宋" w:cs="Times New Roman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  <w:highlight w:val="none"/>
        </w:rPr>
        <w:t>编制方向：</w:t>
      </w:r>
      <w:r>
        <w:rPr>
          <w:rFonts w:hint="eastAsia" w:eastAsia="仿宋"/>
          <w:sz w:val="32"/>
          <w:szCs w:val="32"/>
          <w:highlight w:val="none"/>
        </w:rPr>
        <w:t>为深入贯彻落实国家“双碳”战略目标和“十五五”规划部署，加快构建高质量充电基础设施体系，</w:t>
      </w:r>
      <w:r>
        <w:rPr>
          <w:rFonts w:eastAsia="仿宋"/>
          <w:sz w:val="32"/>
          <w:szCs w:val="32"/>
          <w:highlight w:val="none"/>
        </w:rPr>
        <w:t>全面服务粤港澳大湾区绿色低碳发展，锚定打造</w:t>
      </w:r>
      <w:r>
        <w:rPr>
          <w:rFonts w:hint="eastAsia" w:eastAsia="仿宋"/>
          <w:sz w:val="32"/>
          <w:szCs w:val="32"/>
          <w:highlight w:val="none"/>
        </w:rPr>
        <w:t>“</w:t>
      </w:r>
      <w:r>
        <w:rPr>
          <w:rFonts w:eastAsia="仿宋"/>
          <w:sz w:val="32"/>
          <w:szCs w:val="32"/>
          <w:highlight w:val="none"/>
        </w:rPr>
        <w:t>绿能之都</w:t>
      </w:r>
      <w:r>
        <w:rPr>
          <w:rFonts w:hint="eastAsia" w:eastAsia="仿宋"/>
          <w:sz w:val="32"/>
          <w:szCs w:val="32"/>
          <w:highlight w:val="none"/>
        </w:rPr>
        <w:t>、</w:t>
      </w:r>
      <w:r>
        <w:rPr>
          <w:rFonts w:eastAsia="仿宋"/>
          <w:sz w:val="32"/>
          <w:szCs w:val="32"/>
          <w:highlight w:val="none"/>
        </w:rPr>
        <w:t>建设海丝名城</w:t>
      </w:r>
      <w:r>
        <w:rPr>
          <w:rFonts w:hint="eastAsia" w:eastAsia="仿宋"/>
          <w:sz w:val="32"/>
          <w:szCs w:val="32"/>
          <w:highlight w:val="none"/>
        </w:rPr>
        <w:t>”</w:t>
      </w:r>
      <w:r>
        <w:rPr>
          <w:rFonts w:eastAsia="仿宋"/>
          <w:sz w:val="32"/>
          <w:szCs w:val="32"/>
          <w:highlight w:val="none"/>
        </w:rPr>
        <w:t>战略定位</w:t>
      </w:r>
      <w:r>
        <w:rPr>
          <w:rFonts w:hint="eastAsia" w:eastAsia="仿宋"/>
          <w:sz w:val="32"/>
          <w:szCs w:val="32"/>
          <w:highlight w:val="none"/>
        </w:rPr>
        <w:t>，</w:t>
      </w:r>
      <w:r>
        <w:rPr>
          <w:rFonts w:eastAsia="仿宋"/>
          <w:sz w:val="32"/>
          <w:szCs w:val="32"/>
          <w:highlight w:val="none"/>
        </w:rPr>
        <w:t>助力我市推进</w:t>
      </w:r>
      <w:r>
        <w:rPr>
          <w:rFonts w:hint="eastAsia" w:eastAsia="仿宋"/>
          <w:sz w:val="32"/>
          <w:szCs w:val="32"/>
          <w:highlight w:val="none"/>
        </w:rPr>
        <w:t>“</w:t>
      </w:r>
      <w:r>
        <w:rPr>
          <w:rFonts w:eastAsia="仿宋"/>
          <w:sz w:val="32"/>
          <w:szCs w:val="32"/>
          <w:highlight w:val="none"/>
        </w:rPr>
        <w:t>百县千镇万村高质量发展工程</w:t>
      </w:r>
      <w:r>
        <w:rPr>
          <w:rFonts w:hint="eastAsia" w:eastAsia="仿宋"/>
          <w:sz w:val="32"/>
          <w:szCs w:val="32"/>
          <w:highlight w:val="none"/>
        </w:rPr>
        <w:t>”</w:t>
      </w:r>
      <w:r>
        <w:rPr>
          <w:rFonts w:eastAsia="仿宋"/>
          <w:sz w:val="32"/>
          <w:szCs w:val="32"/>
          <w:highlight w:val="none"/>
        </w:rPr>
        <w:t>，支撑新能源汽车推广应用与绿色交通低碳转型</w:t>
      </w:r>
      <w:r>
        <w:rPr>
          <w:rFonts w:hint="eastAsia" w:eastAsia="仿宋"/>
          <w:sz w:val="32"/>
          <w:szCs w:val="32"/>
          <w:highlight w:val="none"/>
        </w:rPr>
        <w:t>，我局拟组织开展《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阳江市充电基础设施高质量发展方案</w:t>
      </w:r>
      <w:r>
        <w:rPr>
          <w:rFonts w:hint="eastAsia" w:eastAsia="仿宋"/>
          <w:sz w:val="32"/>
          <w:szCs w:val="32"/>
          <w:highlight w:val="none"/>
        </w:rPr>
        <w:t>》（下称《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方案</w:t>
      </w:r>
      <w:r>
        <w:rPr>
          <w:rFonts w:hint="eastAsia" w:eastAsia="仿宋"/>
          <w:sz w:val="32"/>
          <w:szCs w:val="32"/>
          <w:highlight w:val="none"/>
        </w:rPr>
        <w:t>》）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，</w:t>
      </w:r>
      <w:r>
        <w:rPr>
          <w:rFonts w:hint="eastAsia" w:eastAsia="仿宋"/>
          <w:sz w:val="32"/>
          <w:szCs w:val="32"/>
          <w:highlight w:val="none"/>
        </w:rPr>
        <w:t>通过系统性研究，开展</w:t>
      </w:r>
      <w:r>
        <w:rPr>
          <w:rFonts w:eastAsia="仿宋"/>
          <w:sz w:val="32"/>
          <w:szCs w:val="32"/>
          <w:highlight w:val="none"/>
        </w:rPr>
        <w:t>充电</w:t>
      </w:r>
      <w:r>
        <w:rPr>
          <w:rFonts w:hint="eastAsia" w:eastAsia="仿宋"/>
          <w:sz w:val="32"/>
          <w:szCs w:val="32"/>
          <w:highlight w:val="none"/>
        </w:rPr>
        <w:t>基础</w:t>
      </w:r>
      <w:r>
        <w:rPr>
          <w:rFonts w:eastAsia="仿宋"/>
          <w:sz w:val="32"/>
          <w:szCs w:val="32"/>
          <w:highlight w:val="none"/>
        </w:rPr>
        <w:t>设施</w:t>
      </w:r>
      <w:r>
        <w:rPr>
          <w:rFonts w:hint="eastAsia" w:eastAsia="仿宋"/>
          <w:sz w:val="32"/>
          <w:szCs w:val="32"/>
          <w:highlight w:val="none"/>
        </w:rPr>
        <w:t>规划</w:t>
      </w:r>
      <w:r>
        <w:rPr>
          <w:rFonts w:eastAsia="仿宋"/>
          <w:sz w:val="32"/>
          <w:szCs w:val="32"/>
          <w:highlight w:val="none"/>
        </w:rPr>
        <w:t>，做好与国土空间、电网、交通等专项规划衔接</w:t>
      </w:r>
      <w:r>
        <w:rPr>
          <w:rFonts w:hint="eastAsia" w:eastAsia="仿宋"/>
          <w:sz w:val="32"/>
          <w:szCs w:val="32"/>
          <w:highlight w:val="none"/>
        </w:rPr>
        <w:t>，争取相关支持，掌握工作主动权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。</w:t>
      </w:r>
      <w:r>
        <w:rPr>
          <w:rFonts w:hint="eastAsia" w:eastAsia="仿宋"/>
          <w:sz w:val="32"/>
          <w:szCs w:val="32"/>
          <w:highlight w:val="none"/>
        </w:rPr>
        <w:t>《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方案</w:t>
      </w:r>
      <w:r>
        <w:rPr>
          <w:rFonts w:hint="eastAsia" w:eastAsia="仿宋"/>
          <w:sz w:val="32"/>
          <w:szCs w:val="32"/>
          <w:highlight w:val="none"/>
        </w:rPr>
        <w:t>》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内容应包括：</w:t>
      </w:r>
    </w:p>
    <w:p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</w:t>
      </w:r>
      <w:r>
        <w:rPr>
          <w:rFonts w:hint="eastAsia" w:ascii="Times New Roman" w:hAnsi="Times New Roman" w:eastAsia="仿宋" w:cs="Times New Roman"/>
          <w:sz w:val="32"/>
          <w:szCs w:val="32"/>
        </w:rPr>
        <w:t>1</w:t>
      </w:r>
      <w:r>
        <w:rPr>
          <w:rFonts w:ascii="Times New Roman" w:hAnsi="Times New Roman" w:eastAsia="仿宋" w:cs="Times New Roman"/>
          <w:sz w:val="32"/>
          <w:szCs w:val="32"/>
        </w:rPr>
        <w:t>）发展基础与问题研判。全面梳理</w:t>
      </w:r>
      <w:r>
        <w:rPr>
          <w:rFonts w:hint="eastAsia" w:ascii="Times New Roman" w:hAnsi="Times New Roman" w:eastAsia="仿宋" w:cs="Times New Roman"/>
          <w:sz w:val="32"/>
          <w:szCs w:val="32"/>
        </w:rPr>
        <w:t>当前</w:t>
      </w:r>
      <w:r>
        <w:rPr>
          <w:rFonts w:ascii="Times New Roman" w:hAnsi="Times New Roman" w:eastAsia="仿宋" w:cs="Times New Roman"/>
          <w:sz w:val="32"/>
          <w:szCs w:val="32"/>
        </w:rPr>
        <w:t>全市电动汽车</w:t>
      </w:r>
      <w:r>
        <w:rPr>
          <w:rFonts w:hint="eastAsia" w:ascii="Times New Roman" w:hAnsi="Times New Roman" w:eastAsia="仿宋" w:cs="Times New Roman"/>
          <w:sz w:val="32"/>
          <w:szCs w:val="32"/>
        </w:rPr>
        <w:t>推广情况</w:t>
      </w:r>
      <w:r>
        <w:rPr>
          <w:rFonts w:ascii="Times New Roman" w:hAnsi="Times New Roman" w:eastAsia="仿宋" w:cs="Times New Roman"/>
          <w:sz w:val="32"/>
          <w:szCs w:val="32"/>
        </w:rPr>
        <w:t>、充电基础设施建设</w:t>
      </w:r>
      <w:r>
        <w:rPr>
          <w:rFonts w:hint="eastAsia" w:ascii="Times New Roman" w:hAnsi="Times New Roman" w:eastAsia="仿宋" w:cs="Times New Roman"/>
          <w:sz w:val="32"/>
          <w:szCs w:val="32"/>
        </w:rPr>
        <w:t>总体情况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</w:rPr>
        <w:t>总结现状存在问题</w:t>
      </w:r>
      <w:r>
        <w:rPr>
          <w:rFonts w:ascii="Times New Roman" w:hAnsi="Times New Roman" w:eastAsia="仿宋" w:cs="Times New Roman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</w:t>
      </w:r>
      <w:r>
        <w:rPr>
          <w:rFonts w:hint="eastAsia" w:ascii="Times New Roman" w:hAnsi="Times New Roman" w:eastAsia="仿宋" w:cs="Times New Roman"/>
          <w:sz w:val="32"/>
          <w:szCs w:val="32"/>
        </w:rPr>
        <w:t>2</w:t>
      </w:r>
      <w:r>
        <w:rPr>
          <w:rFonts w:ascii="Times New Roman" w:hAnsi="Times New Roman" w:eastAsia="仿宋" w:cs="Times New Roman"/>
          <w:sz w:val="32"/>
          <w:szCs w:val="32"/>
        </w:rPr>
        <w:t>）发展形势与需求预测。研判政策导向、市场需求、城乡融合、场景拓展、融湾发展等机遇趋势，科学预测 “十五五” 期间电动汽车保有量及</w:t>
      </w:r>
      <w:r>
        <w:rPr>
          <w:rFonts w:hint="eastAsia" w:ascii="Times New Roman" w:hAnsi="Times New Roman" w:eastAsia="仿宋" w:cs="Times New Roman"/>
          <w:sz w:val="32"/>
          <w:szCs w:val="32"/>
        </w:rPr>
        <w:t>充电基础设施</w:t>
      </w:r>
      <w:r>
        <w:rPr>
          <w:rFonts w:ascii="Times New Roman" w:hAnsi="Times New Roman" w:eastAsia="仿宋" w:cs="Times New Roman"/>
          <w:sz w:val="32"/>
          <w:szCs w:val="32"/>
        </w:rPr>
        <w:t>建设规模。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</w:t>
      </w:r>
      <w:r>
        <w:rPr>
          <w:rFonts w:hint="eastAsia" w:ascii="Times New Roman" w:hAnsi="Times New Roman" w:eastAsia="仿宋" w:cs="Times New Roman"/>
          <w:sz w:val="32"/>
          <w:szCs w:val="32"/>
        </w:rPr>
        <w:t>3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  <w:r>
        <w:rPr>
          <w:rFonts w:hint="eastAsia" w:ascii="Times New Roman" w:hAnsi="Times New Roman" w:eastAsia="仿宋" w:cs="Times New Roman"/>
          <w:sz w:val="32"/>
          <w:szCs w:val="32"/>
        </w:rPr>
        <w:t>发展策略与规划目标</w:t>
      </w:r>
      <w:r>
        <w:rPr>
          <w:rFonts w:ascii="Times New Roman" w:hAnsi="Times New Roman" w:eastAsia="仿宋" w:cs="Times New Roman"/>
          <w:sz w:val="32"/>
          <w:szCs w:val="32"/>
        </w:rPr>
        <w:t>。</w:t>
      </w:r>
      <w:r>
        <w:rPr>
          <w:rFonts w:hint="eastAsia" w:ascii="Times New Roman" w:hAnsi="Times New Roman" w:eastAsia="仿宋" w:cs="Times New Roman"/>
          <w:sz w:val="32"/>
          <w:szCs w:val="32"/>
        </w:rPr>
        <w:t>根据城市自然条件、定位及发展特点，考虑当地政策，兼顾存量挖潜和增量新建，提出规划区电动汽车充电基础设施发展策略；并根据充电设施发展需求，制定规划目标。</w:t>
      </w:r>
    </w:p>
    <w:p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</w:t>
      </w:r>
      <w:r>
        <w:rPr>
          <w:rFonts w:hint="eastAsia" w:ascii="Times New Roman" w:hAnsi="Times New Roman" w:eastAsia="仿宋" w:cs="Times New Roman"/>
          <w:sz w:val="32"/>
          <w:szCs w:val="32"/>
        </w:rPr>
        <w:t>4</w:t>
      </w:r>
      <w:r>
        <w:rPr>
          <w:rFonts w:ascii="Times New Roman" w:hAnsi="Times New Roman" w:eastAsia="仿宋" w:cs="Times New Roman"/>
          <w:sz w:val="32"/>
          <w:szCs w:val="32"/>
        </w:rPr>
        <w:t>）重点任务。</w:t>
      </w:r>
      <w:r>
        <w:rPr>
          <w:rFonts w:hint="eastAsia" w:ascii="Times New Roman" w:hAnsi="Times New Roman" w:eastAsia="仿宋" w:cs="Times New Roman"/>
          <w:sz w:val="32"/>
          <w:szCs w:val="32"/>
        </w:rPr>
        <w:t>从完善充电基础设施布局、推广新技术应用、创新合作模式、加强配套电网保障能力等方面部署“十五五”充电基础设施重点任务。</w:t>
      </w:r>
    </w:p>
    <w:p>
      <w:pPr>
        <w:spacing w:line="60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</w:t>
      </w:r>
      <w:r>
        <w:rPr>
          <w:rFonts w:hint="eastAsia" w:ascii="Times New Roman" w:hAnsi="Times New Roman" w:eastAsia="仿宋" w:cs="Times New Roman"/>
          <w:sz w:val="32"/>
          <w:szCs w:val="32"/>
        </w:rPr>
        <w:t>5</w:t>
      </w:r>
      <w:r>
        <w:rPr>
          <w:rFonts w:ascii="Times New Roman" w:hAnsi="Times New Roman" w:eastAsia="仿宋" w:cs="Times New Roman"/>
          <w:sz w:val="32"/>
          <w:szCs w:val="32"/>
        </w:rPr>
        <w:t>）保障措施。从组织领导、规划引领、要素保障、资金支持、破解建设堵点等方面提出</w:t>
      </w:r>
      <w:bookmarkStart w:id="0" w:name="_GoBack"/>
      <w:bookmarkEnd w:id="0"/>
      <w:r>
        <w:rPr>
          <w:rFonts w:ascii="Times New Roman" w:hAnsi="Times New Roman" w:eastAsia="仿宋" w:cs="Times New Roman"/>
          <w:sz w:val="32"/>
          <w:szCs w:val="32"/>
        </w:rPr>
        <w:t>规划落地的配套保障举措。</w:t>
      </w:r>
    </w:p>
    <w:p>
      <w:pPr>
        <w:widowControl/>
        <w:spacing w:line="360" w:lineRule="auto"/>
        <w:ind w:firstLine="562" w:firstLineChars="200"/>
        <w:rPr>
          <w:rFonts w:ascii="仿宋_GB2312" w:hAnsi="宋体" w:eastAsia="仿宋_GB2312" w:cs="宋体"/>
          <w:b/>
          <w:bCs/>
          <w:kern w:val="0"/>
          <w:sz w:val="28"/>
        </w:rPr>
      </w:pPr>
    </w:p>
    <w:p>
      <w:pPr>
        <w:spacing w:line="600" w:lineRule="exact"/>
        <w:ind w:firstLine="643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预算金额：</w:t>
      </w:r>
      <w:r>
        <w:rPr>
          <w:rFonts w:hint="eastAsia" w:ascii="Times New Roman" w:hAnsi="Times New Roman" w:eastAsia="仿宋" w:cs="Times New Roman"/>
          <w:sz w:val="32"/>
          <w:szCs w:val="32"/>
        </w:rPr>
        <w:t>30</w:t>
      </w:r>
      <w:r>
        <w:rPr>
          <w:rFonts w:ascii="Times New Roman" w:hAnsi="Times New Roman" w:eastAsia="仿宋" w:cs="Times New Roman"/>
          <w:sz w:val="32"/>
          <w:szCs w:val="32"/>
        </w:rPr>
        <w:t>万元（人民币）以内（含评审费）</w:t>
      </w:r>
    </w:p>
    <w:p>
      <w:pPr>
        <w:spacing w:line="600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编制起止时间：</w:t>
      </w:r>
      <w:r>
        <w:rPr>
          <w:rFonts w:ascii="Times New Roman" w:hAnsi="Times New Roman" w:eastAsia="仿宋" w:cs="Times New Roman"/>
          <w:sz w:val="32"/>
          <w:szCs w:val="32"/>
        </w:rPr>
        <w:t>自合同签订日起到202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" w:cs="Times New Roman"/>
          <w:sz w:val="32"/>
          <w:szCs w:val="32"/>
        </w:rPr>
        <w:t>年</w:t>
      </w:r>
      <w:r>
        <w:rPr>
          <w:rFonts w:hint="eastAsia" w:ascii="Times New Roman" w:hAnsi="Times New Roman" w:eastAsia="仿宋" w:cs="Times New Roman"/>
          <w:sz w:val="32"/>
          <w:szCs w:val="32"/>
        </w:rPr>
        <w:t>**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</w:rPr>
        <w:t>**</w:t>
      </w:r>
      <w:r>
        <w:rPr>
          <w:rFonts w:ascii="Times New Roman" w:hAnsi="Times New Roman" w:eastAsia="仿宋" w:cs="Times New Roman"/>
          <w:sz w:val="32"/>
          <w:szCs w:val="32"/>
        </w:rPr>
        <w:t>日</w:t>
      </w:r>
    </w:p>
    <w:p>
      <w:pPr>
        <w:wordWrap w:val="0"/>
        <w:spacing w:line="540" w:lineRule="exact"/>
        <w:rPr>
          <w:rFonts w:ascii="Times New Roman" w:hAnsi="Times New Roman" w:eastAsia="仿宋" w:cs="Times New Roman"/>
          <w:sz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attachedTemplate r:id="rId1"/>
  <w:documentProtection w:enforcement="0"/>
  <w:defaultTabStop w:val="420"/>
  <w:drawingGridHorizontalSpacing w:val="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adjustLineHeightInTable/>
    <w:doNotWrapTextWithPunc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jg1MDQzOWFmMTA1NmU0Y2E0NmFlNjJlYTQ2N2YwNGMifQ=="/>
  </w:docVars>
  <w:rsids>
    <w:rsidRoot w:val="00172A27"/>
    <w:rsid w:val="000570F6"/>
    <w:rsid w:val="00070E5A"/>
    <w:rsid w:val="00172A27"/>
    <w:rsid w:val="004352CA"/>
    <w:rsid w:val="00496AA5"/>
    <w:rsid w:val="005F33DB"/>
    <w:rsid w:val="00876CA8"/>
    <w:rsid w:val="008C18D1"/>
    <w:rsid w:val="008E1016"/>
    <w:rsid w:val="00932C54"/>
    <w:rsid w:val="00AF1085"/>
    <w:rsid w:val="00B933A7"/>
    <w:rsid w:val="00D57FB2"/>
    <w:rsid w:val="00DE3B38"/>
    <w:rsid w:val="00E07436"/>
    <w:rsid w:val="00E3021F"/>
    <w:rsid w:val="06D45384"/>
    <w:rsid w:val="077D71E9"/>
    <w:rsid w:val="07B43C82"/>
    <w:rsid w:val="07D370DE"/>
    <w:rsid w:val="09954E0D"/>
    <w:rsid w:val="0A067065"/>
    <w:rsid w:val="0D754153"/>
    <w:rsid w:val="0E9A7169"/>
    <w:rsid w:val="116E041E"/>
    <w:rsid w:val="173D4609"/>
    <w:rsid w:val="19BF7649"/>
    <w:rsid w:val="1A355B24"/>
    <w:rsid w:val="1BBA735A"/>
    <w:rsid w:val="1DE96E93"/>
    <w:rsid w:val="215107CD"/>
    <w:rsid w:val="2500370E"/>
    <w:rsid w:val="268E39D0"/>
    <w:rsid w:val="2BAE3DE1"/>
    <w:rsid w:val="31B47C77"/>
    <w:rsid w:val="35F93F25"/>
    <w:rsid w:val="37FD5754"/>
    <w:rsid w:val="38BF32DF"/>
    <w:rsid w:val="3BEF3EF9"/>
    <w:rsid w:val="3C9C7362"/>
    <w:rsid w:val="3F05439E"/>
    <w:rsid w:val="42DC11EC"/>
    <w:rsid w:val="442273B7"/>
    <w:rsid w:val="46733149"/>
    <w:rsid w:val="487639DF"/>
    <w:rsid w:val="4A04706C"/>
    <w:rsid w:val="4AFBBD02"/>
    <w:rsid w:val="4C87000A"/>
    <w:rsid w:val="4CEC49E8"/>
    <w:rsid w:val="4D4B1038"/>
    <w:rsid w:val="4E352977"/>
    <w:rsid w:val="4F7F6F9D"/>
    <w:rsid w:val="4F9F07A6"/>
    <w:rsid w:val="57D4566A"/>
    <w:rsid w:val="596F4300"/>
    <w:rsid w:val="5A1F0DF6"/>
    <w:rsid w:val="5D9E55D9"/>
    <w:rsid w:val="611C2857"/>
    <w:rsid w:val="639B1F33"/>
    <w:rsid w:val="67304B39"/>
    <w:rsid w:val="696A0640"/>
    <w:rsid w:val="69E06B1A"/>
    <w:rsid w:val="6B1C3BBC"/>
    <w:rsid w:val="6C9B63D3"/>
    <w:rsid w:val="6FEB9C76"/>
    <w:rsid w:val="73256A71"/>
    <w:rsid w:val="74F34ADF"/>
    <w:rsid w:val="76722ADF"/>
    <w:rsid w:val="76FC5BC6"/>
    <w:rsid w:val="778562E2"/>
    <w:rsid w:val="77D722C8"/>
    <w:rsid w:val="79CBD84E"/>
    <w:rsid w:val="7C430AC2"/>
    <w:rsid w:val="7DFFEE03"/>
    <w:rsid w:val="7FABFE3C"/>
    <w:rsid w:val="7FF66A5B"/>
    <w:rsid w:val="7FFFBFDA"/>
    <w:rsid w:val="BDF529C1"/>
    <w:rsid w:val="BFDFDFEE"/>
    <w:rsid w:val="D3720655"/>
    <w:rsid w:val="D67F71DF"/>
    <w:rsid w:val="DB65549E"/>
    <w:rsid w:val="DCFD4B5E"/>
    <w:rsid w:val="F3DBAC7E"/>
    <w:rsid w:val="F7DFBF14"/>
    <w:rsid w:val="FFFBA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left"/>
      <w:outlineLvl w:val="0"/>
    </w:pPr>
    <w:rPr>
      <w:rFonts w:hint="eastAsia" w:ascii="宋体" w:hAnsi="宋体" w:cs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20" w:after="120"/>
      <w:outlineLvl w:val="1"/>
    </w:pPr>
    <w:rPr>
      <w:rFonts w:ascii="等线 Light" w:hAnsi="等线 Light" w:eastAsia="黑体" w:cs="Times New Roman"/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alloon Text"/>
    <w:basedOn w:val="1"/>
    <w:link w:val="20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Calibri"/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Calibri"/>
      <w:sz w:val="18"/>
      <w:szCs w:val="18"/>
    </w:rPr>
  </w:style>
  <w:style w:type="paragraph" w:styleId="8">
    <w:name w:val="annotation subject"/>
    <w:basedOn w:val="4"/>
    <w:next w:val="4"/>
    <w:link w:val="18"/>
    <w:qFormat/>
    <w:uiPriority w:val="0"/>
    <w:rPr>
      <w:b/>
      <w:bCs/>
    </w:rPr>
  </w:style>
  <w:style w:type="character" w:styleId="11">
    <w:name w:val="page number"/>
    <w:qFormat/>
    <w:uiPriority w:val="0"/>
    <w:rPr>
      <w:rFonts w:ascii="Times New Roman" w:hAnsi="Times New Roman" w:eastAsia="宋体" w:cs="Times New Roman"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styleId="13">
    <w:name w:val="annotation reference"/>
    <w:qFormat/>
    <w:uiPriority w:val="0"/>
    <w:rPr>
      <w:sz w:val="21"/>
      <w:szCs w:val="21"/>
    </w:rPr>
  </w:style>
  <w:style w:type="character" w:customStyle="1" w:styleId="14">
    <w:name w:val="页脚 字符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字符"/>
    <w:link w:val="7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6">
    <w:name w:val="普通(网站)1"/>
    <w:basedOn w:val="1"/>
    <w:qFormat/>
    <w:uiPriority w:val="0"/>
    <w:pPr>
      <w:jc w:val="left"/>
    </w:pPr>
    <w:rPr>
      <w:kern w:val="0"/>
      <w:sz w:val="24"/>
    </w:rPr>
  </w:style>
  <w:style w:type="character" w:customStyle="1" w:styleId="17">
    <w:name w:val="批注文字 字符"/>
    <w:link w:val="4"/>
    <w:qFormat/>
    <w:uiPriority w:val="0"/>
    <w:rPr>
      <w:rFonts w:ascii="Calibri" w:hAnsi="Calibri" w:cs="黑体"/>
      <w:kern w:val="2"/>
      <w:sz w:val="21"/>
      <w:szCs w:val="24"/>
    </w:rPr>
  </w:style>
  <w:style w:type="character" w:customStyle="1" w:styleId="18">
    <w:name w:val="批注主题 字符"/>
    <w:link w:val="8"/>
    <w:qFormat/>
    <w:uiPriority w:val="0"/>
    <w:rPr>
      <w:rFonts w:ascii="Calibri" w:hAnsi="Calibri" w:cs="黑体"/>
      <w:b/>
      <w:bCs/>
      <w:kern w:val="2"/>
      <w:sz w:val="21"/>
      <w:szCs w:val="24"/>
    </w:rPr>
  </w:style>
  <w:style w:type="paragraph" w:customStyle="1" w:styleId="19">
    <w:name w:val="修订1"/>
    <w:hidden/>
    <w:unhideWhenUsed/>
    <w:qFormat/>
    <w:uiPriority w:val="99"/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customStyle="1" w:styleId="20">
    <w:name w:val="批注框文本 字符"/>
    <w:link w:val="5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changjiangsanxia\Normal_Wordconv.do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GEDI</Company>
  <Pages>1</Pages>
  <Words>101</Words>
  <Characters>582</Characters>
  <Lines>4</Lines>
  <Paragraphs>1</Paragraphs>
  <TotalTime>1</TotalTime>
  <ScaleCrop>false</ScaleCrop>
  <LinksUpToDate>false</LinksUpToDate>
  <CharactersWithSpaces>682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2026-08-11T07:31:00Z</dcterms:created>
  <dc:creator>子不语</dc:creator>
  <cp:lastModifiedBy>Administrator</cp:lastModifiedBy>
  <cp:lastPrinted>2021-04-11T19:23:00Z</cp:lastPrinted>
  <dcterms:modified xsi:type="dcterms:W3CDTF">2026-09-17T08:52:35Z</dcterms:modified>
  <dc:title>子不语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FDB5095D1FF74AD895AA5424AA6705DE_13</vt:lpwstr>
  </property>
  <property fmtid="{D5CDD505-2E9C-101B-9397-08002B2CF9AE}" pid="4" name="KSOTemplateDocerSaveRecord">
    <vt:lpwstr>eyJoZGlkIjoiNDk2Y2NjMTA2OGY2YzgxNDNlNTNhZjEzMjRhOTZiNTEiLCJ1c2VySWQiOiIxODQ4NzY4MDE1In0=</vt:lpwstr>
  </property>
</Properties>
</file>