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阳江市第一职业技术学校部门预算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阳江市第一职业技术学校概况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阳江市第一职业技术学校概况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阳江市第一职业技术学校是主管中等职业教学等工作的部门。</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阳江市第一职业技术学校无下属单位。</w:t>
      </w:r>
      <w:r>
        <w:rPr>
          <w:rFonts w:hint="default" w:ascii="仿宋_GB2312" w:hAnsi="仿宋_GB2312" w:eastAsia="仿宋_GB2312" w:cs="仿宋_GB2312"/>
          <w:sz w:val="32"/>
          <w:szCs w:val="32"/>
          <w:lang w:val="en-US" w:eastAsia="zh-CN"/>
        </w:rPr>
        <w:t>学校内设16个内设机构（副科级），其中7个管理机构、7个教学机构、3个教辅机构。其中：1、管理机构包括：办公室、教务科、招生就业科、学生科、财务科、总务科；2、教学机构包括：汽车工程系、机电工程系、旅游服务系、信息技术系、商务贸易系、基础教育系、高级班管理部；3、教辅机构包括：实训管理中心、培训中心、技能鉴定所。</w:t>
      </w:r>
      <w:r>
        <w:rPr>
          <w:rFonts w:hint="eastAsia" w:ascii="仿宋_GB2312" w:hAnsi="仿宋_GB2312" w:eastAsia="仿宋_GB2312" w:cs="仿宋_GB2312"/>
          <w:sz w:val="32"/>
          <w:szCs w:val="32"/>
          <w:lang w:val="en-US" w:eastAsia="zh-CN"/>
        </w:rPr>
        <w:t xml:space="preserve"> </w:t>
      </w:r>
    </w:p>
    <w:p>
      <w:pPr>
        <w:numPr>
          <w:ilvl w:val="0"/>
          <w:numId w:val="0"/>
        </w:numPr>
        <w:ind w:firstLine="640"/>
        <w:jc w:val="both"/>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人员构成情况：</w:t>
      </w:r>
      <w:r>
        <w:rPr>
          <w:rFonts w:hint="default" w:ascii="仿宋" w:hAnsi="仿宋" w:eastAsia="仿宋"/>
          <w:sz w:val="28"/>
          <w:szCs w:val="28"/>
        </w:rPr>
        <w:t>在职</w:t>
      </w:r>
      <w:r>
        <w:rPr>
          <w:rFonts w:hint="eastAsia" w:ascii="仿宋" w:hAnsi="仿宋" w:eastAsia="仿宋"/>
          <w:sz w:val="28"/>
          <w:szCs w:val="28"/>
          <w:lang w:val="en-US" w:eastAsia="zh-CN"/>
        </w:rPr>
        <w:t>190</w:t>
      </w:r>
      <w:r>
        <w:rPr>
          <w:rFonts w:hint="default" w:ascii="仿宋" w:hAnsi="仿宋" w:eastAsia="仿宋"/>
          <w:sz w:val="28"/>
          <w:szCs w:val="28"/>
        </w:rPr>
        <w:t>人，离退休人员8</w:t>
      </w:r>
      <w:r>
        <w:rPr>
          <w:rFonts w:hint="eastAsia" w:ascii="仿宋" w:hAnsi="仿宋" w:eastAsia="仿宋"/>
          <w:sz w:val="28"/>
          <w:szCs w:val="28"/>
          <w:lang w:val="en-US" w:eastAsia="zh-CN"/>
        </w:rPr>
        <w:t>4</w:t>
      </w:r>
      <w:r>
        <w:rPr>
          <w:rFonts w:hint="default" w:ascii="仿宋" w:hAnsi="仿宋" w:eastAsia="仿宋"/>
          <w:sz w:val="28"/>
          <w:szCs w:val="28"/>
        </w:rPr>
        <w:t>人</w:t>
      </w:r>
      <w:r>
        <w:rPr>
          <w:rFonts w:hint="eastAsia" w:ascii="仿宋" w:hAnsi="仿宋" w:eastAsia="仿宋"/>
          <w:sz w:val="28"/>
          <w:szCs w:val="28"/>
          <w:lang w:eastAsia="zh-CN"/>
        </w:rPr>
        <w:t>。</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p>
      <w:pPr>
        <w:jc w:val="both"/>
        <w:rPr>
          <w:rFonts w:hint="eastAsia" w:ascii="楷体_GB2312" w:hAnsi="楷体_GB2312" w:eastAsia="楷体_GB2312" w:cs="楷体_GB2312"/>
          <w:sz w:val="32"/>
          <w:szCs w:val="32"/>
          <w:lang w:val="en-US" w:eastAsia="zh-CN"/>
        </w:rPr>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94"/>
        <w:gridCol w:w="2145"/>
        <w:gridCol w:w="1952"/>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094" w:type="dxa"/>
            <w:shd w:val="clear" w:color="auto" w:fill="auto"/>
            <w:vAlign w:val="center"/>
          </w:tcPr>
          <w:p>
            <w:pPr>
              <w:rPr>
                <w:rFonts w:hint="eastAsia" w:ascii="宋体" w:hAnsi="宋体" w:eastAsia="宋体" w:cs="宋体"/>
                <w:i w:val="0"/>
                <w:color w:val="000000"/>
                <w:sz w:val="24"/>
                <w:szCs w:val="24"/>
                <w:u w:val="none"/>
              </w:rPr>
            </w:pPr>
          </w:p>
        </w:tc>
        <w:tc>
          <w:tcPr>
            <w:tcW w:w="2145" w:type="dxa"/>
            <w:shd w:val="clear" w:color="auto" w:fill="auto"/>
            <w:vAlign w:val="center"/>
          </w:tcPr>
          <w:p>
            <w:pPr>
              <w:rPr>
                <w:rFonts w:hint="eastAsia" w:ascii="宋体" w:hAnsi="宋体" w:eastAsia="宋体" w:cs="宋体"/>
                <w:i w:val="0"/>
                <w:color w:val="000000"/>
                <w:sz w:val="24"/>
                <w:szCs w:val="24"/>
                <w:u w:val="none"/>
              </w:rPr>
            </w:pPr>
          </w:p>
        </w:tc>
        <w:tc>
          <w:tcPr>
            <w:tcW w:w="1952" w:type="dxa"/>
            <w:shd w:val="clear" w:color="auto" w:fill="auto"/>
            <w:vAlign w:val="center"/>
          </w:tcPr>
          <w:p>
            <w:pPr>
              <w:rPr>
                <w:rFonts w:hint="eastAsia" w:ascii="宋体" w:hAnsi="宋体" w:eastAsia="宋体" w:cs="宋体"/>
                <w:i w:val="0"/>
                <w:color w:val="000000"/>
                <w:sz w:val="24"/>
                <w:szCs w:val="24"/>
                <w:u w:val="none"/>
              </w:rPr>
            </w:pPr>
          </w:p>
        </w:tc>
        <w:tc>
          <w:tcPr>
            <w:tcW w:w="214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2145" w:type="dxa"/>
            <w:shd w:val="clear" w:color="auto" w:fill="auto"/>
            <w:vAlign w:val="center"/>
          </w:tcPr>
          <w:p>
            <w:pPr>
              <w:rPr>
                <w:rFonts w:hint="eastAsia" w:ascii="宋体" w:hAnsi="宋体" w:eastAsia="宋体" w:cs="宋体"/>
                <w:i w:val="0"/>
                <w:color w:val="000000"/>
                <w:sz w:val="24"/>
                <w:szCs w:val="24"/>
                <w:u w:val="none"/>
              </w:rPr>
            </w:pPr>
          </w:p>
        </w:tc>
        <w:tc>
          <w:tcPr>
            <w:tcW w:w="1952" w:type="dxa"/>
            <w:shd w:val="clear" w:color="auto" w:fill="auto"/>
            <w:vAlign w:val="center"/>
          </w:tcPr>
          <w:p>
            <w:pPr>
              <w:rPr>
                <w:rFonts w:hint="eastAsia" w:ascii="宋体" w:hAnsi="宋体" w:eastAsia="宋体" w:cs="宋体"/>
                <w:i w:val="0"/>
                <w:color w:val="000000"/>
                <w:sz w:val="24"/>
                <w:szCs w:val="24"/>
                <w:u w:val="none"/>
              </w:rPr>
            </w:pPr>
          </w:p>
        </w:tc>
        <w:tc>
          <w:tcPr>
            <w:tcW w:w="214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一、财政拨款</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192.00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六、用事业基金弥补收支总额</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336"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注：财政拨款收支情况包括一般公共预算、政府性基金预算、国有资本经营预算拨款收支情况。</w:t>
            </w:r>
          </w:p>
        </w:tc>
      </w:tr>
    </w:tbl>
    <w:p>
      <w:pPr>
        <w:jc w:val="center"/>
        <w:rPr>
          <w:rFonts w:hint="eastAsia" w:ascii="方正小标宋简体" w:hAnsi="方正小标宋简体" w:eastAsia="方正小标宋简体" w:cs="方正小标宋简体"/>
          <w:sz w:val="44"/>
          <w:szCs w:val="44"/>
          <w:lang w:val="en-US" w:eastAsia="zh-CN"/>
        </w:rPr>
      </w:pPr>
    </w:p>
    <w:p>
      <w:pPr>
        <w:jc w:val="both"/>
      </w:pPr>
    </w:p>
    <w:p>
      <w:pPr>
        <w:jc w:val="both"/>
        <w:rPr>
          <w:rFonts w:hint="eastAsia"/>
          <w:lang w:val="en-US" w:eastAsia="zh-CN"/>
        </w:rPr>
      </w:pPr>
    </w:p>
    <w:p>
      <w:pPr>
        <w:jc w:val="both"/>
      </w:pPr>
    </w:p>
    <w:p>
      <w:pPr>
        <w:jc w:val="both"/>
      </w:pPr>
    </w:p>
    <w:p>
      <w:pPr>
        <w:jc w:val="both"/>
      </w:pPr>
    </w:p>
    <w:p>
      <w:pPr>
        <w:jc w:val="both"/>
      </w:pPr>
    </w:p>
    <w:p>
      <w:pPr>
        <w:jc w:val="both"/>
      </w:pPr>
    </w:p>
    <w:p>
      <w:pPr>
        <w:jc w:val="both"/>
      </w:pPr>
    </w:p>
    <w:p>
      <w:pPr>
        <w:jc w:val="both"/>
      </w:pPr>
    </w:p>
    <w:p>
      <w:pPr>
        <w:jc w:val="both"/>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49"/>
        <w:gridCol w:w="4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849" w:type="dxa"/>
            <w:shd w:val="clear" w:color="auto" w:fill="auto"/>
            <w:vAlign w:val="center"/>
          </w:tcPr>
          <w:p>
            <w:pPr>
              <w:rPr>
                <w:rFonts w:hint="eastAsia" w:ascii="宋体" w:hAnsi="宋体" w:eastAsia="宋体" w:cs="宋体"/>
                <w:i w:val="0"/>
                <w:color w:val="000000"/>
                <w:sz w:val="24"/>
                <w:szCs w:val="24"/>
                <w:u w:val="none"/>
              </w:rPr>
            </w:pPr>
          </w:p>
        </w:tc>
        <w:tc>
          <w:tcPr>
            <w:tcW w:w="448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448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一、预算拨款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一般公共预算拨款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基金预算拨款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二、财政专户拨款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教育收费</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其他财政收入拨款</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三、其他资金</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9"/>
                <w:lang w:val="en-US" w:eastAsia="zh-CN" w:bidi="ar"/>
              </w:rPr>
              <w:t xml:space="preserve">  事业收入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事业单位经营收入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四、上级补助收入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五、附属单位上缴收入</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六、用事业基金弥补收支总额</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收入总计</w:t>
            </w:r>
          </w:p>
        </w:tc>
        <w:tc>
          <w:tcPr>
            <w:tcW w:w="4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849" w:type="dxa"/>
            <w:shd w:val="clear" w:color="auto" w:fill="auto"/>
            <w:vAlign w:val="center"/>
          </w:tcPr>
          <w:p>
            <w:pPr>
              <w:rPr>
                <w:rFonts w:hint="eastAsia" w:ascii="宋体" w:hAnsi="宋体" w:eastAsia="宋体" w:cs="宋体"/>
                <w:i w:val="0"/>
                <w:color w:val="000000"/>
                <w:sz w:val="22"/>
                <w:szCs w:val="22"/>
                <w:u w:val="none"/>
              </w:rPr>
            </w:pPr>
          </w:p>
        </w:tc>
        <w:tc>
          <w:tcPr>
            <w:tcW w:w="4487" w:type="dxa"/>
            <w:shd w:val="clear" w:color="auto" w:fill="auto"/>
            <w:vAlign w:val="center"/>
          </w:tcPr>
          <w:p>
            <w:pPr>
              <w:rPr>
                <w:rFonts w:hint="eastAsia" w:ascii="宋体" w:hAnsi="宋体" w:eastAsia="宋体" w:cs="宋体"/>
                <w:i w:val="0"/>
                <w:color w:val="000000"/>
                <w:sz w:val="22"/>
                <w:szCs w:val="22"/>
                <w:u w:val="none"/>
              </w:rPr>
            </w:pPr>
          </w:p>
        </w:tc>
      </w:tr>
    </w:tbl>
    <w:p>
      <w:pPr>
        <w:jc w:val="both"/>
        <w:sectPr>
          <w:pgSz w:w="11906" w:h="16838"/>
          <w:pgMar w:top="1440" w:right="1800" w:bottom="1440" w:left="1800" w:header="851" w:footer="992" w:gutter="0"/>
          <w:cols w:space="425" w:num="1"/>
          <w:docGrid w:type="lines" w:linePitch="312" w:charSpace="0"/>
        </w:sectPr>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6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165" w:type="dxa"/>
            <w:shd w:val="clear" w:color="auto" w:fill="auto"/>
            <w:vAlign w:val="center"/>
          </w:tcPr>
          <w:p>
            <w:pPr>
              <w:rPr>
                <w:rFonts w:hint="eastAsia" w:ascii="宋体" w:hAnsi="宋体" w:eastAsia="宋体" w:cs="宋体"/>
                <w:i w:val="0"/>
                <w:color w:val="000000"/>
                <w:sz w:val="24"/>
                <w:szCs w:val="24"/>
                <w:u w:val="none"/>
              </w:rPr>
            </w:pPr>
          </w:p>
        </w:tc>
        <w:tc>
          <w:tcPr>
            <w:tcW w:w="417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417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工资福利支出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1883.20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一般商品和服务支出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对个人和家庭的补助</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1071.60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其他资本性支出等</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二、项目支出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日常运转类项目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政府购买服务类项目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其他类项目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科技研发类项目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基本建设类项目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补助企事业类项目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信息化运维类项目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专项业务类项目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因公出国（境）项目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0"/>
                <w:lang w:val="en-US" w:eastAsia="zh-CN" w:bidi="ar"/>
              </w:rPr>
              <w:t xml:space="preserve"> 信息系统建设类项目</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三、事业单位经营支出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四、对附属单位补助支出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五、上缴上级支出</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六、结转下年</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支出总计</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3179.40 </w:t>
            </w:r>
          </w:p>
        </w:tc>
      </w:tr>
    </w:tbl>
    <w:p>
      <w:pPr>
        <w:jc w:val="both"/>
        <w:sectPr>
          <w:pgSz w:w="11906" w:h="16838"/>
          <w:pgMar w:top="1440" w:right="1800" w:bottom="1440" w:left="1800" w:header="851" w:footer="992" w:gutter="0"/>
          <w:cols w:space="425" w:num="1"/>
          <w:docGrid w:type="lines" w:linePitch="312" w:charSpace="0"/>
        </w:sectPr>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2"/>
        <w:gridCol w:w="2163"/>
        <w:gridCol w:w="2006"/>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142" w:type="dxa"/>
            <w:shd w:val="clear" w:color="auto" w:fill="auto"/>
            <w:vAlign w:val="center"/>
          </w:tcPr>
          <w:p>
            <w:pPr>
              <w:rPr>
                <w:rFonts w:hint="eastAsia" w:ascii="宋体" w:hAnsi="宋体" w:eastAsia="宋体" w:cs="宋体"/>
                <w:i w:val="0"/>
                <w:color w:val="000000"/>
                <w:sz w:val="24"/>
                <w:szCs w:val="24"/>
                <w:u w:val="none"/>
              </w:rPr>
            </w:pPr>
          </w:p>
        </w:tc>
        <w:tc>
          <w:tcPr>
            <w:tcW w:w="2163" w:type="dxa"/>
            <w:shd w:val="clear" w:color="auto" w:fill="auto"/>
            <w:vAlign w:val="center"/>
          </w:tcPr>
          <w:p>
            <w:pPr>
              <w:rPr>
                <w:rFonts w:hint="eastAsia" w:ascii="宋体" w:hAnsi="宋体" w:eastAsia="宋体" w:cs="宋体"/>
                <w:i w:val="0"/>
                <w:color w:val="000000"/>
                <w:sz w:val="24"/>
                <w:szCs w:val="24"/>
                <w:u w:val="none"/>
              </w:rPr>
            </w:pPr>
          </w:p>
        </w:tc>
        <w:tc>
          <w:tcPr>
            <w:tcW w:w="2006" w:type="dxa"/>
            <w:shd w:val="clear" w:color="auto" w:fill="auto"/>
            <w:vAlign w:val="center"/>
          </w:tcPr>
          <w:p>
            <w:pPr>
              <w:rPr>
                <w:rFonts w:hint="eastAsia" w:ascii="宋体" w:hAnsi="宋体" w:eastAsia="宋体" w:cs="宋体"/>
                <w:i w:val="0"/>
                <w:color w:val="000000"/>
                <w:sz w:val="24"/>
                <w:szCs w:val="24"/>
                <w:u w:val="none"/>
              </w:rPr>
            </w:pPr>
          </w:p>
        </w:tc>
        <w:tc>
          <w:tcPr>
            <w:tcW w:w="20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4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2163" w:type="dxa"/>
            <w:shd w:val="clear" w:color="auto" w:fill="auto"/>
            <w:vAlign w:val="center"/>
          </w:tcPr>
          <w:p>
            <w:pPr>
              <w:rPr>
                <w:rFonts w:hint="eastAsia" w:ascii="宋体" w:hAnsi="宋体" w:eastAsia="宋体" w:cs="宋体"/>
                <w:i w:val="0"/>
                <w:color w:val="000000"/>
                <w:sz w:val="24"/>
                <w:szCs w:val="24"/>
                <w:u w:val="none"/>
              </w:rPr>
            </w:pPr>
          </w:p>
        </w:tc>
        <w:tc>
          <w:tcPr>
            <w:tcW w:w="2006" w:type="dxa"/>
            <w:shd w:val="clear" w:color="auto" w:fill="auto"/>
            <w:vAlign w:val="center"/>
          </w:tcPr>
          <w:p>
            <w:pPr>
              <w:rPr>
                <w:rFonts w:hint="eastAsia" w:ascii="宋体" w:hAnsi="宋体" w:eastAsia="宋体" w:cs="宋体"/>
                <w:i w:val="0"/>
                <w:color w:val="000000"/>
                <w:sz w:val="24"/>
                <w:szCs w:val="24"/>
                <w:u w:val="none"/>
              </w:rPr>
            </w:pPr>
          </w:p>
        </w:tc>
        <w:tc>
          <w:tcPr>
            <w:tcW w:w="20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4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2016年预算</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2016年预算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一、一般公共预算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二、政府性基金预算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三、国有资本经营预算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2987.40 </w:t>
            </w:r>
          </w:p>
        </w:tc>
      </w:tr>
    </w:tbl>
    <w:p>
      <w:pPr>
        <w:jc w:val="both"/>
      </w:pPr>
    </w:p>
    <w:p>
      <w:pPr>
        <w:jc w:val="both"/>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43"/>
        <w:gridCol w:w="1511"/>
        <w:gridCol w:w="1604"/>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643" w:type="dxa"/>
            <w:shd w:val="clear" w:color="auto" w:fill="auto"/>
            <w:vAlign w:val="center"/>
          </w:tcPr>
          <w:p>
            <w:pPr>
              <w:rPr>
                <w:rFonts w:hint="eastAsia" w:ascii="宋体" w:hAnsi="宋体" w:eastAsia="宋体" w:cs="宋体"/>
                <w:i w:val="0"/>
                <w:color w:val="000000"/>
                <w:sz w:val="24"/>
                <w:szCs w:val="24"/>
                <w:u w:val="none"/>
              </w:rPr>
            </w:pPr>
          </w:p>
        </w:tc>
        <w:tc>
          <w:tcPr>
            <w:tcW w:w="1511" w:type="dxa"/>
            <w:shd w:val="clear" w:color="auto" w:fill="auto"/>
            <w:vAlign w:val="center"/>
          </w:tcPr>
          <w:p>
            <w:pPr>
              <w:rPr>
                <w:rFonts w:hint="eastAsia" w:ascii="宋体" w:hAnsi="宋体" w:eastAsia="宋体" w:cs="宋体"/>
                <w:i w:val="0"/>
                <w:color w:val="000000"/>
                <w:sz w:val="24"/>
                <w:szCs w:val="24"/>
                <w:u w:val="none"/>
              </w:rPr>
            </w:pPr>
          </w:p>
        </w:tc>
        <w:tc>
          <w:tcPr>
            <w:tcW w:w="1604" w:type="dxa"/>
            <w:shd w:val="clear" w:color="auto" w:fill="auto"/>
            <w:vAlign w:val="center"/>
          </w:tcPr>
          <w:p>
            <w:pPr>
              <w:rPr>
                <w:rFonts w:hint="eastAsia" w:ascii="宋体" w:hAnsi="宋体" w:eastAsia="宋体" w:cs="宋体"/>
                <w:i w:val="0"/>
                <w:color w:val="000000"/>
                <w:sz w:val="24"/>
                <w:szCs w:val="24"/>
                <w:u w:val="none"/>
              </w:rPr>
            </w:pPr>
          </w:p>
        </w:tc>
        <w:tc>
          <w:tcPr>
            <w:tcW w:w="25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一般公共预算支出情况表（按功能分类项目）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1511" w:type="dxa"/>
            <w:shd w:val="clear" w:color="auto" w:fill="auto"/>
            <w:vAlign w:val="center"/>
          </w:tcPr>
          <w:p>
            <w:pPr>
              <w:rPr>
                <w:rFonts w:hint="eastAsia" w:ascii="宋体" w:hAnsi="宋体" w:eastAsia="宋体" w:cs="宋体"/>
                <w:i w:val="0"/>
                <w:color w:val="000000"/>
                <w:sz w:val="24"/>
                <w:szCs w:val="24"/>
                <w:u w:val="none"/>
              </w:rPr>
            </w:pPr>
          </w:p>
        </w:tc>
        <w:tc>
          <w:tcPr>
            <w:tcW w:w="1604" w:type="dxa"/>
            <w:shd w:val="clear" w:color="auto" w:fill="auto"/>
            <w:vAlign w:val="center"/>
          </w:tcPr>
          <w:p>
            <w:pPr>
              <w:rPr>
                <w:rFonts w:hint="eastAsia" w:ascii="宋体" w:hAnsi="宋体" w:eastAsia="宋体" w:cs="宋体"/>
                <w:i w:val="0"/>
                <w:color w:val="000000"/>
                <w:sz w:val="24"/>
                <w:szCs w:val="24"/>
                <w:u w:val="none"/>
              </w:rPr>
            </w:pPr>
          </w:p>
        </w:tc>
        <w:tc>
          <w:tcPr>
            <w:tcW w:w="257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5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其中：基本支出</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2785.90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2785.90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[201]一般公共服务支出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[20104]发展与改革事务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[2010499]其他发展与改革事务支出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[20111]纪检监察事务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[2011105]派驻派出机构</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[20131]党委办公厅（室）及相关机构事务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[2013101]行政运行</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[2013102]一般行政管理事务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[2013103]机关服务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[2013105]专项业务</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[2013199]其他党委办公厅（室）及相关机构事务支出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[204]公共安全支出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[20409]国家保密</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[2040905]保密管理</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[2040999]其他国家保密支出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[205]教育支出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1921.30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1921.30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[20502]普通教育</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[2050201]学前教育</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[20503]职业教育</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1921.30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1921.30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[2050302]中专教育</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[2050304]职业高中教育</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1661.30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1661.30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[208]社会保障和就业支出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548.30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548.30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[20805]行政事业单位离退休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548.30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548.30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[2080501]归口管理的行政单位离退休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[2080502]事业单位离退休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548.30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548.30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[2080599]其他行政事业单位离退休支出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[210]医疗卫生与计划生育支出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90.40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90.40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[21005]医疗保障</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90.40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90.40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[2100502]事业单位医疗</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90.40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90.40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[221]住房保障支出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[22102]住房改革支出</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[2210201]住房公积金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[2210203]购房补贴</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201.50 </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201.50 </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14"/>
        <w:gridCol w:w="2517"/>
        <w:gridCol w:w="2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14" w:type="dxa"/>
            <w:shd w:val="clear" w:color="auto" w:fill="auto"/>
            <w:vAlign w:val="center"/>
          </w:tcPr>
          <w:p>
            <w:pPr>
              <w:rPr>
                <w:rFonts w:hint="eastAsia" w:ascii="宋体" w:hAnsi="宋体" w:eastAsia="宋体" w:cs="宋体"/>
                <w:i w:val="0"/>
                <w:color w:val="000000"/>
                <w:sz w:val="24"/>
                <w:szCs w:val="24"/>
                <w:u w:val="none"/>
              </w:rPr>
            </w:pPr>
          </w:p>
        </w:tc>
        <w:tc>
          <w:tcPr>
            <w:tcW w:w="2517" w:type="dxa"/>
            <w:shd w:val="clear" w:color="auto" w:fill="auto"/>
            <w:vAlign w:val="center"/>
          </w:tcPr>
          <w:p>
            <w:pPr>
              <w:rPr>
                <w:rFonts w:hint="eastAsia" w:ascii="宋体" w:hAnsi="宋体" w:eastAsia="宋体" w:cs="宋体"/>
                <w:i w:val="0"/>
                <w:color w:val="000000"/>
                <w:sz w:val="24"/>
                <w:szCs w:val="24"/>
                <w:u w:val="none"/>
              </w:rPr>
            </w:pPr>
          </w:p>
        </w:tc>
        <w:tc>
          <w:tcPr>
            <w:tcW w:w="290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一般公共预算基本支出情况表（按支出经济分类项目）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1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2517" w:type="dxa"/>
            <w:shd w:val="clear" w:color="auto" w:fill="auto"/>
            <w:vAlign w:val="center"/>
          </w:tcPr>
          <w:p>
            <w:pPr>
              <w:rPr>
                <w:rFonts w:hint="eastAsia" w:ascii="宋体" w:hAnsi="宋体" w:eastAsia="宋体" w:cs="宋体"/>
                <w:i w:val="0"/>
                <w:color w:val="000000"/>
                <w:sz w:val="24"/>
                <w:szCs w:val="24"/>
                <w:u w:val="none"/>
              </w:rPr>
            </w:pPr>
          </w:p>
        </w:tc>
        <w:tc>
          <w:tcPr>
            <w:tcW w:w="290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政府预算支出经济分类</w:t>
            </w:r>
          </w:p>
        </w:tc>
        <w:tc>
          <w:tcPr>
            <w:tcW w:w="251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部门预算支出经济项目</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14" w:type="dxa"/>
            <w:shd w:val="clear" w:color="auto" w:fill="auto"/>
            <w:vAlign w:val="center"/>
          </w:tcPr>
          <w:p>
            <w:pPr>
              <w:rPr>
                <w:rFonts w:hint="eastAsia" w:ascii="宋体" w:hAnsi="宋体" w:eastAsia="宋体" w:cs="宋体"/>
                <w:i w:val="0"/>
                <w:color w:val="000000"/>
                <w:sz w:val="24"/>
                <w:szCs w:val="24"/>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2987.40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[501]机关工资福利支出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[50101]工资奖金津补贴</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[30103]奖金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[50102]社会保障缴费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[30112]其他社会保障缴费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[50103]住房公积金</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[30106]伙食补助费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[502]机关商品和服务支出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[30228]工会经费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[30229]工福利费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[50202]会议费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[50203]培训费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[30203]咨询费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[30227]委托业务费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[50206]公务接待费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[50207]因公出国（境）费用</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[30212]因公出国（境）费用</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[50208]公务用车运行维护费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[50209]维修（护）费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[50299]其他商品和服务支出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[503]机关资本性支出（一）</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[30101]基本工资</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799.70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[30102]津贴补贴</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[30103]奖金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[30107]绩效工资</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[30113]住房公积金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[50501]工资福利支出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[505]对事业单位经常性补助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[50502]商品和服务支出</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[509]对个人和家庭的补助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[303]对个人和家庭的补助</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1071.60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[30304]抚恤金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[30305]生活补助</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[30307]医疗费补助</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[30309]奖励金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[30301]离休费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[50905]离退休费</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[30302]退休费</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[50999]其他对个人和家庭的补助</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[30399]其他对个人和家庭的补助</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[30311]住房公积金</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9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[30313]购房补贴</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201.50 </w:t>
            </w:r>
          </w:p>
        </w:tc>
      </w:tr>
    </w:tbl>
    <w:p>
      <w:pPr>
        <w:jc w:val="both"/>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27"/>
        <w:gridCol w:w="2528"/>
        <w:gridCol w:w="2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927" w:type="dxa"/>
            <w:shd w:val="clear" w:color="auto" w:fill="auto"/>
            <w:vAlign w:val="center"/>
          </w:tcPr>
          <w:p>
            <w:pPr>
              <w:rPr>
                <w:rFonts w:hint="eastAsia" w:ascii="宋体" w:hAnsi="宋体" w:eastAsia="宋体" w:cs="宋体"/>
                <w:i w:val="0"/>
                <w:color w:val="000000"/>
                <w:sz w:val="24"/>
                <w:szCs w:val="24"/>
                <w:u w:val="none"/>
              </w:rPr>
            </w:pP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8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一般公共预算项目支出情况表（按支出经济分类项目）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2528" w:type="dxa"/>
            <w:shd w:val="clear" w:color="auto" w:fill="auto"/>
            <w:vAlign w:val="center"/>
          </w:tcPr>
          <w:p>
            <w:pPr>
              <w:rPr>
                <w:rFonts w:hint="eastAsia" w:ascii="宋体" w:hAnsi="宋体" w:eastAsia="宋体" w:cs="宋体"/>
                <w:i w:val="0"/>
                <w:color w:val="000000"/>
                <w:sz w:val="24"/>
                <w:szCs w:val="24"/>
                <w:u w:val="none"/>
              </w:rPr>
            </w:pPr>
          </w:p>
        </w:tc>
        <w:tc>
          <w:tcPr>
            <w:tcW w:w="2881"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政府预算支出经济分类</w:t>
            </w:r>
          </w:p>
        </w:tc>
        <w:tc>
          <w:tcPr>
            <w:tcW w:w="252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部门预算支出经济项目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927" w:type="dxa"/>
            <w:shd w:val="clear" w:color="auto" w:fill="auto"/>
            <w:vAlign w:val="center"/>
          </w:tcPr>
          <w:p>
            <w:pPr>
              <w:rPr>
                <w:rFonts w:hint="eastAsia" w:ascii="宋体" w:hAnsi="宋体" w:eastAsia="宋体" w:cs="宋体"/>
                <w:i w:val="0"/>
                <w:color w:val="000000"/>
                <w:sz w:val="24"/>
                <w:szCs w:val="24"/>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[501]机关工资福利支出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[30106]伙食补助费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[50199]其他工资福利支出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[30199]其他工资福利支出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[502]机关商品和服务支出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[30201]办公费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[30202]印刷费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[30204]手续费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[30205]水费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[30206]电费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[30207]邮电费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[30209]物业管理费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[30211]差旅费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[30214]租赁费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[50201]办公经费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[30239]其他交通费用</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[50202]会议费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[30215]会议费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[50203]培训费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[30216]培训费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[30203]咨询费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[50205]委托业务费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[30226]劳务费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[50206]公务接待费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[30217]公务接待费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[50208]公务用车运行维护费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[30231]公务用车运行维护费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[50209]维修（护）费</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[30213]维修（护）费</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[50299]其他商品和服务支出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[30299]其他商品和服务支出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[503]机关资本性支出（一）</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[310]资本性支出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[50301]房屋建筑物购建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[31001]房屋建筑物购建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[50303]公务车购置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[31013]公务车购置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[31002]办公设备购置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[31003]专用设备购置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[50306]设备购置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[31007]信息网络及软件购置更新</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[50307]大型修缮</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[31006]大型修缮</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[50399]其他资本性支出</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[31099]其他资本性支出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[303]对个人和家庭的补助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[50901]社会福利和救助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[30307]医疗费补助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[50999]其他对个人和家庭的补助</w:t>
            </w:r>
          </w:p>
        </w:tc>
        <w:tc>
          <w:tcPr>
            <w:tcW w:w="2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[30399]其他对个人和家庭的补助</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rPr>
          <w:rFonts w:hint="eastAsia" w:eastAsiaTheme="minorEastAsia"/>
          <w:lang w:eastAsia="zh-CN"/>
        </w:rPr>
      </w:pPr>
      <w:r>
        <w:rPr>
          <w:rFonts w:hint="eastAsia"/>
          <w:lang w:eastAsia="zh-CN"/>
        </w:rPr>
        <w:t>注：本年度无</w:t>
      </w:r>
      <w:r>
        <w:rPr>
          <w:rFonts w:hint="eastAsia"/>
          <w:lang w:val="en-US" w:eastAsia="zh-CN"/>
        </w:rPr>
        <w:t>一般公共预算项目支出预算，本表为空。</w:t>
      </w:r>
    </w:p>
    <w:p>
      <w:pPr>
        <w:jc w:val="both"/>
      </w:pPr>
    </w:p>
    <w:p>
      <w:pPr>
        <w:jc w:val="both"/>
      </w:pPr>
    </w:p>
    <w:p>
      <w:pPr>
        <w:jc w:val="both"/>
      </w:pPr>
    </w:p>
    <w:p>
      <w:pPr>
        <w:jc w:val="both"/>
      </w:pPr>
    </w:p>
    <w:p>
      <w:pPr>
        <w:jc w:val="both"/>
      </w:pPr>
    </w:p>
    <w:p>
      <w:pPr>
        <w:jc w:val="both"/>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80"/>
        <w:gridCol w:w="4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4180" w:type="dxa"/>
            <w:shd w:val="clear" w:color="auto" w:fill="auto"/>
            <w:vAlign w:val="center"/>
          </w:tcPr>
          <w:p>
            <w:pPr>
              <w:rPr>
                <w:rFonts w:hint="eastAsia" w:ascii="宋体" w:hAnsi="宋体" w:eastAsia="宋体" w:cs="宋体"/>
                <w:i w:val="0"/>
                <w:color w:val="000000"/>
                <w:sz w:val="24"/>
                <w:szCs w:val="24"/>
                <w:u w:val="none"/>
              </w:rPr>
            </w:pPr>
          </w:p>
        </w:tc>
        <w:tc>
          <w:tcPr>
            <w:tcW w:w="415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一般公共预算安排的行政经费及“三公”经费预算表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415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行政经费</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“三公”经费</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其中：（一）因公出国（境）支出</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（二）公务用车购置及运行维护支出</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1、公务用车购置</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2、公务用车运行维护费</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（三）公务接待费支出</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w:t>
            </w:r>
          </w:p>
        </w:tc>
        <w:tc>
          <w:tcPr>
            <w:tcW w:w="4156"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5" w:hRule="atLeast"/>
        </w:trPr>
        <w:tc>
          <w:tcPr>
            <w:tcW w:w="8336" w:type="dxa"/>
            <w:gridSpan w:val="2"/>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2）一般行政管理项目支出。具体包括出国费、招待费、会议费、办公用房维修租赁、购置费（包括设备、计算机、车辆等）、干部培训费、执法部门办案费、信息网络运行维护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8336" w:type="dxa"/>
            <w:gridSpan w:val="2"/>
            <w:tcBorders>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非、燃料费、维修费、过桥过路费、保险费等支出；公务接待费指省直行政单位、事业单位按规定开支的各类公务接待（外宾接待）费用。</w:t>
            </w:r>
          </w:p>
        </w:tc>
      </w:tr>
    </w:tbl>
    <w:p>
      <w:pPr>
        <w:jc w:val="both"/>
      </w:pPr>
    </w:p>
    <w:p>
      <w:pPr>
        <w:jc w:val="both"/>
      </w:pPr>
    </w:p>
    <w:p>
      <w:pPr>
        <w:jc w:val="both"/>
      </w:pPr>
    </w:p>
    <w:p>
      <w:pPr>
        <w:jc w:val="both"/>
      </w:pPr>
    </w:p>
    <w:p>
      <w:pPr>
        <w:jc w:val="both"/>
      </w:pPr>
    </w:p>
    <w:tbl>
      <w:tblPr>
        <w:tblStyle w:val="8"/>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32"/>
        <w:gridCol w:w="1475"/>
        <w:gridCol w:w="1594"/>
        <w:gridCol w:w="2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632" w:type="dxa"/>
            <w:shd w:val="clear" w:color="auto" w:fill="auto"/>
            <w:vAlign w:val="center"/>
          </w:tcPr>
          <w:p>
            <w:pPr>
              <w:rPr>
                <w:rFonts w:hint="eastAsia" w:ascii="宋体" w:hAnsi="宋体" w:eastAsia="宋体" w:cs="宋体"/>
                <w:i w:val="0"/>
                <w:color w:val="000000"/>
                <w:sz w:val="24"/>
                <w:szCs w:val="24"/>
                <w:u w:val="none"/>
              </w:rPr>
            </w:pPr>
          </w:p>
        </w:tc>
        <w:tc>
          <w:tcPr>
            <w:tcW w:w="1475" w:type="dxa"/>
            <w:shd w:val="clear" w:color="auto" w:fill="auto"/>
            <w:vAlign w:val="center"/>
          </w:tcPr>
          <w:p>
            <w:pPr>
              <w:rPr>
                <w:rFonts w:hint="eastAsia" w:ascii="宋体" w:hAnsi="宋体" w:eastAsia="宋体" w:cs="宋体"/>
                <w:i w:val="0"/>
                <w:color w:val="000000"/>
                <w:sz w:val="24"/>
                <w:szCs w:val="24"/>
                <w:u w:val="none"/>
              </w:rPr>
            </w:pPr>
          </w:p>
        </w:tc>
        <w:tc>
          <w:tcPr>
            <w:tcW w:w="1594" w:type="dxa"/>
            <w:shd w:val="clear" w:color="auto" w:fill="auto"/>
            <w:vAlign w:val="center"/>
          </w:tcPr>
          <w:p>
            <w:pPr>
              <w:rPr>
                <w:rFonts w:hint="eastAsia" w:ascii="宋体" w:hAnsi="宋体" w:eastAsia="宋体" w:cs="宋体"/>
                <w:i w:val="0"/>
                <w:color w:val="000000"/>
                <w:sz w:val="24"/>
                <w:szCs w:val="24"/>
                <w:u w:val="none"/>
              </w:rPr>
            </w:pPr>
          </w:p>
        </w:tc>
        <w:tc>
          <w:tcPr>
            <w:tcW w:w="263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2017年政府性基金预算支出情况表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1" w:type="dxa"/>
            <w:gridSpan w:val="3"/>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263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功能科目名称</w:t>
            </w: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2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其中：基本支出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8333" w:type="dxa"/>
            <w:gridSpan w:val="4"/>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注：如该部门无政府性基金安排的支出，则本表为空。</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1"/>
        <w:gridCol w:w="1073"/>
        <w:gridCol w:w="985"/>
        <w:gridCol w:w="872"/>
        <w:gridCol w:w="512"/>
        <w:gridCol w:w="954"/>
        <w:gridCol w:w="887"/>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531" w:type="dxa"/>
            <w:shd w:val="clear" w:color="auto" w:fill="auto"/>
            <w:vAlign w:val="center"/>
          </w:tcPr>
          <w:p>
            <w:pPr>
              <w:rPr>
                <w:rFonts w:hint="eastAsia" w:ascii="宋体" w:hAnsi="宋体" w:eastAsia="宋体" w:cs="宋体"/>
                <w:i w:val="0"/>
                <w:color w:val="000000"/>
                <w:sz w:val="24"/>
                <w:szCs w:val="24"/>
                <w:u w:val="none"/>
              </w:rPr>
            </w:pPr>
          </w:p>
        </w:tc>
        <w:tc>
          <w:tcPr>
            <w:tcW w:w="1073" w:type="dxa"/>
            <w:shd w:val="clear" w:color="auto" w:fill="auto"/>
            <w:vAlign w:val="center"/>
          </w:tcPr>
          <w:p>
            <w:pPr>
              <w:rPr>
                <w:rFonts w:hint="eastAsia" w:ascii="宋体" w:hAnsi="宋体" w:eastAsia="宋体" w:cs="宋体"/>
                <w:i w:val="0"/>
                <w:color w:val="000000"/>
                <w:sz w:val="24"/>
                <w:szCs w:val="24"/>
                <w:u w:val="none"/>
              </w:rPr>
            </w:pPr>
          </w:p>
        </w:tc>
        <w:tc>
          <w:tcPr>
            <w:tcW w:w="985" w:type="dxa"/>
            <w:shd w:val="clear" w:color="auto" w:fill="auto"/>
            <w:vAlign w:val="center"/>
          </w:tcPr>
          <w:p>
            <w:pPr>
              <w:rPr>
                <w:rFonts w:hint="eastAsia" w:ascii="宋体" w:hAnsi="宋体" w:eastAsia="宋体" w:cs="宋体"/>
                <w:i w:val="0"/>
                <w:color w:val="000000"/>
                <w:sz w:val="24"/>
                <w:szCs w:val="24"/>
                <w:u w:val="none"/>
              </w:rPr>
            </w:pPr>
          </w:p>
        </w:tc>
        <w:tc>
          <w:tcPr>
            <w:tcW w:w="872" w:type="dxa"/>
            <w:shd w:val="clear" w:color="auto" w:fill="auto"/>
            <w:vAlign w:val="center"/>
          </w:tcPr>
          <w:p>
            <w:pPr>
              <w:rPr>
                <w:rFonts w:hint="eastAsia" w:ascii="宋体" w:hAnsi="宋体" w:eastAsia="宋体" w:cs="宋体"/>
                <w:i w:val="0"/>
                <w:color w:val="000000"/>
                <w:sz w:val="24"/>
                <w:szCs w:val="24"/>
                <w:u w:val="none"/>
              </w:rPr>
            </w:pPr>
          </w:p>
        </w:tc>
        <w:tc>
          <w:tcPr>
            <w:tcW w:w="512" w:type="dxa"/>
            <w:shd w:val="clear" w:color="auto" w:fill="auto"/>
            <w:vAlign w:val="center"/>
          </w:tcPr>
          <w:p>
            <w:pPr>
              <w:rPr>
                <w:rFonts w:hint="eastAsia" w:ascii="宋体" w:hAnsi="宋体" w:eastAsia="宋体" w:cs="宋体"/>
                <w:i w:val="0"/>
                <w:color w:val="000000"/>
                <w:sz w:val="24"/>
                <w:szCs w:val="24"/>
                <w:u w:val="none"/>
              </w:rPr>
            </w:pPr>
          </w:p>
        </w:tc>
        <w:tc>
          <w:tcPr>
            <w:tcW w:w="954" w:type="dxa"/>
            <w:shd w:val="clear" w:color="auto" w:fill="auto"/>
            <w:vAlign w:val="center"/>
          </w:tcPr>
          <w:p>
            <w:pPr>
              <w:rPr>
                <w:rFonts w:hint="eastAsia" w:ascii="宋体" w:hAnsi="宋体" w:eastAsia="宋体" w:cs="宋体"/>
                <w:i w:val="0"/>
                <w:color w:val="000000"/>
                <w:sz w:val="24"/>
                <w:szCs w:val="24"/>
                <w:u w:val="none"/>
              </w:rPr>
            </w:pPr>
          </w:p>
        </w:tc>
        <w:tc>
          <w:tcPr>
            <w:tcW w:w="887" w:type="dxa"/>
            <w:shd w:val="clear" w:color="auto" w:fill="auto"/>
            <w:vAlign w:val="center"/>
          </w:tcPr>
          <w:p>
            <w:pPr>
              <w:rPr>
                <w:rFonts w:hint="eastAsia" w:ascii="宋体" w:hAnsi="宋体" w:eastAsia="宋体" w:cs="宋体"/>
                <w:i w:val="0"/>
                <w:color w:val="000000"/>
                <w:sz w:val="24"/>
                <w:szCs w:val="24"/>
                <w:u w:val="none"/>
              </w:rPr>
            </w:pPr>
          </w:p>
        </w:tc>
        <w:tc>
          <w:tcPr>
            <w:tcW w:w="152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2017部门预算基本支出预算表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927" w:type="dxa"/>
            <w:gridSpan w:val="6"/>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887" w:type="dxa"/>
            <w:shd w:val="clear" w:color="auto" w:fill="auto"/>
            <w:vAlign w:val="center"/>
          </w:tcPr>
          <w:p>
            <w:pPr>
              <w:rPr>
                <w:rFonts w:hint="eastAsia" w:ascii="宋体" w:hAnsi="宋体" w:eastAsia="宋体" w:cs="宋体"/>
                <w:i w:val="0"/>
                <w:color w:val="000000"/>
                <w:sz w:val="24"/>
                <w:szCs w:val="24"/>
                <w:u w:val="none"/>
              </w:rPr>
            </w:pPr>
          </w:p>
        </w:tc>
        <w:tc>
          <w:tcPr>
            <w:tcW w:w="152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支出项目类别（资金使用单位）</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总计</w:t>
            </w:r>
          </w:p>
        </w:tc>
        <w:tc>
          <w:tcPr>
            <w:tcW w:w="3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财政专户拨款</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阳江市第一职业技术学校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3179.40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2987.40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2987.40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192.00 </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工资福利支出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1883.20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1883.20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1883.20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一般商品和服务支出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224.60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32.60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32.60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192.00 </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对个人和家庭的补助</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1071.60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1071.60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1071.60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bl>
    <w:p>
      <w:pPr>
        <w:jc w:val="both"/>
      </w:pPr>
    </w:p>
    <w:p>
      <w:pPr>
        <w:jc w:val="both"/>
      </w:pPr>
    </w:p>
    <w:p>
      <w:pPr>
        <w:jc w:val="both"/>
      </w:pPr>
    </w:p>
    <w:p>
      <w:pPr>
        <w:jc w:val="both"/>
      </w:pPr>
    </w:p>
    <w:p>
      <w:pPr>
        <w:jc w:val="both"/>
      </w:pPr>
    </w:p>
    <w:p>
      <w:pPr>
        <w:jc w:val="both"/>
      </w:pPr>
    </w:p>
    <w:tbl>
      <w:tblPr>
        <w:tblStyle w:val="8"/>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782"/>
        <w:gridCol w:w="842"/>
        <w:gridCol w:w="676"/>
        <w:gridCol w:w="398"/>
        <w:gridCol w:w="943"/>
        <w:gridCol w:w="762"/>
        <w:gridCol w:w="397"/>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764" w:type="dxa"/>
            <w:shd w:val="clear" w:color="auto" w:fill="auto"/>
            <w:vAlign w:val="center"/>
          </w:tcPr>
          <w:p>
            <w:pPr>
              <w:rPr>
                <w:rFonts w:hint="eastAsia" w:ascii="宋体" w:hAnsi="宋体" w:eastAsia="宋体" w:cs="宋体"/>
                <w:i w:val="0"/>
                <w:color w:val="000000"/>
                <w:sz w:val="24"/>
                <w:szCs w:val="24"/>
                <w:u w:val="none"/>
              </w:rPr>
            </w:pPr>
          </w:p>
        </w:tc>
        <w:tc>
          <w:tcPr>
            <w:tcW w:w="782" w:type="dxa"/>
            <w:shd w:val="clear" w:color="auto" w:fill="auto"/>
            <w:vAlign w:val="center"/>
          </w:tcPr>
          <w:p>
            <w:pPr>
              <w:rPr>
                <w:rFonts w:hint="eastAsia" w:ascii="宋体" w:hAnsi="宋体" w:eastAsia="宋体" w:cs="宋体"/>
                <w:i w:val="0"/>
                <w:color w:val="000000"/>
                <w:sz w:val="24"/>
                <w:szCs w:val="24"/>
                <w:u w:val="none"/>
              </w:rPr>
            </w:pPr>
          </w:p>
        </w:tc>
        <w:tc>
          <w:tcPr>
            <w:tcW w:w="842" w:type="dxa"/>
            <w:shd w:val="clear" w:color="auto" w:fill="auto"/>
            <w:vAlign w:val="center"/>
          </w:tcPr>
          <w:p>
            <w:pPr>
              <w:rPr>
                <w:rFonts w:hint="eastAsia" w:ascii="宋体" w:hAnsi="宋体" w:eastAsia="宋体" w:cs="宋体"/>
                <w:i w:val="0"/>
                <w:color w:val="000000"/>
                <w:sz w:val="24"/>
                <w:szCs w:val="24"/>
                <w:u w:val="none"/>
              </w:rPr>
            </w:pPr>
          </w:p>
        </w:tc>
        <w:tc>
          <w:tcPr>
            <w:tcW w:w="676"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943" w:type="dxa"/>
            <w:shd w:val="clear" w:color="auto" w:fill="auto"/>
            <w:vAlign w:val="center"/>
          </w:tcPr>
          <w:p>
            <w:pPr>
              <w:rPr>
                <w:rFonts w:hint="eastAsia" w:ascii="宋体" w:hAnsi="宋体" w:eastAsia="宋体" w:cs="宋体"/>
                <w:i w:val="0"/>
                <w:color w:val="000000"/>
                <w:sz w:val="24"/>
                <w:szCs w:val="24"/>
                <w:u w:val="none"/>
              </w:rPr>
            </w:pPr>
          </w:p>
        </w:tc>
        <w:tc>
          <w:tcPr>
            <w:tcW w:w="762" w:type="dxa"/>
            <w:shd w:val="clear" w:color="auto" w:fill="auto"/>
            <w:vAlign w:val="center"/>
          </w:tcPr>
          <w:p>
            <w:pPr>
              <w:rPr>
                <w:rFonts w:hint="eastAsia" w:ascii="宋体" w:hAnsi="宋体" w:eastAsia="宋体" w:cs="宋体"/>
                <w:i w:val="0"/>
                <w:color w:val="000000"/>
                <w:sz w:val="24"/>
                <w:szCs w:val="24"/>
                <w:u w:val="none"/>
              </w:rPr>
            </w:pPr>
          </w:p>
        </w:tc>
        <w:tc>
          <w:tcPr>
            <w:tcW w:w="397" w:type="dxa"/>
            <w:shd w:val="clear" w:color="auto" w:fill="auto"/>
            <w:vAlign w:val="center"/>
          </w:tcPr>
          <w:p>
            <w:pPr>
              <w:rPr>
                <w:rFonts w:hint="eastAsia" w:ascii="宋体" w:hAnsi="宋体" w:eastAsia="宋体" w:cs="宋体"/>
                <w:i w:val="0"/>
                <w:color w:val="000000"/>
                <w:sz w:val="24"/>
                <w:szCs w:val="24"/>
                <w:u w:val="none"/>
              </w:rPr>
            </w:pPr>
          </w:p>
        </w:tc>
        <w:tc>
          <w:tcPr>
            <w:tcW w:w="1764"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8"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2017部门预算项目支出及其他支出预算表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167" w:type="dxa"/>
            <w:gridSpan w:val="7"/>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单位名称：阳江市第一职业技术学校</w:t>
            </w:r>
          </w:p>
        </w:tc>
        <w:tc>
          <w:tcPr>
            <w:tcW w:w="397" w:type="dxa"/>
            <w:shd w:val="clear" w:color="auto" w:fill="auto"/>
            <w:vAlign w:val="center"/>
          </w:tcPr>
          <w:p>
            <w:pPr>
              <w:rPr>
                <w:rFonts w:hint="eastAsia" w:ascii="宋体" w:hAnsi="宋体" w:eastAsia="宋体" w:cs="宋体"/>
                <w:i w:val="0"/>
                <w:color w:val="000000"/>
                <w:sz w:val="24"/>
                <w:szCs w:val="24"/>
                <w:u w:val="none"/>
              </w:rPr>
            </w:pPr>
          </w:p>
        </w:tc>
        <w:tc>
          <w:tcPr>
            <w:tcW w:w="1764"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支出项目类别（资金使用单位）</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2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财政专户拨款</w:t>
            </w:r>
          </w:p>
        </w:tc>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w:t>
            </w: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阳江市第一职业技术学校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jc w:val="both"/>
      </w:pPr>
    </w:p>
    <w:p>
      <w:pPr>
        <w:jc w:val="both"/>
        <w:rPr>
          <w:rFonts w:hint="eastAsia" w:eastAsiaTheme="minorEastAsia"/>
          <w:lang w:eastAsia="zh-CN"/>
        </w:rPr>
      </w:pPr>
      <w:r>
        <w:rPr>
          <w:rFonts w:hint="eastAsia"/>
          <w:lang w:eastAsia="zh-CN"/>
        </w:rPr>
        <w:t>注：本年度无</w:t>
      </w:r>
      <w:r>
        <w:rPr>
          <w:rFonts w:hint="eastAsia"/>
          <w:lang w:val="en-US" w:eastAsia="zh-CN"/>
        </w:rPr>
        <w:t>项目支出及其他支出预算，本表为空。</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jc w:val="both"/>
        <w:rPr>
          <w:rFonts w:hint="eastAsia" w:ascii="方正小标宋简体" w:hAnsi="方正小标宋简体" w:eastAsia="方正小标宋简体" w:cs="方正小标宋简体"/>
          <w:sz w:val="44"/>
          <w:szCs w:val="44"/>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2017年本部门收入预算3179.4万元，比上年增加341.6万元，增长12.04%，主要原因是增加购房补贴收入；支出预算3179.4万元，比上年增加341.6万元，增长12.04%，主要原因是增加购房补贴支出。</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66万元，比上年增加1万元，增长1.54%，主要原因是因公出国（境）费增加。其中：因公出国（境）费6万元，比上年增加1万元，增长20%，主要原因是因公出国（境）费预算增加；公务用车购置及运行费50万元，与上年保持不变；公务接待费10万元，与上年保持不变。</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我单位属于事业单位，无机关运行经费预算。</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2017年本部门政府采购安排0万元。因为政府采购安排在免学费资金中支出，而预算资金并没有安排免学费资金的预算。</w:t>
      </w:r>
    </w:p>
    <w:p>
      <w:pPr>
        <w:widowControl w:val="0"/>
        <w:numPr>
          <w:ilvl w:val="0"/>
          <w:numId w:val="0"/>
        </w:numPr>
        <w:jc w:val="both"/>
        <w:rPr>
          <w:rFonts w:hint="eastAsia" w:ascii="仿宋_GB2312" w:hAnsi="仿宋_GB2312" w:eastAsia="仿宋_GB2312" w:cs="仿宋_GB2312"/>
          <w:sz w:val="32"/>
          <w:szCs w:val="32"/>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截至2016年12月31日，共有车辆9辆，其中：一般公务用车9辆等。</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2016年，本部门暂无推进预算绩效信息公开的有关工作。</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hint="eastAsia" w:ascii="仿宋_GB2312" w:hAnsi="仿宋_GB2312" w:eastAsia="仿宋_GB2312" w:cs="仿宋_GB2312"/>
          <w:sz w:val="32"/>
          <w:szCs w:val="32"/>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5F50C1"/>
    <w:multiLevelType w:val="singleLevel"/>
    <w:tmpl w:val="5A5F50C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6A31"/>
    <w:rsid w:val="1C1865ED"/>
    <w:rsid w:val="20EE6A13"/>
    <w:rsid w:val="36E602DD"/>
    <w:rsid w:val="50CB6A87"/>
    <w:rsid w:val="5C677A6A"/>
    <w:rsid w:val="60E37A9B"/>
    <w:rsid w:val="66D06120"/>
    <w:rsid w:val="6CF65585"/>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18"/>
      <w:szCs w:val="18"/>
      <w:lang w:val="en-US" w:eastAsia="zh-CN" w:bidi="ar"/>
    </w:rPr>
  </w:style>
  <w:style w:type="character" w:styleId="4">
    <w:name w:val="Strong"/>
    <w:basedOn w:val="3"/>
    <w:qFormat/>
    <w:uiPriority w:val="0"/>
    <w:rPr>
      <w:b/>
    </w:rPr>
  </w:style>
  <w:style w:type="character" w:styleId="5">
    <w:name w:val="FollowedHyperlink"/>
    <w:basedOn w:val="3"/>
    <w:qFormat/>
    <w:uiPriority w:val="0"/>
    <w:rPr>
      <w:rFonts w:hint="eastAsia" w:ascii="微软雅黑" w:hAnsi="微软雅黑" w:eastAsia="微软雅黑" w:cs="微软雅黑"/>
      <w:color w:val="333333"/>
      <w:sz w:val="18"/>
      <w:szCs w:val="18"/>
      <w:u w:val="none"/>
    </w:rPr>
  </w:style>
  <w:style w:type="character" w:styleId="6">
    <w:name w:val="Emphasis"/>
    <w:basedOn w:val="3"/>
    <w:qFormat/>
    <w:uiPriority w:val="0"/>
  </w:style>
  <w:style w:type="character" w:styleId="7">
    <w:name w:val="Hyperlink"/>
    <w:basedOn w:val="3"/>
    <w:qFormat/>
    <w:uiPriority w:val="0"/>
    <w:rPr>
      <w:rFonts w:hint="eastAsia" w:ascii="微软雅黑" w:hAnsi="微软雅黑" w:eastAsia="微软雅黑" w:cs="微软雅黑"/>
      <w:color w:val="333333"/>
      <w:sz w:val="18"/>
      <w:szCs w:val="18"/>
      <w:u w:val="none"/>
    </w:rPr>
  </w:style>
  <w:style w:type="character" w:customStyle="1" w:styleId="9">
    <w:name w:val="font21"/>
    <w:basedOn w:val="3"/>
    <w:qFormat/>
    <w:uiPriority w:val="0"/>
    <w:rPr>
      <w:rFonts w:hint="eastAsia" w:ascii="宋体" w:hAnsi="宋体" w:eastAsia="宋体" w:cs="宋体"/>
      <w:color w:val="000000"/>
      <w:sz w:val="24"/>
      <w:szCs w:val="24"/>
      <w:u w:val="none"/>
    </w:rPr>
  </w:style>
  <w:style w:type="character" w:customStyle="1" w:styleId="10">
    <w:name w:val="font11"/>
    <w:basedOn w:val="3"/>
    <w:qFormat/>
    <w:uiPriority w:val="0"/>
    <w:rPr>
      <w:rFonts w:hint="eastAsia" w:ascii="宋体" w:hAnsi="宋体" w:eastAsia="宋体" w:cs="宋体"/>
      <w:color w:val="000000"/>
      <w:sz w:val="24"/>
      <w:szCs w:val="24"/>
      <w:u w:val="none"/>
    </w:rPr>
  </w:style>
  <w:style w:type="character" w:customStyle="1" w:styleId="11">
    <w:name w:val="first-child"/>
    <w:basedOn w:val="3"/>
    <w:uiPriority w:val="0"/>
  </w:style>
  <w:style w:type="character" w:customStyle="1" w:styleId="12">
    <w:name w:val="dw"/>
    <w:basedOn w:val="3"/>
    <w:qFormat/>
    <w:uiPriority w:val="0"/>
  </w:style>
  <w:style w:type="character" w:customStyle="1" w:styleId="13">
    <w:name w:val="xxgk_1_m_ti_1"/>
    <w:basedOn w:val="3"/>
    <w:qFormat/>
    <w:uiPriority w:val="0"/>
  </w:style>
  <w:style w:type="character" w:customStyle="1" w:styleId="14">
    <w:name w:val="xxgk_1_l_ti_1"/>
    <w:basedOn w:val="3"/>
    <w:qFormat/>
    <w:uiPriority w:val="0"/>
  </w:style>
  <w:style w:type="character" w:customStyle="1" w:styleId="15">
    <w:name w:val="next"/>
    <w:basedOn w:val="3"/>
    <w:qFormat/>
    <w:uiPriority w:val="0"/>
    <w:rPr>
      <w:sz w:val="24"/>
      <w:szCs w:val="24"/>
    </w:rPr>
  </w:style>
  <w:style w:type="character" w:customStyle="1" w:styleId="16">
    <w:name w:val="ib"/>
    <w:basedOn w:val="3"/>
    <w:uiPriority w:val="0"/>
  </w:style>
  <w:style w:type="character" w:customStyle="1" w:styleId="17">
    <w:name w:val="wz"/>
    <w:basedOn w:val="3"/>
    <w:uiPriority w:val="0"/>
    <w:rPr>
      <w:color w:val="9D9D9D"/>
      <w:sz w:val="24"/>
      <w:szCs w:val="24"/>
    </w:rPr>
  </w:style>
  <w:style w:type="character" w:customStyle="1" w:styleId="18">
    <w:name w:val="zxfw_1_r_to_ti_1"/>
    <w:basedOn w:val="3"/>
    <w:uiPriority w:val="0"/>
  </w:style>
  <w:style w:type="character" w:customStyle="1" w:styleId="19">
    <w:name w:val="serch_b"/>
    <w:basedOn w:val="3"/>
    <w:uiPriority w:val="0"/>
  </w:style>
  <w:style w:type="character" w:customStyle="1" w:styleId="20">
    <w:name w:val="zt"/>
    <w:basedOn w:val="3"/>
    <w:uiPriority w:val="0"/>
    <w:rPr>
      <w:color w:val="1378C4"/>
      <w:sz w:val="21"/>
      <w:szCs w:val="21"/>
    </w:rPr>
  </w:style>
  <w:style w:type="character" w:customStyle="1" w:styleId="21">
    <w:name w:val="fr"/>
    <w:basedOn w:val="3"/>
    <w:uiPriority w:val="0"/>
  </w:style>
  <w:style w:type="character" w:customStyle="1" w:styleId="22">
    <w:name w:val="sj"/>
    <w:basedOn w:val="3"/>
    <w:uiPriority w:val="0"/>
  </w:style>
  <w:style w:type="character" w:customStyle="1" w:styleId="23">
    <w:name w:val="zhuant"/>
    <w:basedOn w:val="3"/>
    <w:uiPriority w:val="0"/>
    <w:rPr>
      <w:color w:val="1378C4"/>
      <w:sz w:val="21"/>
      <w:szCs w:val="21"/>
    </w:rPr>
  </w:style>
  <w:style w:type="character" w:customStyle="1" w:styleId="24">
    <w:name w:val="zxfw_1_m_ti_1"/>
    <w:basedOn w:val="3"/>
    <w:uiPriority w:val="0"/>
  </w:style>
  <w:style w:type="character" w:customStyle="1" w:styleId="25">
    <w:name w:val="fl"/>
    <w:basedOn w:val="3"/>
    <w:uiPriority w:val="0"/>
  </w:style>
  <w:style w:type="character" w:customStyle="1" w:styleId="26">
    <w:name w:val="na_wz"/>
    <w:basedOn w:val="3"/>
    <w:uiPriority w:val="0"/>
    <w:rPr>
      <w:b/>
    </w:rPr>
  </w:style>
  <w:style w:type="character" w:customStyle="1" w:styleId="27">
    <w:name w:val="zjyj_1_l_ti_1"/>
    <w:basedOn w:val="3"/>
    <w:uiPriority w:val="0"/>
  </w:style>
  <w:style w:type="character" w:customStyle="1" w:styleId="28">
    <w:name w:val="mt5"/>
    <w:basedOn w:val="3"/>
    <w:uiPriority w:val="0"/>
  </w:style>
  <w:style w:type="character" w:customStyle="1" w:styleId="29">
    <w:name w:val="zxfw_1_l_ti_1"/>
    <w:basedOn w:val="3"/>
    <w:uiPriority w:val="0"/>
  </w:style>
  <w:style w:type="character" w:customStyle="1" w:styleId="30">
    <w:name w:val="hover33"/>
    <w:basedOn w:val="3"/>
    <w:uiPriority w:val="0"/>
    <w:rPr>
      <w:color w:val="A50D0D"/>
    </w:rPr>
  </w:style>
  <w:style w:type="character" w:customStyle="1" w:styleId="31">
    <w:name w:val="hover34"/>
    <w:basedOn w:val="3"/>
    <w:uiPriority w:val="0"/>
    <w:rPr>
      <w:color w:val="FF0000"/>
    </w:rPr>
  </w:style>
  <w:style w:type="character" w:customStyle="1" w:styleId="32">
    <w:name w:val="hdjl_1_l_ti_1"/>
    <w:basedOn w:val="3"/>
    <w:uiPriority w:val="0"/>
  </w:style>
  <w:style w:type="character" w:customStyle="1" w:styleId="33">
    <w:name w:val="hdjl_1_m_ti_1"/>
    <w:basedOn w:val="3"/>
    <w:uiPriority w:val="0"/>
  </w:style>
  <w:style w:type="character" w:customStyle="1" w:styleId="34">
    <w:name w:val="hdjl_1_r_ti_1"/>
    <w:basedOn w:val="3"/>
    <w:uiPriority w:val="0"/>
  </w:style>
  <w:style w:type="character" w:customStyle="1" w:styleId="35">
    <w:name w:val="f_l"/>
    <w:basedOn w:val="3"/>
    <w:uiPriority w:val="0"/>
  </w:style>
  <w:style w:type="character" w:customStyle="1" w:styleId="36">
    <w:name w:val="zxfw_1_r_bo_ti_1"/>
    <w:basedOn w:val="3"/>
    <w:uiPriority w:val="0"/>
  </w:style>
  <w:style w:type="character" w:customStyle="1" w:styleId="37">
    <w:name w:val="tb"/>
    <w:basedOn w:val="3"/>
    <w:uiPriority w:val="0"/>
  </w:style>
  <w:style w:type="character" w:customStyle="1" w:styleId="38">
    <w:name w:val="sjkf_1_l_tp_ti_1"/>
    <w:basedOn w:val="3"/>
    <w:uiPriority w:val="0"/>
  </w:style>
  <w:style w:type="character" w:customStyle="1" w:styleId="39">
    <w:name w:val="layui-layer-tabnow"/>
    <w:basedOn w:val="3"/>
    <w:uiPriority w:val="0"/>
    <w:rPr>
      <w:bdr w:val="single" w:color="CCCCCC" w:sz="6" w:space="0"/>
      <w:shd w:val="clear" w:fill="FFFFFF"/>
    </w:rPr>
  </w:style>
  <w:style w:type="character" w:customStyle="1" w:styleId="40">
    <w:name w:val="dqwz"/>
    <w:basedOn w:val="3"/>
    <w:uiPriority w:val="0"/>
    <w:rPr>
      <w:color w:val="9D9D9D"/>
      <w:sz w:val="24"/>
      <w:szCs w:val="24"/>
    </w:rPr>
  </w:style>
  <w:style w:type="character" w:customStyle="1" w:styleId="41">
    <w:name w:val="data"/>
    <w:basedOn w:val="3"/>
    <w:uiPriority w:val="0"/>
    <w:rPr>
      <w:color w:val="1378C4"/>
      <w:sz w:val="21"/>
      <w:szCs w:val="21"/>
    </w:rPr>
  </w:style>
  <w:style w:type="character" w:customStyle="1" w:styleId="42">
    <w:name w:val="ztc"/>
    <w:basedOn w:val="3"/>
    <w:uiPriority w:val="0"/>
  </w:style>
  <w:style w:type="character" w:customStyle="1" w:styleId="43">
    <w:name w:val="wgkbd_jcgk"/>
    <w:basedOn w:val="3"/>
    <w:uiPriority w:val="0"/>
    <w:rPr>
      <w:color w:val="FFFFFF"/>
      <w:sz w:val="36"/>
      <w:szCs w:val="36"/>
      <w:shd w:val="clear" w:fill="026EBE"/>
    </w:rPr>
  </w:style>
  <w:style w:type="character" w:customStyle="1" w:styleId="44">
    <w:name w:val="wgk_more"/>
    <w:basedOn w:val="3"/>
    <w:uiPriority w:val="0"/>
  </w:style>
  <w:style w:type="character" w:customStyle="1" w:styleId="45">
    <w:name w:val="bsharetext"/>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小小小颖</cp:lastModifiedBy>
  <cp:lastPrinted>2018-02-09T07:39:00Z</cp:lastPrinted>
  <dcterms:modified xsi:type="dcterms:W3CDTF">2018-04-02T05:59:09Z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