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2017年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阳江市特殊教育学校部门预算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阳江市特殊教育学校概况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2017年部门预算表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2017年部门预算情况说明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阳江市特殊教育学校概况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ilvl w:val="0"/>
          <w:numId w:val="0"/>
        </w:numPr>
        <w:ind w:firstLine="1292" w:firstLineChars="404"/>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负责全市适龄残疾儿童义务教育工作。</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4"/>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本部门无下属单位，部门预算为市本级预算。</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（二）本部门内设机构：办公室、教务室、总务室、生活指导室；人员构成情况：</w:t>
      </w:r>
      <w:r>
        <w:rPr>
          <w:rFonts w:hint="eastAsia" w:ascii="仿宋" w:hAnsi="仿宋" w:eastAsia="仿宋"/>
          <w:sz w:val="32"/>
          <w:szCs w:val="32"/>
          <w:lang w:eastAsia="zh-CN"/>
        </w:rPr>
        <w:t>在职在编职工为</w:t>
      </w:r>
      <w:r>
        <w:rPr>
          <w:rFonts w:hint="eastAsia" w:ascii="仿宋" w:hAnsi="仿宋" w:eastAsia="仿宋"/>
          <w:sz w:val="32"/>
          <w:szCs w:val="32"/>
          <w:lang w:val="en-US" w:eastAsia="zh-CN"/>
        </w:rPr>
        <w:t>40人</w:t>
      </w:r>
      <w:r>
        <w:rPr>
          <w:rFonts w:hint="eastAsia" w:ascii="仿宋_GB2312" w:hAnsi="仿宋_GB2312" w:eastAsia="仿宋_GB2312" w:cs="仿宋_GB2312"/>
          <w:sz w:val="32"/>
          <w:szCs w:val="32"/>
          <w:lang w:val="en-US" w:eastAsia="zh-CN"/>
        </w:rPr>
        <w:t>。</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2017年部门预算表</w:t>
      </w: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58"/>
        <w:gridCol w:w="2158"/>
        <w:gridCol w:w="2010"/>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8" w:type="dxa"/>
            <w:shd w:val="clear" w:color="auto" w:fill="auto"/>
            <w:vAlign w:val="center"/>
          </w:tcPr>
          <w:p>
            <w:pPr>
              <w:rPr>
                <w:rFonts w:hint="eastAsia" w:ascii="宋体" w:hAnsi="宋体" w:eastAsia="宋体" w:cs="宋体"/>
                <w:i w:val="0"/>
                <w:color w:val="000000"/>
                <w:sz w:val="24"/>
                <w:szCs w:val="24"/>
                <w:u w:val="none"/>
              </w:rPr>
            </w:pPr>
          </w:p>
        </w:tc>
        <w:tc>
          <w:tcPr>
            <w:tcW w:w="2158" w:type="dxa"/>
            <w:shd w:val="clear" w:color="auto" w:fill="auto"/>
            <w:vAlign w:val="center"/>
          </w:tcPr>
          <w:p>
            <w:pPr>
              <w:rPr>
                <w:rFonts w:hint="eastAsia" w:ascii="宋体" w:hAnsi="宋体" w:eastAsia="宋体" w:cs="宋体"/>
                <w:i w:val="0"/>
                <w:color w:val="000000"/>
                <w:sz w:val="24"/>
                <w:szCs w:val="24"/>
                <w:u w:val="none"/>
              </w:rPr>
            </w:pPr>
          </w:p>
        </w:tc>
        <w:tc>
          <w:tcPr>
            <w:tcW w:w="2010" w:type="dxa"/>
            <w:shd w:val="clear" w:color="auto" w:fill="auto"/>
            <w:vAlign w:val="center"/>
          </w:tcPr>
          <w:p>
            <w:pPr>
              <w:rPr>
                <w:rFonts w:hint="eastAsia" w:ascii="宋体" w:hAnsi="宋体" w:eastAsia="宋体" w:cs="宋体"/>
                <w:i w:val="0"/>
                <w:color w:val="000000"/>
                <w:sz w:val="24"/>
                <w:szCs w:val="24"/>
                <w:u w:val="none"/>
              </w:rPr>
            </w:pPr>
          </w:p>
        </w:tc>
        <w:tc>
          <w:tcPr>
            <w:tcW w:w="201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21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单位名称：阳江市特殊教育学校</w:t>
            </w:r>
          </w:p>
        </w:tc>
        <w:tc>
          <w:tcPr>
            <w:tcW w:w="2158" w:type="dxa"/>
            <w:shd w:val="clear" w:color="auto" w:fill="auto"/>
            <w:vAlign w:val="center"/>
          </w:tcPr>
          <w:p>
            <w:pPr>
              <w:rPr>
                <w:rFonts w:hint="eastAsia" w:ascii="宋体" w:hAnsi="宋体" w:eastAsia="宋体" w:cs="宋体"/>
                <w:i w:val="0"/>
                <w:color w:val="000000"/>
                <w:sz w:val="24"/>
                <w:szCs w:val="24"/>
                <w:u w:val="none"/>
              </w:rPr>
            </w:pPr>
          </w:p>
        </w:tc>
        <w:tc>
          <w:tcPr>
            <w:tcW w:w="2010" w:type="dxa"/>
            <w:shd w:val="clear" w:color="auto" w:fill="auto"/>
            <w:vAlign w:val="center"/>
          </w:tcPr>
          <w:p>
            <w:pPr>
              <w:rPr>
                <w:rFonts w:hint="eastAsia" w:ascii="宋体" w:hAnsi="宋体" w:eastAsia="宋体" w:cs="宋体"/>
                <w:i w:val="0"/>
                <w:color w:val="000000"/>
                <w:sz w:val="24"/>
                <w:szCs w:val="24"/>
                <w:u w:val="none"/>
              </w:rPr>
            </w:pPr>
          </w:p>
        </w:tc>
        <w:tc>
          <w:tcPr>
            <w:tcW w:w="20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4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一、财政拨款</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二、财政专户拨款</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二、项目支出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三、其他资金</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四、上级补助收入</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四、对附属单位补助支出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五、上缴上级支出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六、用事业基金弥补收支总额</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六、结转下年</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收入总计</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支出总计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336" w:type="dxa"/>
            <w:gridSpan w:val="4"/>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注：财政拨款收支情况包括一般公共预算、政府性基金预算、国有资本经营预算拨款收支情况。</w:t>
            </w:r>
          </w:p>
        </w:tc>
      </w:tr>
    </w:tbl>
    <w:p>
      <w:pPr>
        <w:jc w:val="center"/>
        <w:rPr>
          <w:rFonts w:hint="eastAsia" w:ascii="方正小标宋简体" w:hAnsi="方正小标宋简体" w:eastAsia="方正小标宋简体" w:cs="方正小标宋简体"/>
          <w:sz w:val="44"/>
          <w:szCs w:val="44"/>
          <w:lang w:val="en-US" w:eastAsia="zh-CN"/>
        </w:rPr>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49"/>
        <w:gridCol w:w="4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849" w:type="dxa"/>
            <w:shd w:val="clear" w:color="auto" w:fill="auto"/>
            <w:vAlign w:val="center"/>
          </w:tcPr>
          <w:p>
            <w:pPr>
              <w:rPr>
                <w:rFonts w:hint="eastAsia" w:ascii="宋体" w:hAnsi="宋体" w:eastAsia="宋体" w:cs="宋体"/>
                <w:i w:val="0"/>
                <w:color w:val="000000"/>
                <w:sz w:val="24"/>
                <w:szCs w:val="24"/>
                <w:u w:val="none"/>
              </w:rPr>
            </w:pPr>
          </w:p>
        </w:tc>
        <w:tc>
          <w:tcPr>
            <w:tcW w:w="448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384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单位名称：阳江市特殊教育学校</w:t>
            </w:r>
          </w:p>
        </w:tc>
        <w:tc>
          <w:tcPr>
            <w:tcW w:w="448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一、预算拨款</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一般公共预算拨款</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基金预算拨款</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二、财政专户拨款</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教育收费</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其他财政收入拨款</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三、其他资金</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事业收入</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事业单位经营收入</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其他收入</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四、上级补助收入</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六、用事业基金弥补收支总额</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收入总计</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r>
    </w:tbl>
    <w:p>
      <w:pPr>
        <w:jc w:val="center"/>
        <w:rPr>
          <w:rFonts w:hint="eastAsia" w:ascii="方正小标宋简体" w:hAnsi="方正小标宋简体" w:eastAsia="方正小标宋简体" w:cs="方正小标宋简体"/>
          <w:sz w:val="44"/>
          <w:szCs w:val="44"/>
          <w:lang w:val="en-US" w:eastAsia="zh-CN"/>
        </w:rPr>
      </w:pPr>
    </w:p>
    <w:p>
      <w:pPr>
        <w:jc w:val="both"/>
      </w:pPr>
    </w:p>
    <w:p>
      <w:pPr>
        <w:jc w:val="both"/>
        <w:rPr>
          <w:rFonts w:hint="eastAsia"/>
          <w:lang w:val="en-US" w:eastAsia="zh-CN"/>
        </w:rPr>
      </w:pPr>
    </w:p>
    <w:p>
      <w:pPr>
        <w:jc w:val="both"/>
      </w:pPr>
    </w:p>
    <w:p>
      <w:pPr>
        <w:jc w:val="both"/>
      </w:pPr>
    </w:p>
    <w:p>
      <w:pPr>
        <w:jc w:val="both"/>
      </w:pPr>
    </w:p>
    <w:p>
      <w:pPr>
        <w:jc w:val="both"/>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78"/>
        <w:gridCol w:w="4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278" w:type="dxa"/>
            <w:shd w:val="clear" w:color="auto" w:fill="auto"/>
            <w:vAlign w:val="center"/>
          </w:tcPr>
          <w:p>
            <w:pPr>
              <w:rPr>
                <w:rFonts w:hint="eastAsia" w:ascii="宋体" w:hAnsi="宋体" w:eastAsia="宋体" w:cs="宋体"/>
                <w:i w:val="0"/>
                <w:color w:val="000000"/>
                <w:sz w:val="24"/>
                <w:szCs w:val="24"/>
                <w:u w:val="none"/>
              </w:rPr>
            </w:pPr>
          </w:p>
        </w:tc>
        <w:tc>
          <w:tcPr>
            <w:tcW w:w="405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单位名称：阳江市特殊教育学校</w:t>
            </w:r>
          </w:p>
        </w:tc>
        <w:tc>
          <w:tcPr>
            <w:tcW w:w="405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一、基本支出</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工资福利支出</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一般商品和服务支出</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对个人和家庭的补助</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其他资本性支出等</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二、项目支出</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日常运转类项目</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政府购买服务类项目</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其他类项目</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科技研发类项目</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基本建设类项目</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补助企事业类项目</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信息化运维类项目</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专项业务类项目</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因公出国（境）项目</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信息系统建设类项目</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三、事业单位经营支出</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四、对附属单位补助支出</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五、上缴上级支出</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六、结转下年</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支出总计</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r>
    </w:tbl>
    <w:p>
      <w:pPr>
        <w:jc w:val="both"/>
      </w:pPr>
    </w:p>
    <w:p>
      <w:pPr>
        <w:jc w:val="both"/>
      </w:pPr>
    </w:p>
    <w:p>
      <w:pPr>
        <w:jc w:val="both"/>
      </w:pPr>
    </w:p>
    <w:p>
      <w:pPr>
        <w:jc w:val="both"/>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53"/>
        <w:gridCol w:w="2152"/>
        <w:gridCol w:w="2016"/>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3" w:type="dxa"/>
            <w:shd w:val="clear" w:color="auto" w:fill="auto"/>
            <w:vAlign w:val="center"/>
          </w:tcPr>
          <w:p>
            <w:pPr>
              <w:rPr>
                <w:rFonts w:hint="eastAsia" w:ascii="宋体" w:hAnsi="宋体" w:eastAsia="宋体" w:cs="宋体"/>
                <w:i w:val="0"/>
                <w:color w:val="000000"/>
                <w:sz w:val="24"/>
                <w:szCs w:val="24"/>
                <w:u w:val="none"/>
              </w:rPr>
            </w:pPr>
          </w:p>
        </w:tc>
        <w:tc>
          <w:tcPr>
            <w:tcW w:w="2152" w:type="dxa"/>
            <w:shd w:val="clear" w:color="auto" w:fill="auto"/>
            <w:vAlign w:val="center"/>
          </w:tcPr>
          <w:p>
            <w:pPr>
              <w:rPr>
                <w:rFonts w:hint="eastAsia" w:ascii="宋体" w:hAnsi="宋体" w:eastAsia="宋体" w:cs="宋体"/>
                <w:i w:val="0"/>
                <w:color w:val="000000"/>
                <w:sz w:val="24"/>
                <w:szCs w:val="24"/>
                <w:u w:val="none"/>
              </w:rPr>
            </w:pPr>
          </w:p>
        </w:tc>
        <w:tc>
          <w:tcPr>
            <w:tcW w:w="2016" w:type="dxa"/>
            <w:shd w:val="clear" w:color="auto" w:fill="auto"/>
            <w:vAlign w:val="center"/>
          </w:tcPr>
          <w:p>
            <w:pPr>
              <w:rPr>
                <w:rFonts w:hint="eastAsia" w:ascii="宋体" w:hAnsi="宋体" w:eastAsia="宋体" w:cs="宋体"/>
                <w:i w:val="0"/>
                <w:color w:val="000000"/>
                <w:sz w:val="24"/>
                <w:szCs w:val="24"/>
                <w:u w:val="none"/>
              </w:rPr>
            </w:pPr>
          </w:p>
        </w:tc>
        <w:tc>
          <w:tcPr>
            <w:tcW w:w="201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21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单位名称：阳江市特殊教育学校</w:t>
            </w:r>
          </w:p>
        </w:tc>
        <w:tc>
          <w:tcPr>
            <w:tcW w:w="2152" w:type="dxa"/>
            <w:shd w:val="clear" w:color="auto" w:fill="auto"/>
            <w:vAlign w:val="center"/>
          </w:tcPr>
          <w:p>
            <w:pPr>
              <w:rPr>
                <w:rFonts w:hint="eastAsia" w:ascii="宋体" w:hAnsi="宋体" w:eastAsia="宋体" w:cs="宋体"/>
                <w:i w:val="0"/>
                <w:color w:val="000000"/>
                <w:sz w:val="24"/>
                <w:szCs w:val="24"/>
                <w:u w:val="none"/>
              </w:rPr>
            </w:pPr>
          </w:p>
        </w:tc>
        <w:tc>
          <w:tcPr>
            <w:tcW w:w="2016" w:type="dxa"/>
            <w:shd w:val="clear" w:color="auto" w:fill="auto"/>
            <w:vAlign w:val="center"/>
          </w:tcPr>
          <w:p>
            <w:pPr>
              <w:rPr>
                <w:rFonts w:hint="eastAsia" w:ascii="宋体" w:hAnsi="宋体" w:eastAsia="宋体" w:cs="宋体"/>
                <w:i w:val="0"/>
                <w:color w:val="000000"/>
                <w:sz w:val="24"/>
                <w:szCs w:val="24"/>
                <w:u w:val="none"/>
              </w:rPr>
            </w:pPr>
          </w:p>
        </w:tc>
        <w:tc>
          <w:tcPr>
            <w:tcW w:w="201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4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r>
    </w:tbl>
    <w:p>
      <w:pPr>
        <w:jc w:val="both"/>
      </w:pPr>
    </w:p>
    <w:p>
      <w:pPr>
        <w:jc w:val="both"/>
      </w:pPr>
    </w:p>
    <w:p>
      <w:pPr>
        <w:jc w:val="both"/>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70"/>
        <w:gridCol w:w="1476"/>
        <w:gridCol w:w="1581"/>
        <w:gridCol w:w="2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0" w:type="dxa"/>
            <w:shd w:val="clear" w:color="auto" w:fill="auto"/>
            <w:vAlign w:val="center"/>
          </w:tcPr>
          <w:p>
            <w:pPr>
              <w:rPr>
                <w:rFonts w:hint="eastAsia" w:ascii="宋体" w:hAnsi="宋体" w:eastAsia="宋体" w:cs="宋体"/>
                <w:i w:val="0"/>
                <w:color w:val="000000"/>
                <w:sz w:val="24"/>
                <w:szCs w:val="24"/>
                <w:u w:val="none"/>
              </w:rPr>
            </w:pPr>
          </w:p>
        </w:tc>
        <w:tc>
          <w:tcPr>
            <w:tcW w:w="1476" w:type="dxa"/>
            <w:shd w:val="clear" w:color="auto" w:fill="auto"/>
            <w:vAlign w:val="center"/>
          </w:tcPr>
          <w:p>
            <w:pPr>
              <w:rPr>
                <w:rFonts w:hint="eastAsia" w:ascii="宋体" w:hAnsi="宋体" w:eastAsia="宋体" w:cs="宋体"/>
                <w:i w:val="0"/>
                <w:color w:val="000000"/>
                <w:sz w:val="24"/>
                <w:szCs w:val="24"/>
                <w:u w:val="none"/>
              </w:rPr>
            </w:pPr>
          </w:p>
        </w:tc>
        <w:tc>
          <w:tcPr>
            <w:tcW w:w="1581" w:type="dxa"/>
            <w:shd w:val="clear" w:color="auto" w:fill="auto"/>
            <w:vAlign w:val="center"/>
          </w:tcPr>
          <w:p>
            <w:pPr>
              <w:rPr>
                <w:rFonts w:hint="eastAsia" w:ascii="宋体" w:hAnsi="宋体" w:eastAsia="宋体" w:cs="宋体"/>
                <w:i w:val="0"/>
                <w:color w:val="000000"/>
                <w:sz w:val="24"/>
                <w:szCs w:val="24"/>
                <w:u w:val="none"/>
              </w:rPr>
            </w:pPr>
          </w:p>
        </w:tc>
        <w:tc>
          <w:tcPr>
            <w:tcW w:w="26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一般公共预算支出情况表（按功能分类项目）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单位名称：阳江市特殊教育学校</w:t>
            </w:r>
          </w:p>
        </w:tc>
        <w:tc>
          <w:tcPr>
            <w:tcW w:w="1476" w:type="dxa"/>
            <w:shd w:val="clear" w:color="auto" w:fill="auto"/>
            <w:vAlign w:val="center"/>
          </w:tcPr>
          <w:p>
            <w:pPr>
              <w:rPr>
                <w:rFonts w:hint="eastAsia" w:ascii="宋体" w:hAnsi="宋体" w:eastAsia="宋体" w:cs="宋体"/>
                <w:i w:val="0"/>
                <w:color w:val="000000"/>
                <w:sz w:val="24"/>
                <w:szCs w:val="24"/>
                <w:u w:val="none"/>
              </w:rPr>
            </w:pPr>
          </w:p>
        </w:tc>
        <w:tc>
          <w:tcPr>
            <w:tcW w:w="1581" w:type="dxa"/>
            <w:shd w:val="clear" w:color="auto" w:fill="auto"/>
            <w:vAlign w:val="center"/>
          </w:tcPr>
          <w:p>
            <w:pPr>
              <w:rPr>
                <w:rFonts w:hint="eastAsia" w:ascii="宋体" w:hAnsi="宋体" w:eastAsia="宋体" w:cs="宋体"/>
                <w:i w:val="0"/>
                <w:color w:val="000000"/>
                <w:sz w:val="24"/>
                <w:szCs w:val="24"/>
                <w:u w:val="none"/>
              </w:rPr>
            </w:pPr>
          </w:p>
        </w:tc>
        <w:tc>
          <w:tcPr>
            <w:tcW w:w="26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功能科目名称</w:t>
            </w:r>
          </w:p>
        </w:tc>
        <w:tc>
          <w:tcPr>
            <w:tcW w:w="5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其中：基本支出</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[205]教育支出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[20502]普通教育</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[2050201]学前教育</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[20507]特殊教育</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[2050701]特殊学校教育</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[208]社会保障和就业支出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[20805]行政事业单位离退休</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[2080501]归口管理的行政单位离退休</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[2080502]事业单位离退休</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[2080599]其他行政事业单位离退休支出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[210]医疗卫生与计划生育支出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[21005]医疗保障</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[2100502]事业单位医疗</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[221]住房保障支出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[22102]住房改革支出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[2210201]住房公积金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[2210203]购房补贴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jc w:val="both"/>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27"/>
        <w:gridCol w:w="2528"/>
        <w:gridCol w:w="2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27" w:type="dxa"/>
            <w:shd w:val="clear" w:color="auto" w:fill="auto"/>
            <w:vAlign w:val="center"/>
          </w:tcPr>
          <w:p>
            <w:pPr>
              <w:rPr>
                <w:rFonts w:hint="eastAsia" w:ascii="宋体" w:hAnsi="宋体" w:eastAsia="宋体" w:cs="宋体"/>
                <w:i w:val="0"/>
                <w:color w:val="000000"/>
                <w:sz w:val="24"/>
                <w:szCs w:val="24"/>
                <w:u w:val="none"/>
              </w:rPr>
            </w:pPr>
          </w:p>
        </w:tc>
        <w:tc>
          <w:tcPr>
            <w:tcW w:w="2528" w:type="dxa"/>
            <w:shd w:val="clear" w:color="auto" w:fill="auto"/>
            <w:vAlign w:val="center"/>
          </w:tcPr>
          <w:p>
            <w:pPr>
              <w:rPr>
                <w:rFonts w:hint="eastAsia" w:ascii="宋体" w:hAnsi="宋体" w:eastAsia="宋体" w:cs="宋体"/>
                <w:i w:val="0"/>
                <w:color w:val="000000"/>
                <w:sz w:val="24"/>
                <w:szCs w:val="24"/>
                <w:u w:val="none"/>
              </w:rPr>
            </w:pPr>
          </w:p>
        </w:tc>
        <w:tc>
          <w:tcPr>
            <w:tcW w:w="288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一般公共预算基本支出情况表（按支出经济分类项目）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单位名称：阳江市特殊教育学校</w:t>
            </w:r>
          </w:p>
        </w:tc>
        <w:tc>
          <w:tcPr>
            <w:tcW w:w="2528" w:type="dxa"/>
            <w:shd w:val="clear" w:color="auto" w:fill="auto"/>
            <w:vAlign w:val="center"/>
          </w:tcPr>
          <w:p>
            <w:pPr>
              <w:rPr>
                <w:rFonts w:hint="eastAsia" w:ascii="宋体" w:hAnsi="宋体" w:eastAsia="宋体" w:cs="宋体"/>
                <w:i w:val="0"/>
                <w:color w:val="000000"/>
                <w:sz w:val="24"/>
                <w:szCs w:val="24"/>
                <w:u w:val="none"/>
              </w:rPr>
            </w:pPr>
          </w:p>
        </w:tc>
        <w:tc>
          <w:tcPr>
            <w:tcW w:w="288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政府预算支出经济分类</w:t>
            </w:r>
          </w:p>
        </w:tc>
        <w:tc>
          <w:tcPr>
            <w:tcW w:w="252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部门预算支出经济项目</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27" w:type="dxa"/>
            <w:shd w:val="clear" w:color="auto" w:fill="auto"/>
            <w:vAlign w:val="center"/>
          </w:tcPr>
          <w:p>
            <w:pPr>
              <w:rPr>
                <w:rFonts w:hint="eastAsia" w:ascii="宋体" w:hAnsi="宋体" w:eastAsia="宋体" w:cs="宋体"/>
                <w:i w:val="0"/>
                <w:color w:val="000000"/>
                <w:sz w:val="24"/>
                <w:szCs w:val="24"/>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[501]机关工资福利支出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[301]工资福利支出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[50101]工资奖金津补贴</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[30101]基本工资</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[50101]工资奖金津补贴</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[30102]津贴补贴</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[50101]工资奖金津补贴</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[30103]奖金</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[50102]社会保障缴费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[30107]绩效工资</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[50103]住房公积金</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[30113]住房公积金</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[50199]其他工资福利支出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[30199]其他工资福利支出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[502]机关商品和服务支出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[302]商品和服务支出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[30201]办公费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[30202]印刷费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[30204]手续费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[30205]水费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[30206]电费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[30207]邮电费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[30209]物业管理费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[30211]差旅费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[30214]租赁费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[30228]工会经费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[30229]工福利费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[30239]其他交通费用</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[50202]会议费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[30215]会议费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[50203]培训费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[30216]培训费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[30218]专用材料费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[30226]劳务费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[30227]委托业务费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[50206]公务接待费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[30217]公务接待费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[50207]因公出国（境）费用</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[30212]因公出国（境）费用</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[50208]公务用车运行维护费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[30231]公务用车运行维护费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[50209]维修（护）费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[30213]维修（护）费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[50299]其他商品和服务支出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[30299]其他商品和服务支出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[503]机关资本性支出（一）</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[310]资本性支出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[50306]设备购置</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[31002]办公设备购置</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[505]对事业单位经常性补助</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[301]工资福利支出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[30101]基本工资</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[30102]津贴补贴</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[30103]奖金</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[30107]绩效工资</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[30113]住房公积金</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[30199]其他工资福利支出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[505]对事业单位经常性补助</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[302]商品和服务支出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[30201]办公费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[30299]其他商品和服务支出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[509]对个人和家庭的补助</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[303]对个人和家庭的补助</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[30304]抚恤金</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[30305]生活补助</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[30307]医疗费补助</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[30313]购房补贴</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[50905]离退休费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[30311]住房公积金</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[50905]离退休费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[30302]退休费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[50999]其他对个人和家庭的补助</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[30399]其他对个人和家庭的补助</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jc w:val="both"/>
      </w:pPr>
    </w:p>
    <w:p>
      <w:pPr>
        <w:jc w:val="both"/>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27"/>
        <w:gridCol w:w="2528"/>
        <w:gridCol w:w="2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27" w:type="dxa"/>
            <w:shd w:val="clear" w:color="auto" w:fill="auto"/>
            <w:vAlign w:val="center"/>
          </w:tcPr>
          <w:p>
            <w:pPr>
              <w:rPr>
                <w:rFonts w:hint="eastAsia" w:ascii="宋体" w:hAnsi="宋体" w:eastAsia="宋体" w:cs="宋体"/>
                <w:i w:val="0"/>
                <w:color w:val="000000"/>
                <w:sz w:val="24"/>
                <w:szCs w:val="24"/>
                <w:u w:val="none"/>
              </w:rPr>
            </w:pPr>
          </w:p>
        </w:tc>
        <w:tc>
          <w:tcPr>
            <w:tcW w:w="2528" w:type="dxa"/>
            <w:shd w:val="clear" w:color="auto" w:fill="auto"/>
            <w:vAlign w:val="center"/>
          </w:tcPr>
          <w:p>
            <w:pPr>
              <w:rPr>
                <w:rFonts w:hint="eastAsia" w:ascii="宋体" w:hAnsi="宋体" w:eastAsia="宋体" w:cs="宋体"/>
                <w:i w:val="0"/>
                <w:color w:val="000000"/>
                <w:sz w:val="24"/>
                <w:szCs w:val="24"/>
                <w:u w:val="none"/>
              </w:rPr>
            </w:pPr>
          </w:p>
        </w:tc>
        <w:tc>
          <w:tcPr>
            <w:tcW w:w="288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一般公共预算项目支出情况表（按支出经济分类项目）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单位名称：阳江市特殊教育学校</w:t>
            </w:r>
          </w:p>
        </w:tc>
        <w:tc>
          <w:tcPr>
            <w:tcW w:w="2528" w:type="dxa"/>
            <w:shd w:val="clear" w:color="auto" w:fill="auto"/>
            <w:vAlign w:val="center"/>
          </w:tcPr>
          <w:p>
            <w:pPr>
              <w:rPr>
                <w:rFonts w:hint="eastAsia" w:ascii="宋体" w:hAnsi="宋体" w:eastAsia="宋体" w:cs="宋体"/>
                <w:i w:val="0"/>
                <w:color w:val="000000"/>
                <w:sz w:val="24"/>
                <w:szCs w:val="24"/>
                <w:u w:val="none"/>
              </w:rPr>
            </w:pPr>
          </w:p>
        </w:tc>
        <w:tc>
          <w:tcPr>
            <w:tcW w:w="288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政府预算支出经济分类</w:t>
            </w:r>
          </w:p>
        </w:tc>
        <w:tc>
          <w:tcPr>
            <w:tcW w:w="252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部门预算支出经济项目</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27" w:type="dxa"/>
            <w:shd w:val="clear" w:color="auto" w:fill="auto"/>
            <w:vAlign w:val="center"/>
          </w:tcPr>
          <w:p>
            <w:pPr>
              <w:rPr>
                <w:rFonts w:hint="eastAsia" w:ascii="宋体" w:hAnsi="宋体" w:eastAsia="宋体" w:cs="宋体"/>
                <w:i w:val="0"/>
                <w:color w:val="000000"/>
                <w:sz w:val="24"/>
                <w:szCs w:val="24"/>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[501]机关工资福利支出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[301]工资福利支出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[50199]其他工资福利支出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[30106]伙食补助费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[50199]其他工资福利支出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[30199]其他工资福利支出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[502]机关商品和服务支出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[302]商品和服务支出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[30201]办公费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[30202]印刷费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[30204]手续费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[30205]水费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[30206]电费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[30207]邮电费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[30209]物业管理费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[30211]差旅费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[30214]租赁费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[30239]其他交通费用</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[50202]会议费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[30215]会议费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[50203]培训费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[30216]培训费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[30203]咨询费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[30226]劳务费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[50206]公务接待费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[30217]公务接待费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[50208]公务用车运行维护费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[30231]公务用车运行维护费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[50209]维修（护）费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[30213]维修（护）费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[50299]其他商品和服务支出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[30299]其他商品和服务支出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[503]机关资本性支出（一）</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[310]资本性支出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[50301]房屋建筑物购建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[31001]房屋建筑物购建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[50303]公务车购置</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[31013]公务车购置</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[50306]设备购置</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[31002]办公设备购置</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[50306]设备购置</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[31003]专用设备购置</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[50306]设备购置</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[31007]信息网络及软件购置更新</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[50307]大型修缮</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[31006]大型修缮</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[50399]其他资本性支出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[31099]其他资本性支出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[509]对个人和家庭的补助</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[303]对个人和家庭的补助</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[30307]医疗费补助</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[50999]其他对个人和家庭的补助</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[30399]其他对个人和家庭的补助</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jc w:val="both"/>
      </w:pPr>
    </w:p>
    <w:p>
      <w:pPr>
        <w:jc w:val="both"/>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85"/>
        <w:gridCol w:w="4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4185" w:type="dxa"/>
            <w:shd w:val="clear" w:color="auto" w:fill="auto"/>
            <w:vAlign w:val="center"/>
          </w:tcPr>
          <w:p>
            <w:pPr>
              <w:rPr>
                <w:rFonts w:hint="eastAsia" w:ascii="宋体" w:hAnsi="宋体" w:eastAsia="宋体" w:cs="宋体"/>
                <w:i w:val="0"/>
                <w:color w:val="000000"/>
                <w:sz w:val="24"/>
                <w:szCs w:val="24"/>
                <w:u w:val="none"/>
              </w:rPr>
            </w:pPr>
          </w:p>
        </w:tc>
        <w:tc>
          <w:tcPr>
            <w:tcW w:w="415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一般公共预算安排的行政经费及“三公”经费预算表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1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单位名称：阳江市特殊教育学校</w:t>
            </w:r>
          </w:p>
        </w:tc>
        <w:tc>
          <w:tcPr>
            <w:tcW w:w="415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行政经费</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“三公”经费</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其中：（一）因公出国（境）支出</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（二）公务用车购置及运行维护支出</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1、公务用车购置</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2、公务用车运行维护费</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（三）公务接待费支出</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w:t>
            </w:r>
          </w:p>
        </w:tc>
        <w:tc>
          <w:tcPr>
            <w:tcW w:w="4151"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05" w:hRule="atLeast"/>
        </w:trPr>
        <w:tc>
          <w:tcPr>
            <w:tcW w:w="8336" w:type="dxa"/>
            <w:gridSpan w:val="2"/>
            <w:tcBorders>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2）一般行政管理项目支出。具体包括出国费、招待费、会议费、办公用房维修租赁、购置费（包括设备、计算机、车辆等）、干部培训费、执法部门办案费、信息网络运行维护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8336" w:type="dxa"/>
            <w:gridSpan w:val="2"/>
            <w:tcBorders>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非、燃料费、维修费、过桥过路费、保险费等支出；公务接待费指省直行政单位、事业单位按规定开支的各类公务接待（外宾接待）费用。</w:t>
            </w:r>
          </w:p>
        </w:tc>
      </w:tr>
    </w:tbl>
    <w:p>
      <w:pPr>
        <w:jc w:val="both"/>
      </w:pPr>
    </w:p>
    <w:p>
      <w:pPr>
        <w:jc w:val="both"/>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33"/>
        <w:gridCol w:w="1476"/>
        <w:gridCol w:w="1595"/>
        <w:gridCol w:w="2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633" w:type="dxa"/>
            <w:shd w:val="clear" w:color="auto" w:fill="auto"/>
            <w:vAlign w:val="center"/>
          </w:tcPr>
          <w:p>
            <w:pPr>
              <w:rPr>
                <w:rFonts w:hint="eastAsia" w:ascii="宋体" w:hAnsi="宋体" w:eastAsia="宋体" w:cs="宋体"/>
                <w:i w:val="0"/>
                <w:color w:val="000000"/>
                <w:sz w:val="24"/>
                <w:szCs w:val="24"/>
                <w:u w:val="none"/>
              </w:rPr>
            </w:pPr>
          </w:p>
        </w:tc>
        <w:tc>
          <w:tcPr>
            <w:tcW w:w="1476" w:type="dxa"/>
            <w:shd w:val="clear" w:color="auto" w:fill="auto"/>
            <w:vAlign w:val="center"/>
          </w:tcPr>
          <w:p>
            <w:pPr>
              <w:rPr>
                <w:rFonts w:hint="eastAsia" w:ascii="宋体" w:hAnsi="宋体" w:eastAsia="宋体" w:cs="宋体"/>
                <w:i w:val="0"/>
                <w:color w:val="000000"/>
                <w:sz w:val="24"/>
                <w:szCs w:val="24"/>
                <w:u w:val="none"/>
              </w:rPr>
            </w:pPr>
          </w:p>
        </w:tc>
        <w:tc>
          <w:tcPr>
            <w:tcW w:w="1595" w:type="dxa"/>
            <w:shd w:val="clear" w:color="auto" w:fill="auto"/>
            <w:vAlign w:val="center"/>
          </w:tcPr>
          <w:p>
            <w:pPr>
              <w:rPr>
                <w:rFonts w:hint="eastAsia" w:ascii="宋体" w:hAnsi="宋体" w:eastAsia="宋体" w:cs="宋体"/>
                <w:i w:val="0"/>
                <w:color w:val="000000"/>
                <w:sz w:val="24"/>
                <w:szCs w:val="24"/>
                <w:u w:val="none"/>
              </w:rPr>
            </w:pPr>
          </w:p>
        </w:tc>
        <w:tc>
          <w:tcPr>
            <w:tcW w:w="2632"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2017年政府性基金预算支出情况表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单位名称：阳江市特殊教育学校</w:t>
            </w:r>
          </w:p>
        </w:tc>
        <w:tc>
          <w:tcPr>
            <w:tcW w:w="1476" w:type="dxa"/>
            <w:shd w:val="clear" w:color="auto" w:fill="auto"/>
            <w:vAlign w:val="center"/>
          </w:tcPr>
          <w:p>
            <w:pPr>
              <w:rPr>
                <w:rFonts w:hint="eastAsia" w:ascii="宋体" w:hAnsi="宋体" w:eastAsia="宋体" w:cs="宋体"/>
                <w:i w:val="0"/>
                <w:color w:val="000000"/>
                <w:sz w:val="24"/>
                <w:szCs w:val="24"/>
                <w:u w:val="none"/>
              </w:rPr>
            </w:pPr>
          </w:p>
        </w:tc>
        <w:tc>
          <w:tcPr>
            <w:tcW w:w="1595" w:type="dxa"/>
            <w:shd w:val="clear" w:color="auto" w:fill="auto"/>
            <w:vAlign w:val="center"/>
          </w:tcPr>
          <w:p>
            <w:pPr>
              <w:rPr>
                <w:rFonts w:hint="eastAsia" w:ascii="宋体" w:hAnsi="宋体" w:eastAsia="宋体" w:cs="宋体"/>
                <w:i w:val="0"/>
                <w:color w:val="000000"/>
                <w:sz w:val="24"/>
                <w:szCs w:val="24"/>
                <w:u w:val="none"/>
              </w:rPr>
            </w:pPr>
          </w:p>
        </w:tc>
        <w:tc>
          <w:tcPr>
            <w:tcW w:w="2632"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功能科目名称</w:t>
            </w:r>
          </w:p>
        </w:tc>
        <w:tc>
          <w:tcPr>
            <w:tcW w:w="5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其中：基本支出</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注：如该部门无政府性基金安排的支出，则本表为空。</w:t>
            </w:r>
          </w:p>
        </w:tc>
        <w:tc>
          <w:tcPr>
            <w:tcW w:w="1476" w:type="dxa"/>
            <w:shd w:val="clear" w:color="auto" w:fill="auto"/>
            <w:vAlign w:val="center"/>
          </w:tcPr>
          <w:p>
            <w:pPr>
              <w:rPr>
                <w:rFonts w:hint="eastAsia" w:ascii="宋体" w:hAnsi="宋体" w:eastAsia="宋体" w:cs="宋体"/>
                <w:i w:val="0"/>
                <w:color w:val="000000"/>
                <w:sz w:val="24"/>
                <w:szCs w:val="24"/>
                <w:u w:val="none"/>
              </w:rPr>
            </w:pPr>
          </w:p>
        </w:tc>
        <w:tc>
          <w:tcPr>
            <w:tcW w:w="1595" w:type="dxa"/>
            <w:shd w:val="clear" w:color="auto" w:fill="auto"/>
            <w:vAlign w:val="center"/>
          </w:tcPr>
          <w:p>
            <w:pPr>
              <w:rPr>
                <w:rFonts w:hint="eastAsia" w:ascii="宋体" w:hAnsi="宋体" w:eastAsia="宋体" w:cs="宋体"/>
                <w:i w:val="0"/>
                <w:color w:val="000000"/>
                <w:sz w:val="24"/>
                <w:szCs w:val="24"/>
                <w:u w:val="none"/>
              </w:rPr>
            </w:pPr>
          </w:p>
        </w:tc>
        <w:tc>
          <w:tcPr>
            <w:tcW w:w="2632" w:type="dxa"/>
            <w:shd w:val="clear" w:color="auto" w:fill="auto"/>
            <w:vAlign w:val="center"/>
          </w:tcPr>
          <w:p>
            <w:pPr>
              <w:rPr>
                <w:rFonts w:hint="eastAsia" w:ascii="宋体" w:hAnsi="宋体" w:eastAsia="宋体" w:cs="宋体"/>
                <w:i w:val="0"/>
                <w:color w:val="000000"/>
                <w:sz w:val="24"/>
                <w:szCs w:val="24"/>
                <w:u w:val="none"/>
              </w:rPr>
            </w:pPr>
          </w:p>
        </w:tc>
      </w:tr>
    </w:tbl>
    <w:p>
      <w:pPr>
        <w:jc w:val="both"/>
      </w:pPr>
    </w:p>
    <w:p>
      <w:pPr>
        <w:jc w:val="both"/>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94"/>
        <w:gridCol w:w="1073"/>
        <w:gridCol w:w="979"/>
        <w:gridCol w:w="787"/>
        <w:gridCol w:w="459"/>
        <w:gridCol w:w="974"/>
        <w:gridCol w:w="882"/>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94" w:type="dxa"/>
            <w:shd w:val="clear" w:color="auto" w:fill="auto"/>
            <w:vAlign w:val="center"/>
          </w:tcPr>
          <w:p>
            <w:pPr>
              <w:rPr>
                <w:rFonts w:hint="eastAsia" w:ascii="宋体" w:hAnsi="宋体" w:eastAsia="宋体" w:cs="宋体"/>
                <w:i w:val="0"/>
                <w:color w:val="000000"/>
                <w:sz w:val="24"/>
                <w:szCs w:val="24"/>
                <w:u w:val="none"/>
              </w:rPr>
            </w:pPr>
          </w:p>
        </w:tc>
        <w:tc>
          <w:tcPr>
            <w:tcW w:w="1073" w:type="dxa"/>
            <w:shd w:val="clear" w:color="auto" w:fill="auto"/>
            <w:vAlign w:val="center"/>
          </w:tcPr>
          <w:p>
            <w:pPr>
              <w:rPr>
                <w:rFonts w:hint="eastAsia" w:ascii="宋体" w:hAnsi="宋体" w:eastAsia="宋体" w:cs="宋体"/>
                <w:i w:val="0"/>
                <w:color w:val="000000"/>
                <w:sz w:val="24"/>
                <w:szCs w:val="24"/>
                <w:u w:val="none"/>
              </w:rPr>
            </w:pPr>
          </w:p>
        </w:tc>
        <w:tc>
          <w:tcPr>
            <w:tcW w:w="979" w:type="dxa"/>
            <w:shd w:val="clear" w:color="auto" w:fill="auto"/>
            <w:vAlign w:val="center"/>
          </w:tcPr>
          <w:p>
            <w:pPr>
              <w:rPr>
                <w:rFonts w:hint="eastAsia" w:ascii="宋体" w:hAnsi="宋体" w:eastAsia="宋体" w:cs="宋体"/>
                <w:i w:val="0"/>
                <w:color w:val="000000"/>
                <w:sz w:val="24"/>
                <w:szCs w:val="24"/>
                <w:u w:val="none"/>
              </w:rPr>
            </w:pPr>
          </w:p>
        </w:tc>
        <w:tc>
          <w:tcPr>
            <w:tcW w:w="787" w:type="dxa"/>
            <w:shd w:val="clear" w:color="auto" w:fill="auto"/>
            <w:vAlign w:val="center"/>
          </w:tcPr>
          <w:p>
            <w:pPr>
              <w:rPr>
                <w:rFonts w:hint="eastAsia" w:ascii="宋体" w:hAnsi="宋体" w:eastAsia="宋体" w:cs="宋体"/>
                <w:i w:val="0"/>
                <w:color w:val="000000"/>
                <w:sz w:val="24"/>
                <w:szCs w:val="24"/>
                <w:u w:val="none"/>
              </w:rPr>
            </w:pPr>
          </w:p>
        </w:tc>
        <w:tc>
          <w:tcPr>
            <w:tcW w:w="459" w:type="dxa"/>
            <w:shd w:val="clear" w:color="auto" w:fill="auto"/>
            <w:vAlign w:val="center"/>
          </w:tcPr>
          <w:p>
            <w:pPr>
              <w:rPr>
                <w:rFonts w:hint="eastAsia" w:ascii="宋体" w:hAnsi="宋体" w:eastAsia="宋体" w:cs="宋体"/>
                <w:i w:val="0"/>
                <w:color w:val="000000"/>
                <w:sz w:val="24"/>
                <w:szCs w:val="24"/>
                <w:u w:val="none"/>
              </w:rPr>
            </w:pPr>
          </w:p>
        </w:tc>
        <w:tc>
          <w:tcPr>
            <w:tcW w:w="974" w:type="dxa"/>
            <w:shd w:val="clear" w:color="auto" w:fill="auto"/>
            <w:vAlign w:val="center"/>
          </w:tcPr>
          <w:p>
            <w:pPr>
              <w:rPr>
                <w:rFonts w:hint="eastAsia" w:ascii="宋体" w:hAnsi="宋体" w:eastAsia="宋体" w:cs="宋体"/>
                <w:i w:val="0"/>
                <w:color w:val="000000"/>
                <w:sz w:val="24"/>
                <w:szCs w:val="24"/>
                <w:u w:val="none"/>
              </w:rPr>
            </w:pPr>
          </w:p>
        </w:tc>
        <w:tc>
          <w:tcPr>
            <w:tcW w:w="882" w:type="dxa"/>
            <w:shd w:val="clear" w:color="auto" w:fill="auto"/>
            <w:vAlign w:val="center"/>
          </w:tcPr>
          <w:p>
            <w:pPr>
              <w:rPr>
                <w:rFonts w:hint="eastAsia" w:ascii="宋体" w:hAnsi="宋体" w:eastAsia="宋体" w:cs="宋体"/>
                <w:i w:val="0"/>
                <w:color w:val="000000"/>
                <w:sz w:val="24"/>
                <w:szCs w:val="24"/>
                <w:u w:val="none"/>
              </w:rPr>
            </w:pPr>
          </w:p>
        </w:tc>
        <w:tc>
          <w:tcPr>
            <w:tcW w:w="158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阳江市特殊教育学校部门预算基本支出预算表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单位名称：阳江市教育学校</w:t>
            </w:r>
          </w:p>
        </w:tc>
        <w:tc>
          <w:tcPr>
            <w:tcW w:w="1073" w:type="dxa"/>
            <w:shd w:val="clear" w:color="auto" w:fill="auto"/>
            <w:vAlign w:val="center"/>
          </w:tcPr>
          <w:p>
            <w:pPr>
              <w:rPr>
                <w:rFonts w:hint="eastAsia" w:ascii="宋体" w:hAnsi="宋体" w:eastAsia="宋体" w:cs="宋体"/>
                <w:i w:val="0"/>
                <w:color w:val="000000"/>
                <w:sz w:val="24"/>
                <w:szCs w:val="24"/>
                <w:u w:val="none"/>
              </w:rPr>
            </w:pPr>
          </w:p>
        </w:tc>
        <w:tc>
          <w:tcPr>
            <w:tcW w:w="979" w:type="dxa"/>
            <w:shd w:val="clear" w:color="auto" w:fill="auto"/>
            <w:vAlign w:val="center"/>
          </w:tcPr>
          <w:p>
            <w:pPr>
              <w:rPr>
                <w:rFonts w:hint="eastAsia" w:ascii="宋体" w:hAnsi="宋体" w:eastAsia="宋体" w:cs="宋体"/>
                <w:i w:val="0"/>
                <w:color w:val="000000"/>
                <w:sz w:val="24"/>
                <w:szCs w:val="24"/>
                <w:u w:val="none"/>
              </w:rPr>
            </w:pPr>
          </w:p>
        </w:tc>
        <w:tc>
          <w:tcPr>
            <w:tcW w:w="787" w:type="dxa"/>
            <w:shd w:val="clear" w:color="auto" w:fill="auto"/>
            <w:vAlign w:val="center"/>
          </w:tcPr>
          <w:p>
            <w:pPr>
              <w:rPr>
                <w:rFonts w:hint="eastAsia" w:ascii="宋体" w:hAnsi="宋体" w:eastAsia="宋体" w:cs="宋体"/>
                <w:i w:val="0"/>
                <w:color w:val="000000"/>
                <w:sz w:val="24"/>
                <w:szCs w:val="24"/>
                <w:u w:val="none"/>
              </w:rPr>
            </w:pPr>
          </w:p>
        </w:tc>
        <w:tc>
          <w:tcPr>
            <w:tcW w:w="459" w:type="dxa"/>
            <w:shd w:val="clear" w:color="auto" w:fill="auto"/>
            <w:vAlign w:val="center"/>
          </w:tcPr>
          <w:p>
            <w:pPr>
              <w:rPr>
                <w:rFonts w:hint="eastAsia" w:ascii="宋体" w:hAnsi="宋体" w:eastAsia="宋体" w:cs="宋体"/>
                <w:i w:val="0"/>
                <w:color w:val="000000"/>
                <w:sz w:val="24"/>
                <w:szCs w:val="24"/>
                <w:u w:val="none"/>
              </w:rPr>
            </w:pPr>
          </w:p>
        </w:tc>
        <w:tc>
          <w:tcPr>
            <w:tcW w:w="974" w:type="dxa"/>
            <w:shd w:val="clear" w:color="auto" w:fill="auto"/>
            <w:vAlign w:val="center"/>
          </w:tcPr>
          <w:p>
            <w:pPr>
              <w:rPr>
                <w:rFonts w:hint="eastAsia" w:ascii="宋体" w:hAnsi="宋体" w:eastAsia="宋体" w:cs="宋体"/>
                <w:i w:val="0"/>
                <w:color w:val="000000"/>
                <w:sz w:val="24"/>
                <w:szCs w:val="24"/>
                <w:u w:val="none"/>
              </w:rPr>
            </w:pPr>
          </w:p>
        </w:tc>
        <w:tc>
          <w:tcPr>
            <w:tcW w:w="882" w:type="dxa"/>
            <w:shd w:val="clear" w:color="auto" w:fill="auto"/>
            <w:vAlign w:val="center"/>
          </w:tcPr>
          <w:p>
            <w:pPr>
              <w:rPr>
                <w:rFonts w:hint="eastAsia" w:ascii="宋体" w:hAnsi="宋体" w:eastAsia="宋体" w:cs="宋体"/>
                <w:i w:val="0"/>
                <w:color w:val="000000"/>
                <w:sz w:val="24"/>
                <w:szCs w:val="24"/>
                <w:u w:val="none"/>
              </w:rPr>
            </w:pPr>
          </w:p>
        </w:tc>
        <w:tc>
          <w:tcPr>
            <w:tcW w:w="158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支出项目类别（资金使用单位）</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31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财政专户拨款</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国有资本经营预算</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阳江市教育学校</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jc w:val="both"/>
      </w:pPr>
    </w:p>
    <w:p>
      <w:pPr>
        <w:jc w:val="both"/>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4"/>
        <w:gridCol w:w="784"/>
        <w:gridCol w:w="843"/>
        <w:gridCol w:w="677"/>
        <w:gridCol w:w="399"/>
        <w:gridCol w:w="944"/>
        <w:gridCol w:w="763"/>
        <w:gridCol w:w="399"/>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764" w:type="dxa"/>
            <w:shd w:val="clear" w:color="auto" w:fill="auto"/>
            <w:vAlign w:val="center"/>
          </w:tcPr>
          <w:p>
            <w:pPr>
              <w:rPr>
                <w:rFonts w:hint="eastAsia" w:ascii="宋体" w:hAnsi="宋体" w:eastAsia="宋体" w:cs="宋体"/>
                <w:i w:val="0"/>
                <w:color w:val="000000"/>
                <w:sz w:val="24"/>
                <w:szCs w:val="24"/>
                <w:u w:val="none"/>
              </w:rPr>
            </w:pPr>
          </w:p>
        </w:tc>
        <w:tc>
          <w:tcPr>
            <w:tcW w:w="784" w:type="dxa"/>
            <w:shd w:val="clear" w:color="auto" w:fill="auto"/>
            <w:vAlign w:val="center"/>
          </w:tcPr>
          <w:p>
            <w:pPr>
              <w:rPr>
                <w:rFonts w:hint="eastAsia" w:ascii="宋体" w:hAnsi="宋体" w:eastAsia="宋体" w:cs="宋体"/>
                <w:i w:val="0"/>
                <w:color w:val="000000"/>
                <w:sz w:val="24"/>
                <w:szCs w:val="24"/>
                <w:u w:val="none"/>
              </w:rPr>
            </w:pPr>
          </w:p>
        </w:tc>
        <w:tc>
          <w:tcPr>
            <w:tcW w:w="843" w:type="dxa"/>
            <w:shd w:val="clear" w:color="auto" w:fill="auto"/>
            <w:vAlign w:val="center"/>
          </w:tcPr>
          <w:p>
            <w:pPr>
              <w:rPr>
                <w:rFonts w:hint="eastAsia" w:ascii="宋体" w:hAnsi="宋体" w:eastAsia="宋体" w:cs="宋体"/>
                <w:i w:val="0"/>
                <w:color w:val="000000"/>
                <w:sz w:val="24"/>
                <w:szCs w:val="24"/>
                <w:u w:val="none"/>
              </w:rPr>
            </w:pPr>
          </w:p>
        </w:tc>
        <w:tc>
          <w:tcPr>
            <w:tcW w:w="677" w:type="dxa"/>
            <w:shd w:val="clear" w:color="auto" w:fill="auto"/>
            <w:vAlign w:val="center"/>
          </w:tcPr>
          <w:p>
            <w:pPr>
              <w:rPr>
                <w:rFonts w:hint="eastAsia" w:ascii="宋体" w:hAnsi="宋体" w:eastAsia="宋体" w:cs="宋体"/>
                <w:i w:val="0"/>
                <w:color w:val="000000"/>
                <w:sz w:val="24"/>
                <w:szCs w:val="24"/>
                <w:u w:val="none"/>
              </w:rPr>
            </w:pPr>
          </w:p>
        </w:tc>
        <w:tc>
          <w:tcPr>
            <w:tcW w:w="399" w:type="dxa"/>
            <w:shd w:val="clear" w:color="auto" w:fill="auto"/>
            <w:vAlign w:val="center"/>
          </w:tcPr>
          <w:p>
            <w:pPr>
              <w:rPr>
                <w:rFonts w:hint="eastAsia" w:ascii="宋体" w:hAnsi="宋体" w:eastAsia="宋体" w:cs="宋体"/>
                <w:i w:val="0"/>
                <w:color w:val="000000"/>
                <w:sz w:val="24"/>
                <w:szCs w:val="24"/>
                <w:u w:val="none"/>
              </w:rPr>
            </w:pPr>
          </w:p>
        </w:tc>
        <w:tc>
          <w:tcPr>
            <w:tcW w:w="944" w:type="dxa"/>
            <w:shd w:val="clear" w:color="auto" w:fill="auto"/>
            <w:vAlign w:val="center"/>
          </w:tcPr>
          <w:p>
            <w:pPr>
              <w:rPr>
                <w:rFonts w:hint="eastAsia" w:ascii="宋体" w:hAnsi="宋体" w:eastAsia="宋体" w:cs="宋体"/>
                <w:i w:val="0"/>
                <w:color w:val="000000"/>
                <w:sz w:val="24"/>
                <w:szCs w:val="24"/>
                <w:u w:val="none"/>
              </w:rPr>
            </w:pPr>
          </w:p>
        </w:tc>
        <w:tc>
          <w:tcPr>
            <w:tcW w:w="763" w:type="dxa"/>
            <w:shd w:val="clear" w:color="auto" w:fill="auto"/>
            <w:vAlign w:val="center"/>
          </w:tcPr>
          <w:p>
            <w:pPr>
              <w:rPr>
                <w:rFonts w:hint="eastAsia" w:ascii="宋体" w:hAnsi="宋体" w:eastAsia="宋体" w:cs="宋体"/>
                <w:i w:val="0"/>
                <w:color w:val="000000"/>
                <w:sz w:val="24"/>
                <w:szCs w:val="24"/>
                <w:u w:val="none"/>
              </w:rPr>
            </w:pPr>
          </w:p>
        </w:tc>
        <w:tc>
          <w:tcPr>
            <w:tcW w:w="399" w:type="dxa"/>
            <w:shd w:val="clear" w:color="auto" w:fill="auto"/>
            <w:vAlign w:val="center"/>
          </w:tcPr>
          <w:p>
            <w:pPr>
              <w:rPr>
                <w:rFonts w:hint="eastAsia" w:ascii="宋体" w:hAnsi="宋体" w:eastAsia="宋体" w:cs="宋体"/>
                <w:i w:val="0"/>
                <w:color w:val="000000"/>
                <w:sz w:val="24"/>
                <w:szCs w:val="24"/>
                <w:u w:val="none"/>
              </w:rPr>
            </w:pPr>
          </w:p>
        </w:tc>
        <w:tc>
          <w:tcPr>
            <w:tcW w:w="1763"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阳江市特殊教育学校部门预算项目支出及其他支出预算表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6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单位名称：阳江市特殊教育学校</w:t>
            </w:r>
          </w:p>
        </w:tc>
        <w:tc>
          <w:tcPr>
            <w:tcW w:w="784" w:type="dxa"/>
            <w:shd w:val="clear" w:color="auto" w:fill="auto"/>
            <w:vAlign w:val="center"/>
          </w:tcPr>
          <w:p>
            <w:pPr>
              <w:rPr>
                <w:rFonts w:hint="eastAsia" w:ascii="宋体" w:hAnsi="宋体" w:eastAsia="宋体" w:cs="宋体"/>
                <w:i w:val="0"/>
                <w:color w:val="000000"/>
                <w:sz w:val="24"/>
                <w:szCs w:val="24"/>
                <w:u w:val="none"/>
              </w:rPr>
            </w:pPr>
          </w:p>
        </w:tc>
        <w:tc>
          <w:tcPr>
            <w:tcW w:w="843" w:type="dxa"/>
            <w:shd w:val="clear" w:color="auto" w:fill="auto"/>
            <w:vAlign w:val="center"/>
          </w:tcPr>
          <w:p>
            <w:pPr>
              <w:rPr>
                <w:rFonts w:hint="eastAsia" w:ascii="宋体" w:hAnsi="宋体" w:eastAsia="宋体" w:cs="宋体"/>
                <w:i w:val="0"/>
                <w:color w:val="000000"/>
                <w:sz w:val="24"/>
                <w:szCs w:val="24"/>
                <w:u w:val="none"/>
              </w:rPr>
            </w:pPr>
          </w:p>
        </w:tc>
        <w:tc>
          <w:tcPr>
            <w:tcW w:w="677" w:type="dxa"/>
            <w:shd w:val="clear" w:color="auto" w:fill="auto"/>
            <w:vAlign w:val="center"/>
          </w:tcPr>
          <w:p>
            <w:pPr>
              <w:rPr>
                <w:rFonts w:hint="eastAsia" w:ascii="宋体" w:hAnsi="宋体" w:eastAsia="宋体" w:cs="宋体"/>
                <w:i w:val="0"/>
                <w:color w:val="000000"/>
                <w:sz w:val="24"/>
                <w:szCs w:val="24"/>
                <w:u w:val="none"/>
              </w:rPr>
            </w:pPr>
          </w:p>
        </w:tc>
        <w:tc>
          <w:tcPr>
            <w:tcW w:w="399" w:type="dxa"/>
            <w:shd w:val="clear" w:color="auto" w:fill="auto"/>
            <w:vAlign w:val="center"/>
          </w:tcPr>
          <w:p>
            <w:pPr>
              <w:rPr>
                <w:rFonts w:hint="eastAsia" w:ascii="宋体" w:hAnsi="宋体" w:eastAsia="宋体" w:cs="宋体"/>
                <w:i w:val="0"/>
                <w:color w:val="000000"/>
                <w:sz w:val="24"/>
                <w:szCs w:val="24"/>
                <w:u w:val="none"/>
              </w:rPr>
            </w:pPr>
          </w:p>
        </w:tc>
        <w:tc>
          <w:tcPr>
            <w:tcW w:w="944" w:type="dxa"/>
            <w:shd w:val="clear" w:color="auto" w:fill="auto"/>
            <w:vAlign w:val="center"/>
          </w:tcPr>
          <w:p>
            <w:pPr>
              <w:rPr>
                <w:rFonts w:hint="eastAsia" w:ascii="宋体" w:hAnsi="宋体" w:eastAsia="宋体" w:cs="宋体"/>
                <w:i w:val="0"/>
                <w:color w:val="000000"/>
                <w:sz w:val="24"/>
                <w:szCs w:val="24"/>
                <w:u w:val="none"/>
              </w:rPr>
            </w:pPr>
          </w:p>
        </w:tc>
        <w:tc>
          <w:tcPr>
            <w:tcW w:w="763" w:type="dxa"/>
            <w:shd w:val="clear" w:color="auto" w:fill="auto"/>
            <w:vAlign w:val="center"/>
          </w:tcPr>
          <w:p>
            <w:pPr>
              <w:rPr>
                <w:rFonts w:hint="eastAsia" w:ascii="宋体" w:hAnsi="宋体" w:eastAsia="宋体" w:cs="宋体"/>
                <w:i w:val="0"/>
                <w:color w:val="000000"/>
                <w:sz w:val="24"/>
                <w:szCs w:val="24"/>
                <w:u w:val="none"/>
              </w:rPr>
            </w:pPr>
          </w:p>
        </w:tc>
        <w:tc>
          <w:tcPr>
            <w:tcW w:w="399" w:type="dxa"/>
            <w:shd w:val="clear" w:color="auto" w:fill="auto"/>
            <w:vAlign w:val="center"/>
          </w:tcPr>
          <w:p>
            <w:pPr>
              <w:rPr>
                <w:rFonts w:hint="eastAsia" w:ascii="宋体" w:hAnsi="宋体" w:eastAsia="宋体" w:cs="宋体"/>
                <w:i w:val="0"/>
                <w:color w:val="000000"/>
                <w:sz w:val="24"/>
                <w:szCs w:val="24"/>
                <w:u w:val="none"/>
              </w:rPr>
            </w:pPr>
          </w:p>
        </w:tc>
        <w:tc>
          <w:tcPr>
            <w:tcW w:w="1763"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支出项目类别（资金使用单位）</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2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财政专户拨款</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国有资本经营预算</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jc w:val="both"/>
      </w:pPr>
    </w:p>
    <w:p>
      <w:pPr>
        <w:jc w:val="both"/>
      </w:pPr>
    </w:p>
    <w:p>
      <w:pPr>
        <w:jc w:val="both"/>
      </w:pPr>
    </w:p>
    <w:p>
      <w:pPr>
        <w:jc w:val="both"/>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2016年部门预算情况说明</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2017年本部门收入预算505万元，比上年增加52万元，增长11.48%，主要原因是人员增加及增加购房补贴；支出预算505万元，比上年增加52万元，增长11.48%，主要原因是人员增加及增加购房补贴。</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2017年本部门“三公”经费预算安排3万元，比上年减少1万元，下降25%，主要原因是公务用车维护费减少。其中：无因公出国（境）费；无公务用车购置及运行费；公务接待费2万元，与上年持平。</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本部门为事业单位，无机关运行经费。</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2017年本部门政府采购安排34万元，其中：货物类采购预算34万元，工程类采购预算0万元，服务类采购预算0万元等。</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楷体_GB2312" w:hAnsi="楷体_GB2312" w:eastAsia="楷体_GB2312" w:cs="楷体_GB2312"/>
          <w:b w:val="0"/>
          <w:bCs w:val="0"/>
          <w:sz w:val="32"/>
          <w:szCs w:val="32"/>
          <w:highlight w:val="lightGray"/>
          <w:lang w:val="en-US" w:eastAsia="zh-CN"/>
        </w:rPr>
      </w:pPr>
      <w:r>
        <w:rPr>
          <w:rFonts w:hint="eastAsia" w:ascii="仿宋_GB2312" w:hAnsi="仿宋_GB2312" w:eastAsia="仿宋_GB2312" w:cs="仿宋_GB2312"/>
          <w:sz w:val="32"/>
          <w:szCs w:val="32"/>
          <w:lang w:val="en-US" w:eastAsia="zh-CN"/>
        </w:rPr>
        <w:t>截至2016年12月31日，本部门占有使用国辆情况为：1辆，其为一般公务用车，2017年无购置或报废计划。</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ilvl w:val="0"/>
          <w:numId w:val="0"/>
        </w:numPr>
        <w:ind w:firstLine="640"/>
        <w:jc w:val="both"/>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2017年预算无项目支出，无相关的绩效评价。</w:t>
      </w: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keepNext w:val="0"/>
        <w:keepLines w:val="0"/>
        <w:widowControl/>
        <w:suppressLineNumbers w:val="0"/>
        <w:spacing w:before="0" w:beforeAutospacing="1" w:after="0" w:afterAutospacing="1" w:line="375"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highlight w:val="lightGray"/>
          <w:lang w:val="en-US" w:eastAsia="zh-CN"/>
        </w:rPr>
        <w:t>（</w:t>
      </w:r>
      <w:r>
        <w:rPr>
          <w:rFonts w:hint="eastAsia" w:ascii="仿宋" w:hAnsi="仿宋" w:eastAsia="仿宋" w:cs="仿宋"/>
          <w:b w:val="0"/>
          <w:color w:val="333333"/>
          <w:kern w:val="0"/>
          <w:sz w:val="32"/>
          <w:szCs w:val="32"/>
          <w:lang w:val="en-US" w:eastAsia="zh-CN" w:bidi="ar"/>
        </w:rPr>
        <w:t>（一）财政拨款收入：指单位本年度从本级财政部门取得的财政拨款。</w:t>
      </w:r>
    </w:p>
    <w:p>
      <w:pPr>
        <w:keepNext w:val="0"/>
        <w:keepLines w:val="0"/>
        <w:widowControl/>
        <w:suppressLineNumbers w:val="0"/>
        <w:spacing w:before="0" w:beforeAutospacing="1" w:after="0" w:afterAutospacing="1" w:line="375"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kern w:val="0"/>
          <w:sz w:val="32"/>
          <w:szCs w:val="32"/>
          <w:lang w:val="en-US" w:eastAsia="zh-CN" w:bidi="ar"/>
        </w:rPr>
        <w:t>（二）财政专户管理资金拨款：指单位本年度从本级财政部门取得的财政专户管理的教育收费等资金的收入。</w:t>
      </w:r>
    </w:p>
    <w:p>
      <w:pPr>
        <w:keepNext w:val="0"/>
        <w:keepLines w:val="0"/>
        <w:widowControl/>
        <w:suppressLineNumbers w:val="0"/>
        <w:spacing w:before="0" w:beforeAutospacing="1" w:after="0" w:afterAutospacing="1" w:line="375"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kern w:val="0"/>
          <w:sz w:val="32"/>
          <w:szCs w:val="32"/>
          <w:lang w:val="en-US" w:eastAsia="zh-CN" w:bidi="ar"/>
        </w:rPr>
        <w:t>（三）事业收入：指事业单位开展专业业务活动及辅助活动所取得的收入。</w:t>
      </w:r>
    </w:p>
    <w:p>
      <w:pPr>
        <w:keepNext w:val="0"/>
        <w:keepLines w:val="0"/>
        <w:widowControl/>
        <w:suppressLineNumbers w:val="0"/>
        <w:spacing w:before="0" w:beforeAutospacing="1" w:after="0" w:afterAutospacing="1" w:line="375"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kern w:val="0"/>
          <w:sz w:val="32"/>
          <w:szCs w:val="32"/>
          <w:lang w:val="en-US" w:eastAsia="zh-CN" w:bidi="ar"/>
        </w:rPr>
        <w:t> (四)</w:t>
      </w:r>
      <w:r>
        <w:rPr>
          <w:rFonts w:hint="eastAsia" w:ascii="仿宋" w:hAnsi="仿宋" w:eastAsia="仿宋" w:cs="仿宋"/>
          <w:b w:val="0"/>
          <w:color w:val="000000"/>
          <w:kern w:val="0"/>
          <w:sz w:val="32"/>
          <w:szCs w:val="32"/>
          <w:lang w:val="en-US" w:eastAsia="zh-CN" w:bidi="ar"/>
        </w:rPr>
        <w:t> </w:t>
      </w:r>
      <w:r>
        <w:rPr>
          <w:rFonts w:hint="eastAsia" w:ascii="仿宋" w:hAnsi="仿宋" w:eastAsia="仿宋" w:cs="仿宋"/>
          <w:b w:val="0"/>
          <w:color w:val="333333"/>
          <w:kern w:val="0"/>
          <w:sz w:val="32"/>
          <w:szCs w:val="32"/>
          <w:lang w:val="en-US" w:eastAsia="zh-CN" w:bidi="ar"/>
        </w:rPr>
        <w:t>事业单位经营收入：指事业单位在专业业务活动及其辅助活动之外开展非独立核算经营活动取得的收入。</w:t>
      </w:r>
    </w:p>
    <w:p>
      <w:pPr>
        <w:keepNext w:val="0"/>
        <w:keepLines w:val="0"/>
        <w:widowControl/>
        <w:suppressLineNumbers w:val="0"/>
        <w:spacing w:before="0" w:beforeAutospacing="1" w:after="0" w:afterAutospacing="1" w:line="375"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kern w:val="0"/>
          <w:sz w:val="32"/>
          <w:szCs w:val="32"/>
          <w:lang w:val="en-US" w:eastAsia="zh-CN" w:bidi="ar"/>
        </w:rPr>
        <w:t>（五）上级补助收入：指事业单位从主管部门和上级单位取得的非财政补助收入。</w:t>
      </w:r>
    </w:p>
    <w:p>
      <w:pPr>
        <w:keepNext w:val="0"/>
        <w:keepLines w:val="0"/>
        <w:widowControl/>
        <w:suppressLineNumbers w:val="0"/>
        <w:spacing w:before="0" w:beforeAutospacing="1" w:after="0" w:afterAutospacing="1" w:line="375"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kern w:val="0"/>
          <w:sz w:val="32"/>
          <w:szCs w:val="32"/>
          <w:lang w:val="en-US" w:eastAsia="zh-CN" w:bidi="ar"/>
        </w:rPr>
        <w:t>（六）附属单位上缴收入：指事业单位附属独立核算单位按照有关规定上缴的收入。</w:t>
      </w:r>
    </w:p>
    <w:p>
      <w:pPr>
        <w:keepNext w:val="0"/>
        <w:keepLines w:val="0"/>
        <w:widowControl/>
        <w:suppressLineNumbers w:val="0"/>
        <w:spacing w:before="0" w:beforeAutospacing="1" w:after="0" w:afterAutospacing="1" w:line="375"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kern w:val="0"/>
          <w:sz w:val="32"/>
          <w:szCs w:val="32"/>
          <w:lang w:val="en-US" w:eastAsia="zh-CN" w:bidi="ar"/>
        </w:rPr>
        <w:t>（七）其他收入：指除上述“财政拨款收入”、“事业收入”、“事业单位经营收入”、“上级补助收入”等以外的收入。</w:t>
      </w:r>
    </w:p>
    <w:p>
      <w:pPr>
        <w:keepNext w:val="0"/>
        <w:keepLines w:val="0"/>
        <w:widowControl/>
        <w:suppressLineNumbers w:val="0"/>
        <w:spacing w:before="0" w:beforeAutospacing="1" w:after="0" w:afterAutospacing="1" w:line="375"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kern w:val="0"/>
          <w:sz w:val="32"/>
          <w:szCs w:val="32"/>
          <w:lang w:val="en-US" w:eastAsia="zh-CN" w:bidi="ar"/>
        </w:rPr>
        <w:t>（八）用事业基金弥补收支差额：指事业单位在预计用当年的“财政拨款收入”、“事业收入”、“事业单位经营收入”、“其他收入”等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spacing w:before="0" w:beforeAutospacing="1" w:after="0" w:afterAutospacing="1" w:line="375"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kern w:val="0"/>
          <w:sz w:val="32"/>
          <w:szCs w:val="32"/>
          <w:lang w:val="en-US" w:eastAsia="zh-CN" w:bidi="ar"/>
        </w:rPr>
        <w:t>（九）上年结转：指以前年度尚未完成、结转到本年仍按原规定用途继续使用的资金。</w:t>
      </w:r>
    </w:p>
    <w:p>
      <w:pPr>
        <w:ind w:firstLine="640" w:firstLineChars="200"/>
        <w:jc w:val="left"/>
        <w:rPr>
          <w:rFonts w:hint="eastAsia" w:ascii="仿宋_GB2312" w:hAnsi="仿宋_GB2312" w:eastAsia="仿宋_GB2312" w:cs="仿宋_GB2312"/>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2BFF"/>
    <w:multiLevelType w:val="singleLevel"/>
    <w:tmpl w:val="5A5F2BFF"/>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00538"/>
    <w:rsid w:val="13016A31"/>
    <w:rsid w:val="1E6E2DB3"/>
    <w:rsid w:val="20EE6A13"/>
    <w:rsid w:val="36E602DD"/>
    <w:rsid w:val="50CB6A87"/>
    <w:rsid w:val="544C58E1"/>
    <w:rsid w:val="54F03C30"/>
    <w:rsid w:val="56510DE3"/>
    <w:rsid w:val="56C42A72"/>
    <w:rsid w:val="60E37A9B"/>
    <w:rsid w:val="66D06120"/>
    <w:rsid w:val="6D9B07DA"/>
    <w:rsid w:val="72190CD8"/>
    <w:rsid w:val="72F52D29"/>
    <w:rsid w:val="7A3D118F"/>
    <w:rsid w:val="7A4B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4"/>
    <w:qFormat/>
    <w:uiPriority w:val="0"/>
    <w:rPr>
      <w:rFonts w:hint="eastAsia" w:ascii="宋体" w:hAnsi="宋体" w:eastAsia="宋体" w:cs="宋体"/>
      <w:color w:val="000000"/>
      <w:sz w:val="24"/>
      <w:szCs w:val="24"/>
      <w:u w:val="none"/>
    </w:rPr>
  </w:style>
  <w:style w:type="character" w:customStyle="1" w:styleId="7">
    <w:name w:val="hilite6"/>
    <w:basedOn w:val="4"/>
    <w:qFormat/>
    <w:uiPriority w:val="0"/>
    <w:rPr>
      <w:color w:val="FFFFFF"/>
      <w:shd w:val="clear" w:fill="666677"/>
    </w:rPr>
  </w:style>
  <w:style w:type="character" w:customStyle="1" w:styleId="8">
    <w:name w:val="active6"/>
    <w:basedOn w:val="4"/>
    <w:qFormat/>
    <w:uiPriority w:val="0"/>
    <w:rPr>
      <w:color w:val="00FF00"/>
      <w:shd w:val="clear" w:fil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/:+新月儿</cp:lastModifiedBy>
  <cp:lastPrinted>2018-02-09T07:39:00Z</cp:lastPrinted>
  <dcterms:modified xsi:type="dcterms:W3CDTF">2018-03-29T08:19:15Z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