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4D" w:rsidRDefault="00EC57C9" w:rsidP="00BD0E6A">
      <w:pPr>
        <w:widowControl/>
        <w:wordWrap w:val="0"/>
        <w:snapToGrid w:val="0"/>
        <w:spacing w:beforeLines="50" w:afterLines="50" w:line="360" w:lineRule="auto"/>
        <w:jc w:val="center"/>
        <w:rPr>
          <w:rFonts w:ascii="宋体" w:eastAsia="宋体" w:hAnsi="宋体" w:cs="宋体"/>
          <w:color w:val="000000"/>
          <w:kern w:val="0"/>
          <w:sz w:val="32"/>
          <w:szCs w:val="32"/>
        </w:rPr>
      </w:pPr>
      <w:r>
        <w:rPr>
          <w:rFonts w:ascii="Times New Roman" w:eastAsia="宋体" w:hAnsi="Times New Roman" w:cs="宋体" w:hint="eastAsia"/>
          <w:b/>
          <w:color w:val="000000"/>
          <w:kern w:val="0"/>
          <w:sz w:val="32"/>
          <w:szCs w:val="32"/>
        </w:rPr>
        <w:t>粤电阳江沙扒海上风</w:t>
      </w:r>
      <w:proofErr w:type="gramStart"/>
      <w:r>
        <w:rPr>
          <w:rFonts w:ascii="Times New Roman" w:eastAsia="宋体" w:hAnsi="Times New Roman" w:cs="宋体" w:hint="eastAsia"/>
          <w:b/>
          <w:color w:val="000000"/>
          <w:kern w:val="0"/>
          <w:sz w:val="32"/>
          <w:szCs w:val="32"/>
        </w:rPr>
        <w:t>电项目</w:t>
      </w:r>
      <w:proofErr w:type="gramEnd"/>
      <w:r>
        <w:rPr>
          <w:rFonts w:ascii="Times New Roman" w:eastAsia="宋体" w:hAnsi="Times New Roman" w:cs="宋体" w:hint="eastAsia"/>
          <w:b/>
          <w:color w:val="000000"/>
          <w:kern w:val="0"/>
          <w:sz w:val="32"/>
          <w:szCs w:val="32"/>
        </w:rPr>
        <w:t>社会稳定风险评估信息</w:t>
      </w:r>
      <w:r>
        <w:rPr>
          <w:rFonts w:ascii="Times New Roman" w:eastAsia="宋体" w:hAnsi="Times New Roman" w:cs="宋体"/>
          <w:b/>
          <w:color w:val="000000"/>
          <w:kern w:val="0"/>
          <w:sz w:val="32"/>
          <w:szCs w:val="32"/>
        </w:rPr>
        <w:t>公示</w:t>
      </w:r>
    </w:p>
    <w:p w:rsidR="00635E4D" w:rsidRDefault="00EC57C9">
      <w:pPr>
        <w:widowControl/>
        <w:wordWrap w:val="0"/>
        <w:snapToGrid w:val="0"/>
        <w:jc w:val="left"/>
        <w:rPr>
          <w:rFonts w:ascii="宋体" w:eastAsia="宋体" w:hAnsi="宋体" w:cs="宋体"/>
          <w:color w:val="000000"/>
          <w:kern w:val="0"/>
          <w:sz w:val="28"/>
          <w:szCs w:val="28"/>
        </w:rPr>
      </w:pPr>
      <w:r>
        <w:rPr>
          <w:rFonts w:ascii="Times New Roman" w:eastAsia="宋体" w:hAnsi="Times New Roman" w:cs="宋体" w:hint="eastAsia"/>
          <w:color w:val="000000"/>
          <w:kern w:val="0"/>
          <w:sz w:val="28"/>
          <w:szCs w:val="28"/>
        </w:rPr>
        <w:t>尊敬的各位公众：</w:t>
      </w:r>
    </w:p>
    <w:p w:rsidR="00635E4D" w:rsidRDefault="00EC57C9">
      <w:pPr>
        <w:widowControl/>
        <w:wordWrap w:val="0"/>
        <w:snapToGrid w:val="0"/>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根据《国家发展改革委关于印发国家发展改革委重大固定资产投资项目社会稳定风险评估暂行办法的通知》（</w:t>
      </w:r>
      <w:proofErr w:type="gramStart"/>
      <w:r>
        <w:rPr>
          <w:rFonts w:ascii="Times New Roman" w:eastAsia="宋体" w:hAnsi="Times New Roman" w:cs="宋体" w:hint="eastAsia"/>
          <w:color w:val="000000"/>
          <w:kern w:val="0"/>
          <w:sz w:val="28"/>
          <w:szCs w:val="28"/>
        </w:rPr>
        <w:t>发改投资</w:t>
      </w:r>
      <w:proofErr w:type="gramEnd"/>
      <w:r>
        <w:rPr>
          <w:rFonts w:ascii="Times New Roman" w:eastAsia="宋体" w:hAnsi="Times New Roman" w:cs="宋体" w:hint="eastAsia"/>
          <w:color w:val="000000"/>
          <w:kern w:val="0"/>
          <w:sz w:val="28"/>
          <w:szCs w:val="28"/>
        </w:rPr>
        <w:t>[2012]2492</w:t>
      </w:r>
      <w:r>
        <w:rPr>
          <w:rFonts w:ascii="Times New Roman" w:eastAsia="宋体" w:hAnsi="Times New Roman" w:cs="宋体" w:hint="eastAsia"/>
          <w:color w:val="000000"/>
          <w:kern w:val="0"/>
          <w:sz w:val="28"/>
          <w:szCs w:val="28"/>
        </w:rPr>
        <w:t>号）及《广东省发展改革委重大项目社会稳定风险评估暂行办法》（粤</w:t>
      </w:r>
      <w:proofErr w:type="gramStart"/>
      <w:r>
        <w:rPr>
          <w:rFonts w:ascii="Times New Roman" w:eastAsia="宋体" w:hAnsi="Times New Roman" w:cs="宋体" w:hint="eastAsia"/>
          <w:color w:val="000000"/>
          <w:kern w:val="0"/>
          <w:sz w:val="28"/>
          <w:szCs w:val="28"/>
        </w:rPr>
        <w:t>发改重点</w:t>
      </w:r>
      <w:proofErr w:type="gramEnd"/>
      <w:r>
        <w:rPr>
          <w:rFonts w:ascii="Times New Roman" w:eastAsia="宋体" w:hAnsi="Times New Roman" w:cs="宋体" w:hint="eastAsia"/>
          <w:color w:val="000000"/>
          <w:kern w:val="0"/>
          <w:sz w:val="28"/>
          <w:szCs w:val="28"/>
        </w:rPr>
        <w:t>[2012]1095</w:t>
      </w:r>
      <w:r>
        <w:rPr>
          <w:rFonts w:ascii="Times New Roman" w:eastAsia="宋体" w:hAnsi="Times New Roman" w:cs="宋体" w:hint="eastAsia"/>
          <w:color w:val="000000"/>
          <w:kern w:val="0"/>
          <w:sz w:val="28"/>
          <w:szCs w:val="28"/>
        </w:rPr>
        <w:t>号）等文件的要求，现将广东粤电阳江沙扒海上风</w:t>
      </w:r>
      <w:proofErr w:type="gramStart"/>
      <w:r>
        <w:rPr>
          <w:rFonts w:ascii="Times New Roman" w:eastAsia="宋体" w:hAnsi="Times New Roman" w:cs="宋体" w:hint="eastAsia"/>
          <w:color w:val="000000"/>
          <w:kern w:val="0"/>
          <w:sz w:val="28"/>
          <w:szCs w:val="28"/>
        </w:rPr>
        <w:t>电项目</w:t>
      </w:r>
      <w:proofErr w:type="gramEnd"/>
      <w:r>
        <w:rPr>
          <w:rFonts w:ascii="Times New Roman" w:eastAsia="宋体" w:hAnsi="Times New Roman" w:cs="宋体" w:hint="eastAsia"/>
          <w:color w:val="000000"/>
          <w:kern w:val="0"/>
          <w:sz w:val="28"/>
          <w:szCs w:val="28"/>
        </w:rPr>
        <w:t>社会稳定风险评估公示，征询公众对该建设项目的意见。</w:t>
      </w:r>
    </w:p>
    <w:p w:rsidR="00635E4D" w:rsidRDefault="00EC57C9" w:rsidP="00BD0E6A">
      <w:pPr>
        <w:widowControl/>
        <w:wordWrap w:val="0"/>
        <w:snapToGrid w:val="0"/>
        <w:spacing w:beforeLines="50" w:line="360" w:lineRule="auto"/>
        <w:jc w:val="left"/>
        <w:outlineLvl w:val="0"/>
        <w:rPr>
          <w:rFonts w:ascii="宋体" w:eastAsia="宋体" w:hAnsi="宋体" w:cs="宋体"/>
          <w:color w:val="000000"/>
          <w:kern w:val="0"/>
          <w:sz w:val="28"/>
          <w:szCs w:val="28"/>
        </w:rPr>
      </w:pPr>
      <w:r>
        <w:rPr>
          <w:rFonts w:ascii="Times New Roman" w:eastAsia="宋体" w:hAnsi="Times New Roman" w:cs="宋体" w:hint="eastAsia"/>
          <w:b/>
          <w:color w:val="000000"/>
          <w:kern w:val="0"/>
          <w:sz w:val="28"/>
          <w:szCs w:val="28"/>
        </w:rPr>
        <w:t>一、项目基本情况</w:t>
      </w:r>
    </w:p>
    <w:p w:rsidR="00635E4D" w:rsidRDefault="00EC57C9">
      <w:pPr>
        <w:widowControl/>
        <w:wordWrap w:val="0"/>
        <w:snapToGrid w:val="0"/>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广东粤电</w:t>
      </w:r>
      <w:r>
        <w:rPr>
          <w:rFonts w:ascii="Times New Roman" w:eastAsia="宋体" w:hAnsi="Times New Roman" w:cs="宋体"/>
          <w:color w:val="000000"/>
          <w:kern w:val="0"/>
          <w:sz w:val="28"/>
          <w:szCs w:val="28"/>
        </w:rPr>
        <w:t>阳江沙扒海上风电场</w:t>
      </w:r>
      <w:r>
        <w:rPr>
          <w:rFonts w:ascii="Times New Roman" w:eastAsia="宋体" w:hAnsi="Times New Roman" w:cs="宋体" w:hint="eastAsia"/>
          <w:color w:val="000000"/>
          <w:kern w:val="0"/>
          <w:sz w:val="28"/>
          <w:szCs w:val="28"/>
        </w:rPr>
        <w:t>拟定</w:t>
      </w:r>
      <w:r>
        <w:rPr>
          <w:rFonts w:ascii="Times New Roman" w:eastAsia="宋体" w:hAnsi="Times New Roman" w:cs="宋体"/>
          <w:color w:val="000000"/>
          <w:kern w:val="0"/>
          <w:sz w:val="28"/>
          <w:szCs w:val="28"/>
        </w:rPr>
        <w:t>位置于</w:t>
      </w:r>
      <w:r>
        <w:rPr>
          <w:rFonts w:ascii="Times New Roman" w:eastAsia="宋体" w:hAnsi="Times New Roman" w:cs="宋体" w:hint="eastAsia"/>
          <w:color w:val="000000"/>
          <w:kern w:val="0"/>
          <w:sz w:val="28"/>
          <w:szCs w:val="28"/>
        </w:rPr>
        <w:t>阳江市阳西县沙扒镇南侧海域，属于</w:t>
      </w:r>
      <w:r>
        <w:rPr>
          <w:rFonts w:ascii="Times New Roman" w:eastAsia="宋体" w:hAnsi="Times New Roman" w:cs="宋体"/>
          <w:color w:val="000000"/>
          <w:kern w:val="0"/>
          <w:sz w:val="28"/>
          <w:szCs w:val="28"/>
        </w:rPr>
        <w:t>广东</w:t>
      </w:r>
      <w:r>
        <w:rPr>
          <w:rFonts w:ascii="Times New Roman" w:eastAsia="宋体" w:hAnsi="Times New Roman" w:cs="宋体" w:hint="eastAsia"/>
          <w:color w:val="000000"/>
          <w:kern w:val="0"/>
          <w:sz w:val="28"/>
          <w:szCs w:val="28"/>
        </w:rPr>
        <w:t>近海渔业</w:t>
      </w:r>
      <w:r>
        <w:rPr>
          <w:rFonts w:ascii="Times New Roman" w:eastAsia="宋体" w:hAnsi="Times New Roman" w:cs="宋体"/>
          <w:color w:val="000000"/>
          <w:kern w:val="0"/>
          <w:sz w:val="28"/>
          <w:szCs w:val="28"/>
        </w:rPr>
        <w:t>区</w:t>
      </w:r>
      <w:r>
        <w:rPr>
          <w:rFonts w:ascii="Times New Roman" w:eastAsia="宋体" w:hAnsi="Times New Roman" w:cs="宋体" w:hint="eastAsia"/>
          <w:color w:val="000000"/>
          <w:kern w:val="0"/>
          <w:sz w:val="28"/>
          <w:szCs w:val="28"/>
        </w:rPr>
        <w:t>，</w:t>
      </w:r>
      <w:r>
        <w:rPr>
          <w:rFonts w:ascii="Times New Roman" w:eastAsia="宋体" w:hAnsi="Times New Roman" w:cs="宋体"/>
          <w:color w:val="000000"/>
          <w:kern w:val="0"/>
          <w:sz w:val="28"/>
          <w:szCs w:val="28"/>
        </w:rPr>
        <w:t>距离海岸最近距离约</w:t>
      </w:r>
      <w:r>
        <w:rPr>
          <w:rFonts w:ascii="Times New Roman" w:eastAsia="宋体" w:hAnsi="Times New Roman" w:cs="宋体" w:hint="eastAsia"/>
          <w:color w:val="000000"/>
          <w:kern w:val="0"/>
          <w:sz w:val="28"/>
          <w:szCs w:val="28"/>
        </w:rPr>
        <w:t>17</w:t>
      </w:r>
      <w:r>
        <w:rPr>
          <w:rFonts w:ascii="Times New Roman" w:eastAsia="宋体" w:hAnsi="Times New Roman" w:cs="宋体" w:hint="eastAsia"/>
          <w:color w:val="000000"/>
          <w:kern w:val="0"/>
          <w:sz w:val="28"/>
          <w:szCs w:val="28"/>
        </w:rPr>
        <w:t>公里。项目建设总装机</w:t>
      </w:r>
      <w:r>
        <w:rPr>
          <w:rFonts w:ascii="Times New Roman" w:eastAsia="宋体" w:hAnsi="Times New Roman" w:cs="宋体"/>
          <w:color w:val="000000"/>
          <w:kern w:val="0"/>
          <w:sz w:val="28"/>
          <w:szCs w:val="28"/>
        </w:rPr>
        <w:t>容量为</w:t>
      </w:r>
      <w:r>
        <w:rPr>
          <w:rFonts w:ascii="Times New Roman" w:eastAsia="宋体" w:hAnsi="Times New Roman" w:cs="宋体" w:hint="eastAsia"/>
          <w:color w:val="000000"/>
          <w:kern w:val="0"/>
          <w:sz w:val="28"/>
          <w:szCs w:val="28"/>
        </w:rPr>
        <w:t>900</w:t>
      </w:r>
      <w:r>
        <w:rPr>
          <w:rFonts w:ascii="Times New Roman" w:eastAsia="宋体" w:hAnsi="Times New Roman" w:cs="宋体"/>
          <w:color w:val="000000"/>
          <w:kern w:val="0"/>
          <w:sz w:val="28"/>
          <w:szCs w:val="28"/>
        </w:rPr>
        <w:t>MW</w:t>
      </w:r>
      <w:r>
        <w:rPr>
          <w:rFonts w:ascii="Times New Roman" w:eastAsia="宋体" w:hAnsi="Times New Roman" w:cs="宋体"/>
          <w:color w:val="000000"/>
          <w:kern w:val="0"/>
          <w:sz w:val="28"/>
          <w:szCs w:val="28"/>
        </w:rPr>
        <w:t>，本期建设规模</w:t>
      </w:r>
      <w:r>
        <w:rPr>
          <w:rFonts w:ascii="Times New Roman" w:eastAsia="宋体" w:hAnsi="Times New Roman" w:cs="宋体"/>
          <w:color w:val="000000"/>
          <w:kern w:val="0"/>
          <w:sz w:val="28"/>
          <w:szCs w:val="28"/>
        </w:rPr>
        <w:t>260MW</w:t>
      </w:r>
      <w:r>
        <w:rPr>
          <w:rFonts w:ascii="Times New Roman" w:eastAsia="宋体" w:hAnsi="Times New Roman" w:cs="宋体" w:hint="eastAsia"/>
          <w:color w:val="000000"/>
          <w:kern w:val="0"/>
          <w:sz w:val="28"/>
          <w:szCs w:val="28"/>
        </w:rPr>
        <w:t>，拟安装</w:t>
      </w:r>
      <w:r>
        <w:rPr>
          <w:rFonts w:ascii="Times New Roman" w:eastAsia="宋体" w:hAnsi="Times New Roman" w:cs="宋体"/>
          <w:color w:val="000000"/>
          <w:kern w:val="0"/>
          <w:sz w:val="28"/>
          <w:szCs w:val="28"/>
        </w:rPr>
        <w:t xml:space="preserve">65 </w:t>
      </w:r>
      <w:r>
        <w:rPr>
          <w:rFonts w:ascii="Times New Roman" w:eastAsia="宋体" w:hAnsi="Times New Roman" w:cs="宋体" w:hint="eastAsia"/>
          <w:color w:val="000000"/>
          <w:kern w:val="0"/>
          <w:sz w:val="28"/>
          <w:szCs w:val="28"/>
        </w:rPr>
        <w:t>台</w:t>
      </w:r>
      <w:r>
        <w:rPr>
          <w:rFonts w:ascii="Times New Roman" w:eastAsia="宋体" w:hAnsi="Times New Roman" w:cs="宋体"/>
          <w:color w:val="000000"/>
          <w:kern w:val="0"/>
          <w:sz w:val="28"/>
          <w:szCs w:val="28"/>
        </w:rPr>
        <w:t xml:space="preserve">4MW </w:t>
      </w:r>
      <w:r>
        <w:rPr>
          <w:rFonts w:ascii="Times New Roman" w:eastAsia="宋体" w:hAnsi="Times New Roman" w:cs="宋体" w:hint="eastAsia"/>
          <w:color w:val="000000"/>
          <w:kern w:val="0"/>
          <w:sz w:val="28"/>
          <w:szCs w:val="28"/>
        </w:rPr>
        <w:t>风力发电机组</w:t>
      </w:r>
      <w:r>
        <w:rPr>
          <w:rFonts w:ascii="Times New Roman" w:eastAsia="宋体" w:hAnsi="Times New Roman" w:cs="宋体"/>
          <w:color w:val="000000"/>
          <w:kern w:val="0"/>
          <w:sz w:val="28"/>
          <w:szCs w:val="28"/>
        </w:rPr>
        <w:t>。</w:t>
      </w:r>
      <w:r>
        <w:rPr>
          <w:rFonts w:ascii="Times New Roman" w:eastAsia="宋体" w:hAnsi="Times New Roman" w:cs="宋体" w:hint="eastAsia"/>
          <w:color w:val="000000"/>
          <w:kern w:val="0"/>
          <w:sz w:val="28"/>
          <w:szCs w:val="28"/>
        </w:rPr>
        <w:t>同时本项目还配套建设一座</w:t>
      </w:r>
      <w:r>
        <w:rPr>
          <w:rFonts w:ascii="Times New Roman" w:eastAsia="宋体" w:hAnsi="Times New Roman" w:cs="宋体" w:hint="eastAsia"/>
          <w:color w:val="000000"/>
          <w:kern w:val="0"/>
          <w:sz w:val="28"/>
          <w:szCs w:val="28"/>
        </w:rPr>
        <w:t>1000</w:t>
      </w:r>
      <w:r>
        <w:rPr>
          <w:rFonts w:ascii="Times New Roman" w:eastAsia="宋体" w:hAnsi="Times New Roman" w:cs="宋体" w:hint="eastAsia"/>
          <w:color w:val="000000"/>
          <w:kern w:val="0"/>
          <w:sz w:val="28"/>
          <w:szCs w:val="28"/>
        </w:rPr>
        <w:t>吨级的运维码头。</w:t>
      </w:r>
    </w:p>
    <w:p w:rsidR="00635E4D" w:rsidRDefault="00EC57C9" w:rsidP="00BD0E6A">
      <w:pPr>
        <w:widowControl/>
        <w:wordWrap w:val="0"/>
        <w:snapToGrid w:val="0"/>
        <w:spacing w:beforeLines="50" w:line="360" w:lineRule="auto"/>
        <w:jc w:val="left"/>
        <w:outlineLvl w:val="0"/>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t>二、项目可能存在的社会稳定风险及</w:t>
      </w:r>
      <w:r>
        <w:rPr>
          <w:rFonts w:ascii="Times New Roman" w:eastAsia="宋体" w:hAnsi="Times New Roman" w:cs="宋体"/>
          <w:b/>
          <w:color w:val="000000"/>
          <w:kern w:val="0"/>
          <w:sz w:val="28"/>
          <w:szCs w:val="28"/>
        </w:rPr>
        <w:t>防范化解措施</w:t>
      </w:r>
    </w:p>
    <w:p w:rsidR="00635E4D" w:rsidRDefault="00EC57C9">
      <w:pPr>
        <w:widowControl/>
        <w:wordWrap w:val="0"/>
        <w:snapToGrid w:val="0"/>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针对</w:t>
      </w:r>
      <w:r>
        <w:rPr>
          <w:rFonts w:ascii="Times New Roman" w:eastAsia="宋体" w:hAnsi="Times New Roman" w:cs="宋体"/>
          <w:color w:val="000000"/>
          <w:kern w:val="0"/>
          <w:sz w:val="28"/>
          <w:szCs w:val="28"/>
        </w:rPr>
        <w:t>本项目</w:t>
      </w:r>
      <w:r>
        <w:rPr>
          <w:rFonts w:ascii="Times New Roman" w:eastAsia="宋体" w:hAnsi="Times New Roman" w:cs="宋体" w:hint="eastAsia"/>
          <w:color w:val="000000"/>
          <w:kern w:val="0"/>
          <w:sz w:val="28"/>
          <w:szCs w:val="28"/>
        </w:rPr>
        <w:t>建设</w:t>
      </w:r>
      <w:r>
        <w:rPr>
          <w:rFonts w:ascii="Times New Roman" w:eastAsia="宋体" w:hAnsi="Times New Roman" w:cs="宋体"/>
          <w:color w:val="000000"/>
          <w:kern w:val="0"/>
          <w:sz w:val="28"/>
          <w:szCs w:val="28"/>
        </w:rPr>
        <w:t>的实际情况，结合其它类似项目的主要风险因素，</w:t>
      </w:r>
      <w:r>
        <w:rPr>
          <w:rFonts w:ascii="Times New Roman" w:eastAsia="宋体" w:hAnsi="Times New Roman" w:cs="宋体" w:hint="eastAsia"/>
          <w:color w:val="000000"/>
          <w:kern w:val="0"/>
          <w:sz w:val="28"/>
          <w:szCs w:val="28"/>
        </w:rPr>
        <w:t>社会</w:t>
      </w:r>
      <w:r>
        <w:rPr>
          <w:rFonts w:ascii="Times New Roman" w:eastAsia="宋体" w:hAnsi="Times New Roman" w:cs="宋体"/>
          <w:color w:val="000000"/>
          <w:kern w:val="0"/>
          <w:sz w:val="28"/>
          <w:szCs w:val="28"/>
        </w:rPr>
        <w:t>稳定风险</w:t>
      </w:r>
      <w:r>
        <w:rPr>
          <w:rFonts w:ascii="Times New Roman" w:eastAsia="宋体" w:hAnsi="Times New Roman" w:cs="宋体" w:hint="eastAsia"/>
          <w:color w:val="000000"/>
          <w:kern w:val="0"/>
          <w:sz w:val="28"/>
          <w:szCs w:val="28"/>
        </w:rPr>
        <w:t>评估</w:t>
      </w:r>
      <w:r>
        <w:rPr>
          <w:rFonts w:ascii="Times New Roman" w:eastAsia="宋体" w:hAnsi="Times New Roman" w:cs="宋体"/>
          <w:color w:val="000000"/>
          <w:kern w:val="0"/>
          <w:sz w:val="28"/>
          <w:szCs w:val="28"/>
        </w:rPr>
        <w:t>单位提出</w:t>
      </w:r>
      <w:r>
        <w:rPr>
          <w:rFonts w:ascii="Times New Roman" w:eastAsia="宋体" w:hAnsi="Times New Roman" w:cs="宋体" w:hint="eastAsia"/>
          <w:color w:val="000000"/>
          <w:kern w:val="0"/>
          <w:sz w:val="28"/>
          <w:szCs w:val="28"/>
        </w:rPr>
        <w:t>本</w:t>
      </w:r>
      <w:r>
        <w:rPr>
          <w:rFonts w:ascii="Times New Roman" w:eastAsia="宋体" w:hAnsi="Times New Roman" w:cs="宋体"/>
          <w:color w:val="000000"/>
          <w:kern w:val="0"/>
          <w:sz w:val="28"/>
          <w:szCs w:val="28"/>
        </w:rPr>
        <w:t>项目的主要风险因素点，并提出</w:t>
      </w:r>
      <w:r>
        <w:rPr>
          <w:rFonts w:ascii="Times New Roman" w:eastAsia="宋体" w:hAnsi="Times New Roman" w:cs="宋体" w:hint="eastAsia"/>
          <w:color w:val="000000"/>
          <w:kern w:val="0"/>
          <w:sz w:val="28"/>
          <w:szCs w:val="28"/>
        </w:rPr>
        <w:t>主要</w:t>
      </w:r>
      <w:r>
        <w:rPr>
          <w:rFonts w:ascii="Times New Roman" w:eastAsia="宋体" w:hAnsi="Times New Roman" w:cs="宋体"/>
          <w:color w:val="000000"/>
          <w:kern w:val="0"/>
          <w:sz w:val="28"/>
          <w:szCs w:val="28"/>
        </w:rPr>
        <w:t>防范和化解措施，</w:t>
      </w:r>
      <w:r>
        <w:rPr>
          <w:rFonts w:ascii="Times New Roman" w:eastAsia="宋体" w:hAnsi="Times New Roman" w:cs="宋体" w:hint="eastAsia"/>
          <w:color w:val="000000"/>
          <w:kern w:val="0"/>
          <w:sz w:val="28"/>
          <w:szCs w:val="28"/>
        </w:rPr>
        <w:t>以供</w:t>
      </w:r>
      <w:r>
        <w:rPr>
          <w:rFonts w:ascii="Times New Roman" w:eastAsia="宋体" w:hAnsi="Times New Roman" w:cs="宋体"/>
          <w:color w:val="000000"/>
          <w:kern w:val="0"/>
          <w:sz w:val="28"/>
          <w:szCs w:val="28"/>
        </w:rPr>
        <w:t>公众</w:t>
      </w:r>
      <w:r>
        <w:rPr>
          <w:rFonts w:ascii="Times New Roman" w:eastAsia="宋体" w:hAnsi="Times New Roman" w:cs="宋体" w:hint="eastAsia"/>
          <w:color w:val="000000"/>
          <w:kern w:val="0"/>
          <w:sz w:val="28"/>
          <w:szCs w:val="28"/>
        </w:rPr>
        <w:t>参阅</w:t>
      </w:r>
      <w:r>
        <w:rPr>
          <w:rFonts w:ascii="Times New Roman" w:eastAsia="宋体" w:hAnsi="Times New Roman" w:cs="宋体"/>
          <w:color w:val="000000"/>
          <w:kern w:val="0"/>
          <w:sz w:val="28"/>
          <w:szCs w:val="28"/>
        </w:rPr>
        <w:t>。</w:t>
      </w:r>
    </w:p>
    <w:p w:rsidR="00635E4D" w:rsidRDefault="00635E4D">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749"/>
        <w:gridCol w:w="6354"/>
      </w:tblGrid>
      <w:tr w:rsidR="00635E4D">
        <w:trPr>
          <w:trHeight w:val="48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b/>
                <w:bCs/>
                <w:color w:val="000000"/>
                <w:kern w:val="0"/>
                <w:sz w:val="24"/>
                <w:szCs w:val="24"/>
              </w:rPr>
            </w:pPr>
            <w:r>
              <w:rPr>
                <w:rFonts w:asciiTheme="minorEastAsia" w:hAnsiTheme="minorEastAsia" w:cs="仿宋_GB2312"/>
                <w:b/>
                <w:bCs/>
                <w:color w:val="000000"/>
                <w:kern w:val="0"/>
                <w:sz w:val="24"/>
                <w:szCs w:val="24"/>
              </w:rPr>
              <w:t>序号</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b/>
                <w:bCs/>
                <w:color w:val="000000"/>
                <w:kern w:val="0"/>
                <w:sz w:val="24"/>
                <w:szCs w:val="24"/>
              </w:rPr>
            </w:pPr>
            <w:r>
              <w:rPr>
                <w:rFonts w:asciiTheme="minorEastAsia" w:hAnsiTheme="minorEastAsia" w:cs="仿宋_GB2312"/>
                <w:b/>
                <w:bCs/>
                <w:color w:val="000000"/>
                <w:kern w:val="0"/>
                <w:sz w:val="24"/>
                <w:szCs w:val="24"/>
              </w:rPr>
              <w:t>风险因素</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b/>
                <w:bCs/>
                <w:color w:val="000000"/>
                <w:kern w:val="0"/>
                <w:sz w:val="24"/>
                <w:szCs w:val="24"/>
              </w:rPr>
            </w:pPr>
            <w:r>
              <w:rPr>
                <w:rFonts w:asciiTheme="minorEastAsia" w:hAnsiTheme="minorEastAsia" w:cs="仿宋_GB2312"/>
                <w:b/>
                <w:bCs/>
                <w:color w:val="000000"/>
                <w:kern w:val="0"/>
                <w:sz w:val="24"/>
                <w:szCs w:val="24"/>
              </w:rPr>
              <w:t>主要防范、化解措施</w:t>
            </w:r>
          </w:p>
        </w:tc>
      </w:tr>
      <w:tr w:rsidR="00635E4D">
        <w:trPr>
          <w:trHeight w:val="70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1</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立项、审批程序</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项目建设</w:t>
            </w:r>
            <w:r>
              <w:rPr>
                <w:rFonts w:asciiTheme="minorEastAsia" w:hAnsiTheme="minorEastAsia" w:cs="仿宋_GB2312" w:hint="eastAsia"/>
                <w:color w:val="000000"/>
                <w:kern w:val="0"/>
                <w:sz w:val="24"/>
                <w:szCs w:val="24"/>
              </w:rPr>
              <w:t>获得</w:t>
            </w:r>
            <w:proofErr w:type="gramStart"/>
            <w:r>
              <w:rPr>
                <w:rFonts w:asciiTheme="minorEastAsia" w:hAnsiTheme="minorEastAsia" w:cs="仿宋_GB2312"/>
                <w:color w:val="000000"/>
                <w:kern w:val="0"/>
                <w:sz w:val="24"/>
                <w:szCs w:val="24"/>
              </w:rPr>
              <w:t>广东省发改委</w:t>
            </w:r>
            <w:proofErr w:type="gramEnd"/>
            <w:r>
              <w:rPr>
                <w:rFonts w:asciiTheme="minorEastAsia" w:hAnsiTheme="minorEastAsia" w:cs="仿宋_GB2312" w:hint="eastAsia"/>
                <w:color w:val="000000"/>
                <w:kern w:val="0"/>
                <w:sz w:val="24"/>
                <w:szCs w:val="24"/>
              </w:rPr>
              <w:t>核准</w:t>
            </w:r>
            <w:r>
              <w:rPr>
                <w:rFonts w:asciiTheme="minorEastAsia" w:hAnsiTheme="minorEastAsia" w:cs="仿宋_GB2312"/>
                <w:color w:val="000000"/>
                <w:kern w:val="0"/>
                <w:sz w:val="24"/>
                <w:szCs w:val="24"/>
              </w:rPr>
              <w:t>，</w:t>
            </w:r>
            <w:r>
              <w:rPr>
                <w:rFonts w:asciiTheme="minorEastAsia" w:hAnsiTheme="minorEastAsia" w:cs="仿宋_GB2312" w:hint="eastAsia"/>
                <w:color w:val="000000"/>
                <w:kern w:val="0"/>
                <w:sz w:val="24"/>
                <w:szCs w:val="24"/>
              </w:rPr>
              <w:t>与国家风电</w:t>
            </w:r>
            <w:r>
              <w:rPr>
                <w:rFonts w:asciiTheme="minorEastAsia" w:hAnsiTheme="minorEastAsia" w:cs="仿宋_GB2312"/>
                <w:color w:val="000000"/>
                <w:kern w:val="0"/>
                <w:sz w:val="24"/>
                <w:szCs w:val="24"/>
              </w:rPr>
              <w:t>发展规划、海洋功能区划</w:t>
            </w:r>
            <w:proofErr w:type="gramStart"/>
            <w:r>
              <w:rPr>
                <w:rFonts w:asciiTheme="minorEastAsia" w:hAnsiTheme="minorEastAsia" w:cs="仿宋_GB2312"/>
                <w:color w:val="000000"/>
                <w:kern w:val="0"/>
                <w:sz w:val="24"/>
                <w:szCs w:val="24"/>
              </w:rPr>
              <w:t>分规划</w:t>
            </w:r>
            <w:proofErr w:type="gramEnd"/>
            <w:r>
              <w:rPr>
                <w:rFonts w:asciiTheme="minorEastAsia" w:hAnsiTheme="minorEastAsia" w:cs="仿宋_GB2312" w:hint="eastAsia"/>
                <w:color w:val="000000"/>
                <w:kern w:val="0"/>
                <w:sz w:val="24"/>
                <w:szCs w:val="24"/>
              </w:rPr>
              <w:t>等</w:t>
            </w:r>
            <w:r>
              <w:rPr>
                <w:rFonts w:asciiTheme="minorEastAsia" w:hAnsiTheme="minorEastAsia" w:cs="仿宋_GB2312"/>
                <w:color w:val="000000"/>
                <w:kern w:val="0"/>
                <w:sz w:val="24"/>
                <w:szCs w:val="24"/>
              </w:rPr>
              <w:t>相符</w:t>
            </w:r>
            <w:r>
              <w:rPr>
                <w:rFonts w:asciiTheme="minorEastAsia" w:hAnsiTheme="minorEastAsia" w:cs="仿宋_GB2312" w:hint="eastAsia"/>
                <w:color w:val="000000"/>
                <w:kern w:val="0"/>
                <w:sz w:val="24"/>
                <w:szCs w:val="24"/>
              </w:rPr>
              <w:t>，且项目建设单位</w:t>
            </w:r>
            <w:r>
              <w:rPr>
                <w:rFonts w:asciiTheme="minorEastAsia" w:hAnsiTheme="minorEastAsia" w:cs="仿宋_GB2312"/>
                <w:color w:val="000000"/>
                <w:kern w:val="0"/>
                <w:sz w:val="24"/>
                <w:szCs w:val="24"/>
              </w:rPr>
              <w:t>坚持严格的审查审批和报批程序</w:t>
            </w:r>
            <w:r>
              <w:rPr>
                <w:rFonts w:asciiTheme="minorEastAsia" w:hAnsiTheme="minorEastAsia" w:cs="仿宋_GB2312" w:hint="eastAsia"/>
                <w:color w:val="000000"/>
                <w:kern w:val="0"/>
                <w:sz w:val="24"/>
                <w:szCs w:val="24"/>
              </w:rPr>
              <w:t>，可项目立项、审批程序合法、合</w:t>
            </w:r>
            <w:proofErr w:type="gramStart"/>
            <w:r>
              <w:rPr>
                <w:rFonts w:asciiTheme="minorEastAsia" w:hAnsiTheme="minorEastAsia" w:cs="仿宋_GB2312" w:hint="eastAsia"/>
                <w:color w:val="000000"/>
                <w:kern w:val="0"/>
                <w:sz w:val="24"/>
                <w:szCs w:val="24"/>
              </w:rPr>
              <w:t>规</w:t>
            </w:r>
            <w:proofErr w:type="gramEnd"/>
            <w:r>
              <w:rPr>
                <w:rFonts w:asciiTheme="minorEastAsia" w:hAnsiTheme="minorEastAsia" w:cs="仿宋_GB2312" w:hint="eastAsia"/>
                <w:color w:val="000000"/>
                <w:kern w:val="0"/>
                <w:sz w:val="24"/>
                <w:szCs w:val="24"/>
              </w:rPr>
              <w:t>。</w:t>
            </w:r>
          </w:p>
        </w:tc>
      </w:tr>
      <w:tr w:rsidR="00635E4D">
        <w:trPr>
          <w:trHeight w:val="979"/>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2</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项目</w:t>
            </w:r>
            <w:r>
              <w:rPr>
                <w:rFonts w:asciiTheme="minorEastAsia" w:hAnsiTheme="minorEastAsia" w:cs="仿宋_GB2312"/>
                <w:color w:val="000000"/>
                <w:kern w:val="0"/>
                <w:sz w:val="24"/>
                <w:szCs w:val="24"/>
              </w:rPr>
              <w:t>方案风险</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项目建设</w:t>
            </w:r>
            <w:r>
              <w:rPr>
                <w:rFonts w:asciiTheme="minorEastAsia" w:hAnsiTheme="minorEastAsia" w:cs="仿宋_GB2312"/>
                <w:color w:val="000000"/>
                <w:kern w:val="0"/>
                <w:sz w:val="24"/>
                <w:szCs w:val="24"/>
              </w:rPr>
              <w:t>用地</w:t>
            </w:r>
            <w:r>
              <w:rPr>
                <w:rFonts w:asciiTheme="minorEastAsia" w:hAnsiTheme="minorEastAsia" w:cs="仿宋_GB2312" w:hint="eastAsia"/>
                <w:color w:val="000000"/>
                <w:kern w:val="0"/>
                <w:sz w:val="24"/>
                <w:szCs w:val="24"/>
              </w:rPr>
              <w:t>属于</w:t>
            </w:r>
            <w:r>
              <w:rPr>
                <w:rFonts w:asciiTheme="minorEastAsia" w:hAnsiTheme="minorEastAsia" w:cs="仿宋_GB2312"/>
                <w:color w:val="000000"/>
                <w:kern w:val="0"/>
                <w:sz w:val="24"/>
                <w:szCs w:val="24"/>
              </w:rPr>
              <w:t>广东</w:t>
            </w:r>
            <w:r>
              <w:rPr>
                <w:rFonts w:asciiTheme="minorEastAsia" w:hAnsiTheme="minorEastAsia" w:cs="仿宋_GB2312" w:hint="eastAsia"/>
                <w:color w:val="000000"/>
                <w:kern w:val="0"/>
                <w:sz w:val="24"/>
                <w:szCs w:val="24"/>
              </w:rPr>
              <w:t>近海</w:t>
            </w:r>
            <w:r>
              <w:rPr>
                <w:rFonts w:asciiTheme="minorEastAsia" w:hAnsiTheme="minorEastAsia" w:cs="仿宋_GB2312"/>
                <w:color w:val="000000"/>
                <w:kern w:val="0"/>
                <w:sz w:val="24"/>
                <w:szCs w:val="24"/>
              </w:rPr>
              <w:t>渔业区，</w:t>
            </w:r>
            <w:r>
              <w:rPr>
                <w:rFonts w:asciiTheme="minorEastAsia" w:hAnsiTheme="minorEastAsia" w:cs="仿宋_GB2312" w:hint="eastAsia"/>
                <w:color w:val="000000"/>
                <w:kern w:val="0"/>
                <w:sz w:val="24"/>
                <w:szCs w:val="24"/>
              </w:rPr>
              <w:t>项目在建设前期需征收一定的渔民养殖区和海岸沿线陆地面积，同时</w:t>
            </w:r>
            <w:proofErr w:type="gramStart"/>
            <w:r>
              <w:rPr>
                <w:rFonts w:asciiTheme="minorEastAsia" w:hAnsiTheme="minorEastAsia" w:cs="仿宋_GB2312" w:hint="eastAsia"/>
                <w:color w:val="000000"/>
                <w:kern w:val="0"/>
                <w:sz w:val="24"/>
                <w:szCs w:val="24"/>
              </w:rPr>
              <w:t>海上还</w:t>
            </w:r>
            <w:proofErr w:type="gramEnd"/>
            <w:r>
              <w:rPr>
                <w:rFonts w:asciiTheme="minorEastAsia" w:hAnsiTheme="minorEastAsia" w:cs="仿宋_GB2312" w:hint="eastAsia"/>
                <w:color w:val="000000"/>
                <w:kern w:val="0"/>
                <w:sz w:val="24"/>
                <w:szCs w:val="24"/>
              </w:rPr>
              <w:t>可能存有固定的航道、海底管线，项目建设也可能会对此有所影响。</w:t>
            </w:r>
          </w:p>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为此项目路径选择要</w:t>
            </w:r>
            <w:r>
              <w:rPr>
                <w:rFonts w:asciiTheme="minorEastAsia" w:hAnsiTheme="minorEastAsia" w:cs="仿宋_GB2312"/>
                <w:color w:val="000000"/>
                <w:kern w:val="0"/>
                <w:sz w:val="24"/>
                <w:szCs w:val="24"/>
              </w:rPr>
              <w:t>尽量少</w:t>
            </w:r>
            <w:r>
              <w:rPr>
                <w:rFonts w:asciiTheme="minorEastAsia" w:hAnsiTheme="minorEastAsia" w:cs="仿宋_GB2312" w:hint="eastAsia"/>
                <w:color w:val="000000"/>
                <w:kern w:val="0"/>
                <w:sz w:val="24"/>
                <w:szCs w:val="24"/>
              </w:rPr>
              <w:t>占</w:t>
            </w:r>
            <w:r>
              <w:rPr>
                <w:rFonts w:asciiTheme="minorEastAsia" w:hAnsiTheme="minorEastAsia" w:cs="仿宋_GB2312"/>
                <w:color w:val="000000"/>
                <w:kern w:val="0"/>
                <w:sz w:val="24"/>
                <w:szCs w:val="24"/>
              </w:rPr>
              <w:t>用</w:t>
            </w:r>
            <w:r>
              <w:rPr>
                <w:rFonts w:asciiTheme="minorEastAsia" w:hAnsiTheme="minorEastAsia" w:cs="仿宋_GB2312" w:hint="eastAsia"/>
                <w:color w:val="000000"/>
                <w:kern w:val="0"/>
                <w:sz w:val="24"/>
                <w:szCs w:val="24"/>
              </w:rPr>
              <w:t>养殖</w:t>
            </w:r>
            <w:r>
              <w:rPr>
                <w:rFonts w:asciiTheme="minorEastAsia" w:hAnsiTheme="minorEastAsia" w:cs="仿宋_GB2312"/>
                <w:color w:val="000000"/>
                <w:kern w:val="0"/>
                <w:sz w:val="24"/>
                <w:szCs w:val="24"/>
              </w:rPr>
              <w:t>区面积</w:t>
            </w:r>
            <w:r>
              <w:rPr>
                <w:rFonts w:asciiTheme="minorEastAsia" w:hAnsiTheme="minorEastAsia" w:cs="仿宋_GB2312" w:hint="eastAsia"/>
                <w:color w:val="000000"/>
                <w:kern w:val="0"/>
                <w:sz w:val="24"/>
                <w:szCs w:val="24"/>
              </w:rPr>
              <w:t>和陆上面基，降低对周边公众生活的影响。同时调查已有的和未来规划建设的航道、海底管线，保证线路路径避让</w:t>
            </w:r>
            <w:r>
              <w:rPr>
                <w:rFonts w:asciiTheme="minorEastAsia" w:hAnsiTheme="minorEastAsia" w:cs="仿宋_GB2312"/>
                <w:color w:val="000000"/>
                <w:kern w:val="0"/>
                <w:sz w:val="24"/>
                <w:szCs w:val="24"/>
              </w:rPr>
              <w:t>航道、海底管线等区域</w:t>
            </w:r>
            <w:r>
              <w:rPr>
                <w:rFonts w:asciiTheme="minorEastAsia" w:hAnsiTheme="minorEastAsia" w:cs="仿宋_GB2312" w:hint="eastAsia"/>
                <w:color w:val="000000"/>
                <w:kern w:val="0"/>
                <w:sz w:val="24"/>
                <w:szCs w:val="24"/>
              </w:rPr>
              <w:t>，保证不会对其影响</w:t>
            </w:r>
            <w:r>
              <w:rPr>
                <w:rFonts w:asciiTheme="minorEastAsia" w:hAnsiTheme="minorEastAsia" w:cs="仿宋_GB2312"/>
                <w:color w:val="000000"/>
                <w:kern w:val="0"/>
                <w:sz w:val="24"/>
                <w:szCs w:val="24"/>
              </w:rPr>
              <w:t>。</w:t>
            </w:r>
          </w:p>
        </w:tc>
      </w:tr>
      <w:tr w:rsidR="00635E4D">
        <w:trPr>
          <w:trHeight w:val="63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3</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公众</w:t>
            </w:r>
            <w:r>
              <w:rPr>
                <w:rFonts w:asciiTheme="minorEastAsia" w:hAnsiTheme="minorEastAsia" w:cs="仿宋_GB2312"/>
                <w:color w:val="000000"/>
                <w:kern w:val="0"/>
                <w:sz w:val="24"/>
                <w:szCs w:val="24"/>
              </w:rPr>
              <w:t>参与风险</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在项目稳定风险分析和评估过程中尽可能征询公众的意见和建议，进行问卷调查，对他们担忧的问题提出相应的预防和解决措施，减少他们的后顾之忧。在项目施工和运行期，也要多多听取公众对项目的意见，对项目进行合理调整，</w:t>
            </w:r>
            <w:r>
              <w:rPr>
                <w:rFonts w:hint="eastAsia"/>
              </w:rPr>
              <w:t>争取公众对项目的支持。</w:t>
            </w:r>
          </w:p>
        </w:tc>
      </w:tr>
      <w:tr w:rsidR="00635E4D">
        <w:trPr>
          <w:trHeight w:val="774"/>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lastRenderedPageBreak/>
              <w:t>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施工期风险</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针对施工期的污水影响风险，施工单位要制定</w:t>
            </w:r>
            <w:r>
              <w:rPr>
                <w:rFonts w:asciiTheme="minorEastAsia" w:hAnsiTheme="minorEastAsia" w:cs="仿宋_GB2312"/>
                <w:color w:val="000000"/>
                <w:kern w:val="0"/>
                <w:sz w:val="24"/>
                <w:szCs w:val="24"/>
              </w:rPr>
              <w:t>合理的施工方案，</w:t>
            </w:r>
            <w:r>
              <w:rPr>
                <w:rFonts w:asciiTheme="minorEastAsia" w:hAnsiTheme="minorEastAsia" w:cs="仿宋_GB2312" w:hint="eastAsia"/>
                <w:color w:val="000000"/>
                <w:kern w:val="0"/>
                <w:sz w:val="24"/>
                <w:szCs w:val="24"/>
              </w:rPr>
              <w:t>建设配套</w:t>
            </w:r>
            <w:r>
              <w:rPr>
                <w:rFonts w:asciiTheme="minorEastAsia" w:hAnsiTheme="minorEastAsia" w:cs="仿宋_GB2312"/>
                <w:color w:val="000000"/>
                <w:kern w:val="0"/>
                <w:sz w:val="24"/>
                <w:szCs w:val="24"/>
              </w:rPr>
              <w:t>建设</w:t>
            </w:r>
            <w:r>
              <w:rPr>
                <w:rFonts w:asciiTheme="minorEastAsia" w:hAnsiTheme="minorEastAsia" w:cs="仿宋_GB2312" w:hint="eastAsia"/>
                <w:color w:val="000000"/>
                <w:kern w:val="0"/>
                <w:sz w:val="24"/>
                <w:szCs w:val="24"/>
              </w:rPr>
              <w:t>污水、废水</w:t>
            </w:r>
            <w:r>
              <w:rPr>
                <w:rFonts w:asciiTheme="minorEastAsia" w:hAnsiTheme="minorEastAsia" w:cs="仿宋_GB2312"/>
                <w:color w:val="000000"/>
                <w:kern w:val="0"/>
                <w:sz w:val="24"/>
                <w:szCs w:val="24"/>
              </w:rPr>
              <w:t>处理设施，</w:t>
            </w:r>
            <w:r>
              <w:rPr>
                <w:rFonts w:asciiTheme="minorEastAsia" w:hAnsiTheme="minorEastAsia" w:cs="仿宋_GB2312" w:hint="eastAsia"/>
                <w:color w:val="000000"/>
                <w:kern w:val="0"/>
                <w:sz w:val="24"/>
                <w:szCs w:val="24"/>
              </w:rPr>
              <w:t>船上作业要将废水、污水集中收集，待到岸上后进行相应的处理，达到排放标准后方可排放。对于空气污染，要尽可能使用节能环保的施工机械，定期检查机械设备，减少因设备故障而造成的废气重排放问题。而对于固体废弃物，也是集中收集，能重复利用的尽量再次利用，不能处理的交由相关部门集中处理。即在施工期</w:t>
            </w:r>
            <w:proofErr w:type="gramStart"/>
            <w:r>
              <w:rPr>
                <w:rFonts w:asciiTheme="minorEastAsia" w:hAnsiTheme="minorEastAsia" w:cs="仿宋_GB2312" w:hint="eastAsia"/>
                <w:color w:val="000000"/>
                <w:kern w:val="0"/>
                <w:sz w:val="24"/>
                <w:szCs w:val="24"/>
              </w:rPr>
              <w:t>间严格</w:t>
            </w:r>
            <w:proofErr w:type="gramEnd"/>
            <w:r>
              <w:rPr>
                <w:rFonts w:asciiTheme="minorEastAsia" w:hAnsiTheme="minorEastAsia" w:cs="仿宋_GB2312" w:hint="eastAsia"/>
                <w:color w:val="000000"/>
                <w:kern w:val="0"/>
                <w:sz w:val="24"/>
                <w:szCs w:val="24"/>
              </w:rPr>
              <w:t>执行</w:t>
            </w:r>
            <w:r>
              <w:rPr>
                <w:rFonts w:asciiTheme="minorEastAsia" w:hAnsiTheme="minorEastAsia" w:cs="仿宋_GB2312"/>
                <w:color w:val="000000"/>
                <w:kern w:val="0"/>
                <w:sz w:val="24"/>
                <w:szCs w:val="24"/>
              </w:rPr>
              <w:t>环境保护措施</w:t>
            </w:r>
            <w:r>
              <w:rPr>
                <w:rFonts w:asciiTheme="minorEastAsia" w:hAnsiTheme="minorEastAsia" w:cs="仿宋_GB2312" w:hint="eastAsia"/>
                <w:color w:val="000000"/>
                <w:kern w:val="0"/>
                <w:sz w:val="24"/>
                <w:szCs w:val="24"/>
              </w:rPr>
              <w:t>，可有效保证施工期项目对环境影响较小。</w:t>
            </w:r>
          </w:p>
        </w:tc>
      </w:tr>
      <w:tr w:rsidR="00635E4D">
        <w:trPr>
          <w:trHeight w:val="559"/>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5</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运营</w:t>
            </w:r>
            <w:r>
              <w:rPr>
                <w:rFonts w:asciiTheme="minorEastAsia" w:hAnsiTheme="minorEastAsia" w:cs="仿宋_GB2312" w:hint="eastAsia"/>
                <w:color w:val="000000"/>
                <w:kern w:val="0"/>
                <w:sz w:val="24"/>
                <w:szCs w:val="24"/>
              </w:rPr>
              <w:t>期</w:t>
            </w:r>
            <w:r>
              <w:rPr>
                <w:rFonts w:asciiTheme="minorEastAsia" w:hAnsiTheme="minorEastAsia" w:cs="仿宋_GB2312"/>
                <w:color w:val="000000"/>
                <w:kern w:val="0"/>
                <w:sz w:val="24"/>
                <w:szCs w:val="24"/>
              </w:rPr>
              <w:t>风险</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风机振动</w:t>
            </w:r>
            <w:r>
              <w:rPr>
                <w:rFonts w:asciiTheme="minorEastAsia" w:hAnsiTheme="minorEastAsia" w:cs="仿宋_GB2312"/>
                <w:color w:val="000000"/>
                <w:kern w:val="0"/>
                <w:sz w:val="24"/>
                <w:szCs w:val="24"/>
              </w:rPr>
              <w:t>及</w:t>
            </w:r>
            <w:r>
              <w:rPr>
                <w:rFonts w:asciiTheme="minorEastAsia" w:hAnsiTheme="minorEastAsia" w:cs="仿宋_GB2312" w:hint="eastAsia"/>
                <w:color w:val="000000"/>
                <w:kern w:val="0"/>
                <w:sz w:val="24"/>
                <w:szCs w:val="24"/>
              </w:rPr>
              <w:t>风电</w:t>
            </w:r>
            <w:r>
              <w:rPr>
                <w:rFonts w:asciiTheme="minorEastAsia" w:hAnsiTheme="minorEastAsia" w:cs="仿宋_GB2312"/>
                <w:color w:val="000000"/>
                <w:kern w:val="0"/>
                <w:sz w:val="24"/>
                <w:szCs w:val="24"/>
              </w:rPr>
              <w:t>的电磁</w:t>
            </w:r>
            <w:r>
              <w:rPr>
                <w:rFonts w:asciiTheme="minorEastAsia" w:hAnsiTheme="minorEastAsia" w:cs="仿宋_GB2312" w:hint="eastAsia"/>
                <w:color w:val="000000"/>
                <w:kern w:val="0"/>
                <w:sz w:val="24"/>
                <w:szCs w:val="24"/>
              </w:rPr>
              <w:t>辐射</w:t>
            </w:r>
            <w:r>
              <w:rPr>
                <w:rFonts w:asciiTheme="minorEastAsia" w:hAnsiTheme="minorEastAsia" w:cs="仿宋_GB2312"/>
                <w:color w:val="000000"/>
                <w:kern w:val="0"/>
                <w:sz w:val="24"/>
                <w:szCs w:val="24"/>
              </w:rPr>
              <w:t>对</w:t>
            </w:r>
            <w:r>
              <w:rPr>
                <w:rFonts w:asciiTheme="minorEastAsia" w:hAnsiTheme="minorEastAsia" w:cs="仿宋_GB2312" w:hint="eastAsia"/>
                <w:color w:val="000000"/>
                <w:kern w:val="0"/>
                <w:sz w:val="24"/>
                <w:szCs w:val="24"/>
              </w:rPr>
              <w:t>海洋</w:t>
            </w:r>
            <w:r>
              <w:rPr>
                <w:rFonts w:asciiTheme="minorEastAsia" w:hAnsiTheme="minorEastAsia" w:cs="仿宋_GB2312"/>
                <w:color w:val="000000"/>
                <w:kern w:val="0"/>
                <w:sz w:val="24"/>
                <w:szCs w:val="24"/>
              </w:rPr>
              <w:t>生物</w:t>
            </w:r>
            <w:r>
              <w:rPr>
                <w:rFonts w:asciiTheme="minorEastAsia" w:hAnsiTheme="minorEastAsia" w:cs="仿宋_GB2312" w:hint="eastAsia"/>
                <w:color w:val="000000"/>
                <w:kern w:val="0"/>
                <w:sz w:val="24"/>
                <w:szCs w:val="24"/>
              </w:rPr>
              <w:t>及海鸟的</w:t>
            </w:r>
            <w:r>
              <w:rPr>
                <w:rFonts w:asciiTheme="minorEastAsia" w:hAnsiTheme="minorEastAsia" w:cs="仿宋_GB2312"/>
                <w:color w:val="000000"/>
                <w:kern w:val="0"/>
                <w:sz w:val="24"/>
                <w:szCs w:val="24"/>
              </w:rPr>
              <w:t>影响。</w:t>
            </w:r>
            <w:r>
              <w:rPr>
                <w:rFonts w:asciiTheme="minorEastAsia" w:hAnsiTheme="minorEastAsia" w:cs="仿宋_GB2312" w:hint="eastAsia"/>
                <w:color w:val="000000"/>
                <w:kern w:val="0"/>
                <w:sz w:val="24"/>
                <w:szCs w:val="24"/>
              </w:rPr>
              <w:t>在风机上装有驱鸟和驱除海洋生物装置，该装置将发出令海鸟飞离和海底生物逃离的声音，有效降低了海鸟撞机和海洋生物排卵的几率和影响。</w:t>
            </w:r>
          </w:p>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针对运维码头运营后可能出现的交通堵塞和运输噪声风险，要尽可能保证运输道路避开公众生活密集区，运输时间避开交通高峰期，运输车辆禁止鸣笛等。通过该项措施的执行，基本可以保证避免交通堵塞和过大的噪声影响。</w:t>
            </w:r>
          </w:p>
        </w:tc>
      </w:tr>
      <w:tr w:rsidR="00635E4D">
        <w:trPr>
          <w:trHeight w:val="59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6</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社会稳定风险管理体系</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hint="eastAsia"/>
                <w:color w:val="000000"/>
                <w:kern w:val="0"/>
                <w:sz w:val="24"/>
                <w:szCs w:val="24"/>
              </w:rPr>
              <w:t>针对可能存在的社会稳定风险，建设单位应</w:t>
            </w:r>
            <w:r>
              <w:rPr>
                <w:rFonts w:asciiTheme="minorEastAsia" w:hAnsiTheme="minorEastAsia" w:cs="仿宋_GB2312"/>
                <w:color w:val="000000"/>
                <w:kern w:val="0"/>
                <w:sz w:val="24"/>
                <w:szCs w:val="24"/>
              </w:rPr>
              <w:t>建立社会稳定风险管理责任制、联动机制及制定相应的应急处置预案。</w:t>
            </w:r>
          </w:p>
        </w:tc>
      </w:tr>
      <w:tr w:rsidR="00635E4D">
        <w:trPr>
          <w:trHeight w:val="960"/>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7</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jc w:val="center"/>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群众异议和诉求的影响</w:t>
            </w:r>
          </w:p>
        </w:tc>
        <w:tc>
          <w:tcPr>
            <w:tcW w:w="6354" w:type="dxa"/>
            <w:tcBorders>
              <w:top w:val="single" w:sz="4" w:space="0" w:color="auto"/>
              <w:left w:val="single" w:sz="4" w:space="0" w:color="auto"/>
              <w:bottom w:val="single" w:sz="4" w:space="0" w:color="auto"/>
              <w:right w:val="single" w:sz="4" w:space="0" w:color="auto"/>
            </w:tcBorders>
            <w:shd w:val="clear" w:color="auto" w:fill="auto"/>
            <w:vAlign w:val="center"/>
          </w:tcPr>
          <w:p w:rsidR="00635E4D" w:rsidRDefault="00EC57C9">
            <w:pPr>
              <w:widowControl/>
              <w:ind w:firstLineChars="200" w:firstLine="480"/>
              <w:jc w:val="left"/>
              <w:rPr>
                <w:rFonts w:asciiTheme="minorEastAsia" w:hAnsiTheme="minorEastAsia" w:cs="仿宋_GB2312"/>
                <w:color w:val="000000"/>
                <w:kern w:val="0"/>
                <w:sz w:val="24"/>
                <w:szCs w:val="24"/>
              </w:rPr>
            </w:pPr>
            <w:r>
              <w:rPr>
                <w:rFonts w:asciiTheme="minorEastAsia" w:hAnsiTheme="minorEastAsia" w:cs="仿宋_GB2312"/>
                <w:color w:val="000000"/>
                <w:kern w:val="0"/>
                <w:sz w:val="24"/>
                <w:szCs w:val="24"/>
              </w:rPr>
              <w:t>尊重群众知情权；在开工建设过程中加强与村民、政府的沟通协调，</w:t>
            </w:r>
            <w:r>
              <w:rPr>
                <w:rFonts w:asciiTheme="minorEastAsia" w:hAnsiTheme="minorEastAsia" w:cs="仿宋_GB2312" w:hint="eastAsia"/>
                <w:color w:val="000000"/>
                <w:kern w:val="0"/>
                <w:sz w:val="24"/>
                <w:szCs w:val="24"/>
              </w:rPr>
              <w:t>在施工前取得群众的支持，在施工及运行</w:t>
            </w:r>
            <w:proofErr w:type="gramStart"/>
            <w:r>
              <w:rPr>
                <w:rFonts w:asciiTheme="minorEastAsia" w:hAnsiTheme="minorEastAsia" w:cs="仿宋_GB2312" w:hint="eastAsia"/>
                <w:color w:val="000000"/>
                <w:kern w:val="0"/>
                <w:sz w:val="24"/>
                <w:szCs w:val="24"/>
              </w:rPr>
              <w:t>期合理</w:t>
            </w:r>
            <w:proofErr w:type="gramEnd"/>
            <w:r>
              <w:rPr>
                <w:rFonts w:asciiTheme="minorEastAsia" w:hAnsiTheme="minorEastAsia" w:cs="仿宋_GB2312" w:hint="eastAsia"/>
                <w:color w:val="000000"/>
                <w:kern w:val="0"/>
                <w:sz w:val="24"/>
                <w:szCs w:val="24"/>
              </w:rPr>
              <w:t>采取群众提出的意见，对部分不能采取的建议要给以合理解释</w:t>
            </w:r>
            <w:r>
              <w:rPr>
                <w:rFonts w:asciiTheme="minorEastAsia" w:hAnsiTheme="minorEastAsia" w:cs="仿宋_GB2312"/>
                <w:color w:val="000000"/>
                <w:kern w:val="0"/>
                <w:sz w:val="24"/>
                <w:szCs w:val="24"/>
              </w:rPr>
              <w:t>。</w:t>
            </w:r>
          </w:p>
        </w:tc>
      </w:tr>
    </w:tbl>
    <w:p w:rsidR="00635E4D" w:rsidRDefault="00EC57C9" w:rsidP="00BD0E6A">
      <w:pPr>
        <w:widowControl/>
        <w:wordWrap w:val="0"/>
        <w:snapToGrid w:val="0"/>
        <w:spacing w:beforeLines="50" w:line="360" w:lineRule="auto"/>
        <w:jc w:val="left"/>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t>三、项目</w:t>
      </w:r>
      <w:r>
        <w:rPr>
          <w:rFonts w:ascii="Times New Roman" w:eastAsia="宋体" w:hAnsi="Times New Roman" w:cs="宋体"/>
          <w:b/>
          <w:color w:val="000000"/>
          <w:kern w:val="0"/>
          <w:sz w:val="28"/>
          <w:szCs w:val="28"/>
        </w:rPr>
        <w:t>公示</w:t>
      </w:r>
      <w:r>
        <w:rPr>
          <w:rFonts w:ascii="Times New Roman" w:eastAsia="宋体" w:hAnsi="Times New Roman" w:cs="宋体" w:hint="eastAsia"/>
          <w:b/>
          <w:color w:val="000000"/>
          <w:kern w:val="0"/>
          <w:sz w:val="28"/>
          <w:szCs w:val="28"/>
        </w:rPr>
        <w:t>的时间</w:t>
      </w:r>
      <w:r>
        <w:rPr>
          <w:rFonts w:ascii="Times New Roman" w:eastAsia="宋体" w:hAnsi="Times New Roman" w:cs="宋体"/>
          <w:b/>
          <w:color w:val="000000"/>
          <w:kern w:val="0"/>
          <w:sz w:val="28"/>
          <w:szCs w:val="28"/>
        </w:rPr>
        <w:t>及</w:t>
      </w:r>
      <w:r>
        <w:rPr>
          <w:rFonts w:ascii="Times New Roman" w:eastAsia="宋体" w:hAnsi="Times New Roman" w:cs="宋体" w:hint="eastAsia"/>
          <w:b/>
          <w:color w:val="000000"/>
          <w:kern w:val="0"/>
          <w:sz w:val="28"/>
          <w:szCs w:val="28"/>
        </w:rPr>
        <w:t>反馈联系方式</w:t>
      </w:r>
    </w:p>
    <w:p w:rsidR="00635E4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公示时间：自本项目公示之日起</w:t>
      </w:r>
      <w:r>
        <w:rPr>
          <w:rFonts w:ascii="Times New Roman" w:eastAsia="宋体" w:hAnsi="Times New Roman" w:cs="宋体" w:hint="eastAsia"/>
          <w:color w:val="000000"/>
          <w:kern w:val="0"/>
          <w:sz w:val="28"/>
          <w:szCs w:val="28"/>
        </w:rPr>
        <w:t>7</w:t>
      </w:r>
      <w:r>
        <w:rPr>
          <w:rFonts w:ascii="Times New Roman" w:eastAsia="宋体" w:hAnsi="Times New Roman" w:cs="宋体" w:hint="eastAsia"/>
          <w:color w:val="000000"/>
          <w:kern w:val="0"/>
          <w:sz w:val="28"/>
          <w:szCs w:val="28"/>
        </w:rPr>
        <w:t>个工作日内，可</w:t>
      </w:r>
      <w:r>
        <w:rPr>
          <w:rFonts w:ascii="Times New Roman" w:eastAsia="宋体" w:hAnsi="Times New Roman" w:cs="宋体"/>
          <w:color w:val="000000"/>
          <w:kern w:val="0"/>
          <w:sz w:val="28"/>
          <w:szCs w:val="28"/>
        </w:rPr>
        <w:t>通过电话或邮箱的方式与</w:t>
      </w:r>
      <w:r>
        <w:rPr>
          <w:rFonts w:ascii="Times New Roman" w:eastAsia="宋体" w:hAnsi="Times New Roman" w:cs="宋体" w:hint="eastAsia"/>
          <w:color w:val="000000"/>
          <w:kern w:val="0"/>
          <w:sz w:val="28"/>
          <w:szCs w:val="28"/>
        </w:rPr>
        <w:t>建设</w:t>
      </w:r>
      <w:r>
        <w:rPr>
          <w:rFonts w:ascii="Times New Roman" w:eastAsia="宋体" w:hAnsi="Times New Roman" w:cs="宋体"/>
          <w:color w:val="000000"/>
          <w:kern w:val="0"/>
          <w:sz w:val="28"/>
          <w:szCs w:val="28"/>
        </w:rPr>
        <w:t>单位</w:t>
      </w:r>
      <w:r>
        <w:rPr>
          <w:rFonts w:ascii="Times New Roman" w:eastAsia="宋体" w:hAnsi="Times New Roman" w:cs="宋体" w:hint="eastAsia"/>
          <w:color w:val="000000"/>
          <w:kern w:val="0"/>
          <w:sz w:val="28"/>
          <w:szCs w:val="28"/>
        </w:rPr>
        <w:t>或者风险评估</w:t>
      </w:r>
      <w:r>
        <w:rPr>
          <w:rFonts w:ascii="Times New Roman" w:eastAsia="宋体" w:hAnsi="Times New Roman" w:cs="宋体"/>
          <w:color w:val="000000"/>
          <w:kern w:val="0"/>
          <w:sz w:val="28"/>
          <w:szCs w:val="28"/>
        </w:rPr>
        <w:t>单位</w:t>
      </w:r>
      <w:r>
        <w:rPr>
          <w:rFonts w:ascii="Times New Roman" w:eastAsia="宋体" w:hAnsi="Times New Roman" w:cs="宋体" w:hint="eastAsia"/>
          <w:color w:val="000000"/>
          <w:kern w:val="0"/>
          <w:sz w:val="28"/>
          <w:szCs w:val="28"/>
        </w:rPr>
        <w:t>取得</w:t>
      </w:r>
      <w:r>
        <w:rPr>
          <w:rFonts w:ascii="Times New Roman" w:eastAsia="宋体" w:hAnsi="Times New Roman" w:cs="宋体"/>
          <w:color w:val="000000"/>
          <w:kern w:val="0"/>
          <w:sz w:val="28"/>
          <w:szCs w:val="28"/>
        </w:rPr>
        <w:t>联系</w:t>
      </w:r>
      <w:r>
        <w:rPr>
          <w:rFonts w:ascii="Times New Roman" w:eastAsia="宋体" w:hAnsi="Times New Roman" w:cs="宋体" w:hint="eastAsia"/>
          <w:color w:val="000000"/>
          <w:kern w:val="0"/>
          <w:sz w:val="28"/>
          <w:szCs w:val="28"/>
        </w:rPr>
        <w:t>，提出意见或</w:t>
      </w:r>
      <w:r>
        <w:rPr>
          <w:rFonts w:ascii="Times New Roman" w:eastAsia="宋体" w:hAnsi="Times New Roman" w:cs="宋体"/>
          <w:color w:val="000000"/>
          <w:kern w:val="0"/>
          <w:sz w:val="28"/>
          <w:szCs w:val="28"/>
        </w:rPr>
        <w:t>建议。</w:t>
      </w:r>
    </w:p>
    <w:p w:rsidR="00635E4D" w:rsidRPr="00E258D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sidRPr="00E258DD">
        <w:rPr>
          <w:rFonts w:ascii="Times New Roman" w:eastAsia="宋体" w:hAnsi="Times New Roman" w:cs="宋体" w:hint="eastAsia"/>
          <w:color w:val="000000"/>
          <w:kern w:val="0"/>
          <w:sz w:val="28"/>
          <w:szCs w:val="28"/>
        </w:rPr>
        <w:t>建设单位名称：广东粤电阳江海上风电有限公司</w:t>
      </w:r>
    </w:p>
    <w:p w:rsidR="00635E4D" w:rsidRPr="00E258D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sidRPr="00E258DD">
        <w:rPr>
          <w:rFonts w:ascii="Times New Roman" w:eastAsia="宋体" w:hAnsi="Times New Roman" w:cs="宋体" w:hint="eastAsia"/>
          <w:color w:val="000000"/>
          <w:kern w:val="0"/>
          <w:sz w:val="28"/>
          <w:szCs w:val="28"/>
        </w:rPr>
        <w:t>地址：</w:t>
      </w:r>
      <w:bookmarkStart w:id="0" w:name="_GoBack"/>
      <w:bookmarkEnd w:id="0"/>
      <w:r w:rsidR="00E258DD" w:rsidRPr="00E258DD">
        <w:rPr>
          <w:rFonts w:ascii="Times New Roman" w:eastAsia="宋体" w:hAnsi="Times New Roman" w:cs="宋体" w:hint="eastAsia"/>
          <w:color w:val="000000"/>
          <w:kern w:val="0"/>
          <w:sz w:val="28"/>
          <w:szCs w:val="28"/>
        </w:rPr>
        <w:t>广东省阳江市江城区新江北路</w:t>
      </w:r>
      <w:r w:rsidR="00E258DD" w:rsidRPr="00E258DD">
        <w:rPr>
          <w:rFonts w:ascii="Times New Roman" w:eastAsia="宋体" w:hAnsi="Times New Roman" w:cs="宋体" w:hint="eastAsia"/>
          <w:color w:val="000000"/>
          <w:kern w:val="0"/>
          <w:sz w:val="28"/>
          <w:szCs w:val="28"/>
        </w:rPr>
        <w:t>12</w:t>
      </w:r>
      <w:r w:rsidR="00E258DD" w:rsidRPr="00E258DD">
        <w:rPr>
          <w:rFonts w:ascii="Times New Roman" w:eastAsia="宋体" w:hAnsi="Times New Roman" w:cs="宋体" w:hint="eastAsia"/>
          <w:color w:val="000000"/>
          <w:kern w:val="0"/>
          <w:sz w:val="28"/>
          <w:szCs w:val="28"/>
        </w:rPr>
        <w:t>号</w:t>
      </w:r>
      <w:proofErr w:type="gramStart"/>
      <w:r w:rsidR="00E258DD" w:rsidRPr="00E258DD">
        <w:rPr>
          <w:rFonts w:ascii="Times New Roman" w:eastAsia="宋体" w:hAnsi="Times New Roman" w:cs="宋体" w:hint="eastAsia"/>
          <w:color w:val="000000"/>
          <w:kern w:val="0"/>
          <w:sz w:val="28"/>
          <w:szCs w:val="28"/>
        </w:rPr>
        <w:t>财智大厦</w:t>
      </w:r>
      <w:proofErr w:type="gramEnd"/>
      <w:r w:rsidR="00E258DD" w:rsidRPr="00E258DD">
        <w:rPr>
          <w:rFonts w:ascii="Times New Roman" w:eastAsia="宋体" w:hAnsi="Times New Roman" w:cs="宋体" w:hint="eastAsia"/>
          <w:color w:val="000000"/>
          <w:kern w:val="0"/>
          <w:sz w:val="28"/>
          <w:szCs w:val="28"/>
        </w:rPr>
        <w:t>905</w:t>
      </w:r>
    </w:p>
    <w:p w:rsidR="00635E4D" w:rsidRPr="00E258D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sidRPr="00E258DD">
        <w:rPr>
          <w:rFonts w:ascii="Times New Roman" w:eastAsia="宋体" w:hAnsi="Times New Roman" w:cs="宋体" w:hint="eastAsia"/>
          <w:color w:val="000000"/>
          <w:kern w:val="0"/>
          <w:sz w:val="28"/>
          <w:szCs w:val="28"/>
        </w:rPr>
        <w:t>联系电话：</w:t>
      </w:r>
      <w:r w:rsidR="00E258DD" w:rsidRPr="00E258DD">
        <w:rPr>
          <w:rFonts w:ascii="Times New Roman" w:eastAsia="宋体" w:hAnsi="Times New Roman" w:cs="宋体" w:hint="eastAsia"/>
          <w:color w:val="000000"/>
          <w:kern w:val="0"/>
          <w:sz w:val="28"/>
          <w:szCs w:val="28"/>
        </w:rPr>
        <w:t>0662-2338951</w:t>
      </w:r>
      <w:r w:rsidRPr="00E258DD">
        <w:rPr>
          <w:rFonts w:ascii="Times New Roman" w:eastAsia="宋体" w:hAnsi="Times New Roman" w:cs="宋体" w:hint="eastAsia"/>
          <w:color w:val="000000"/>
          <w:kern w:val="0"/>
          <w:sz w:val="28"/>
          <w:szCs w:val="28"/>
        </w:rPr>
        <w:t xml:space="preserve">        </w:t>
      </w:r>
      <w:r w:rsidRPr="00E258DD">
        <w:rPr>
          <w:rFonts w:ascii="Times New Roman" w:eastAsia="宋体" w:hAnsi="Times New Roman" w:cs="宋体" w:hint="eastAsia"/>
          <w:color w:val="000000"/>
          <w:kern w:val="0"/>
          <w:sz w:val="28"/>
          <w:szCs w:val="28"/>
        </w:rPr>
        <w:t>邮箱：</w:t>
      </w:r>
      <w:r w:rsidR="00E258DD" w:rsidRPr="00E258DD">
        <w:rPr>
          <w:rFonts w:ascii="Times New Roman" w:eastAsia="宋体" w:hAnsi="Times New Roman" w:cs="宋体" w:hint="eastAsia"/>
          <w:color w:val="000000"/>
          <w:kern w:val="0"/>
          <w:sz w:val="28"/>
          <w:szCs w:val="28"/>
        </w:rPr>
        <w:t>ydyjhsfd@163.com</w:t>
      </w:r>
    </w:p>
    <w:p w:rsidR="00635E4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风险评估单位名称：广东工程建设监理有限公司</w:t>
      </w:r>
    </w:p>
    <w:p w:rsidR="00635E4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地址：</w:t>
      </w:r>
      <w:r>
        <w:rPr>
          <w:rFonts w:ascii="Times New Roman" w:eastAsia="宋体" w:hAnsi="Times New Roman" w:cs="宋体" w:hint="eastAsia"/>
          <w:color w:val="000000"/>
          <w:kern w:val="0"/>
          <w:sz w:val="28"/>
          <w:szCs w:val="28"/>
        </w:rPr>
        <w:t xml:space="preserve"> </w:t>
      </w:r>
      <w:r>
        <w:rPr>
          <w:rFonts w:ascii="Times New Roman" w:eastAsia="宋体" w:hAnsi="Times New Roman" w:cs="宋体" w:hint="eastAsia"/>
          <w:color w:val="000000"/>
          <w:kern w:val="0"/>
          <w:sz w:val="28"/>
          <w:szCs w:val="28"/>
        </w:rPr>
        <w:t>广州市白云路</w:t>
      </w:r>
      <w:r>
        <w:rPr>
          <w:rFonts w:ascii="Times New Roman" w:eastAsia="宋体" w:hAnsi="Times New Roman" w:cs="宋体" w:hint="eastAsia"/>
          <w:color w:val="000000"/>
          <w:kern w:val="0"/>
          <w:sz w:val="28"/>
          <w:szCs w:val="28"/>
        </w:rPr>
        <w:t>111-113</w:t>
      </w:r>
      <w:r>
        <w:rPr>
          <w:rFonts w:ascii="Times New Roman" w:eastAsia="宋体" w:hAnsi="Times New Roman" w:cs="宋体" w:hint="eastAsia"/>
          <w:color w:val="000000"/>
          <w:kern w:val="0"/>
          <w:sz w:val="28"/>
          <w:szCs w:val="28"/>
        </w:rPr>
        <w:t>号白云大厦十六楼</w:t>
      </w:r>
    </w:p>
    <w:p w:rsidR="00635E4D" w:rsidRDefault="00EC57C9">
      <w:pPr>
        <w:widowControl/>
        <w:wordWrap w:val="0"/>
        <w:snapToGrid w:val="0"/>
        <w:spacing w:line="360" w:lineRule="auto"/>
        <w:ind w:firstLineChars="200" w:firstLine="56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联系电话：</w:t>
      </w:r>
      <w:r>
        <w:rPr>
          <w:rFonts w:ascii="Times New Roman" w:eastAsia="宋体" w:hAnsi="Times New Roman" w:cs="宋体" w:hint="eastAsia"/>
          <w:color w:val="000000"/>
          <w:kern w:val="0"/>
          <w:sz w:val="28"/>
          <w:szCs w:val="28"/>
        </w:rPr>
        <w:t xml:space="preserve">  18928785698       </w:t>
      </w:r>
      <w:r>
        <w:rPr>
          <w:rFonts w:ascii="Times New Roman" w:eastAsia="宋体" w:hAnsi="Times New Roman" w:cs="宋体" w:hint="eastAsia"/>
          <w:color w:val="000000"/>
          <w:kern w:val="0"/>
          <w:sz w:val="28"/>
          <w:szCs w:val="28"/>
        </w:rPr>
        <w:t>邮箱：</w:t>
      </w:r>
      <w:r>
        <w:rPr>
          <w:rFonts w:ascii="Times New Roman" w:eastAsia="宋体" w:hAnsi="Times New Roman" w:cs="宋体" w:hint="eastAsia"/>
          <w:color w:val="000000"/>
          <w:kern w:val="0"/>
          <w:sz w:val="28"/>
          <w:szCs w:val="28"/>
        </w:rPr>
        <w:t>66864961@qq.com</w:t>
      </w:r>
    </w:p>
    <w:p w:rsidR="00635E4D" w:rsidRDefault="00EC57C9">
      <w:pPr>
        <w:widowControl/>
        <w:wordWrap w:val="0"/>
        <w:snapToGrid w:val="0"/>
        <w:spacing w:line="360" w:lineRule="auto"/>
        <w:ind w:leftChars="2934" w:left="6161" w:firstLineChars="1650" w:firstLine="4620"/>
        <w:jc w:val="left"/>
        <w:rPr>
          <w:rFonts w:ascii="Times New Roman" w:eastAsia="宋体" w:hAnsi="Times New Roman" w:cs="宋体"/>
          <w:color w:val="000000"/>
          <w:kern w:val="0"/>
          <w:sz w:val="28"/>
          <w:szCs w:val="28"/>
        </w:rPr>
      </w:pPr>
      <w:r>
        <w:rPr>
          <w:rFonts w:ascii="Times New Roman" w:eastAsia="宋体" w:hAnsi="Times New Roman" w:cs="宋体" w:hint="eastAsia"/>
          <w:color w:val="000000"/>
          <w:kern w:val="0"/>
          <w:sz w:val="28"/>
          <w:szCs w:val="28"/>
        </w:rPr>
        <w:t>（</w:t>
      </w:r>
    </w:p>
    <w:p w:rsidR="00635E4D" w:rsidRDefault="00635E4D">
      <w:pPr>
        <w:widowControl/>
        <w:wordWrap w:val="0"/>
        <w:snapToGrid w:val="0"/>
        <w:spacing w:line="360" w:lineRule="auto"/>
        <w:jc w:val="right"/>
        <w:rPr>
          <w:rFonts w:ascii="Times New Roman" w:eastAsia="宋体" w:hAnsi="Times New Roman" w:cs="宋体"/>
          <w:color w:val="000000"/>
          <w:kern w:val="0"/>
          <w:sz w:val="28"/>
          <w:szCs w:val="28"/>
        </w:rPr>
      </w:pPr>
    </w:p>
    <w:sectPr w:rsidR="00635E4D" w:rsidSect="00635E4D">
      <w:pgSz w:w="11907" w:h="1683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75" w:rsidRDefault="00B62175" w:rsidP="00E258DD">
      <w:r>
        <w:separator/>
      </w:r>
    </w:p>
  </w:endnote>
  <w:endnote w:type="continuationSeparator" w:id="0">
    <w:p w:rsidR="00B62175" w:rsidRDefault="00B62175" w:rsidP="00E25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75" w:rsidRDefault="00B62175" w:rsidP="00E258DD">
      <w:r>
        <w:separator/>
      </w:r>
    </w:p>
  </w:footnote>
  <w:footnote w:type="continuationSeparator" w:id="0">
    <w:p w:rsidR="00B62175" w:rsidRDefault="00B62175" w:rsidP="00E25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5E2F"/>
    <w:rsid w:val="00044057"/>
    <w:rsid w:val="000630F7"/>
    <w:rsid w:val="000B1528"/>
    <w:rsid w:val="001049AC"/>
    <w:rsid w:val="00172A27"/>
    <w:rsid w:val="001767AA"/>
    <w:rsid w:val="0019794C"/>
    <w:rsid w:val="001E71C6"/>
    <w:rsid w:val="001F5C21"/>
    <w:rsid w:val="00212B8D"/>
    <w:rsid w:val="00296892"/>
    <w:rsid w:val="002C537C"/>
    <w:rsid w:val="0033359E"/>
    <w:rsid w:val="003608B8"/>
    <w:rsid w:val="003A0EA9"/>
    <w:rsid w:val="003A25A1"/>
    <w:rsid w:val="003E2287"/>
    <w:rsid w:val="00425332"/>
    <w:rsid w:val="004375F6"/>
    <w:rsid w:val="00444123"/>
    <w:rsid w:val="00461F83"/>
    <w:rsid w:val="00493A51"/>
    <w:rsid w:val="004A388F"/>
    <w:rsid w:val="004E34CD"/>
    <w:rsid w:val="004F0123"/>
    <w:rsid w:val="00512586"/>
    <w:rsid w:val="0051270A"/>
    <w:rsid w:val="0052457E"/>
    <w:rsid w:val="0052529B"/>
    <w:rsid w:val="00552B65"/>
    <w:rsid w:val="00561FAE"/>
    <w:rsid w:val="00582ED4"/>
    <w:rsid w:val="005C4B7C"/>
    <w:rsid w:val="005F3936"/>
    <w:rsid w:val="00635E4D"/>
    <w:rsid w:val="00642F57"/>
    <w:rsid w:val="0068627D"/>
    <w:rsid w:val="006A78AB"/>
    <w:rsid w:val="006D1B93"/>
    <w:rsid w:val="007065BE"/>
    <w:rsid w:val="00715452"/>
    <w:rsid w:val="00757650"/>
    <w:rsid w:val="00775B5D"/>
    <w:rsid w:val="00785044"/>
    <w:rsid w:val="007A7D84"/>
    <w:rsid w:val="007D1777"/>
    <w:rsid w:val="00813936"/>
    <w:rsid w:val="00816758"/>
    <w:rsid w:val="008175F5"/>
    <w:rsid w:val="00823734"/>
    <w:rsid w:val="008353FD"/>
    <w:rsid w:val="008561B9"/>
    <w:rsid w:val="008940AD"/>
    <w:rsid w:val="0089784F"/>
    <w:rsid w:val="008B3C3F"/>
    <w:rsid w:val="008C2F81"/>
    <w:rsid w:val="008E2D73"/>
    <w:rsid w:val="009116E1"/>
    <w:rsid w:val="009433A5"/>
    <w:rsid w:val="00983DAE"/>
    <w:rsid w:val="009A5546"/>
    <w:rsid w:val="009F574E"/>
    <w:rsid w:val="00A31A86"/>
    <w:rsid w:val="00A53301"/>
    <w:rsid w:val="00A65866"/>
    <w:rsid w:val="00B0214D"/>
    <w:rsid w:val="00B62175"/>
    <w:rsid w:val="00B633F4"/>
    <w:rsid w:val="00B6539E"/>
    <w:rsid w:val="00BD0E6A"/>
    <w:rsid w:val="00BE0CDF"/>
    <w:rsid w:val="00BE35FB"/>
    <w:rsid w:val="00C10437"/>
    <w:rsid w:val="00C61EDB"/>
    <w:rsid w:val="00CC4323"/>
    <w:rsid w:val="00CE65B1"/>
    <w:rsid w:val="00CE7558"/>
    <w:rsid w:val="00CF150C"/>
    <w:rsid w:val="00D8257D"/>
    <w:rsid w:val="00DA247D"/>
    <w:rsid w:val="00E258DD"/>
    <w:rsid w:val="00E27C41"/>
    <w:rsid w:val="00E32291"/>
    <w:rsid w:val="00E54EE3"/>
    <w:rsid w:val="00E62886"/>
    <w:rsid w:val="00EC57C9"/>
    <w:rsid w:val="00ED6116"/>
    <w:rsid w:val="00EF50B3"/>
    <w:rsid w:val="00F03042"/>
    <w:rsid w:val="00F45F3F"/>
    <w:rsid w:val="00F825F0"/>
    <w:rsid w:val="4B620FB1"/>
    <w:rsid w:val="57B31BB9"/>
    <w:rsid w:val="68755485"/>
    <w:rsid w:val="72334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4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635E4D"/>
    <w:rPr>
      <w:rFonts w:ascii="宋体" w:eastAsia="宋体"/>
      <w:sz w:val="18"/>
      <w:szCs w:val="18"/>
    </w:rPr>
  </w:style>
  <w:style w:type="paragraph" w:styleId="a4">
    <w:name w:val="Balloon Text"/>
    <w:basedOn w:val="a"/>
    <w:link w:val="Char0"/>
    <w:uiPriority w:val="99"/>
    <w:unhideWhenUsed/>
    <w:qFormat/>
    <w:rsid w:val="00635E4D"/>
    <w:rPr>
      <w:sz w:val="18"/>
      <w:szCs w:val="18"/>
    </w:rPr>
  </w:style>
  <w:style w:type="paragraph" w:styleId="a5">
    <w:name w:val="footer"/>
    <w:basedOn w:val="a"/>
    <w:link w:val="Char1"/>
    <w:uiPriority w:val="99"/>
    <w:unhideWhenUsed/>
    <w:rsid w:val="00635E4D"/>
    <w:pPr>
      <w:tabs>
        <w:tab w:val="center" w:pos="4153"/>
        <w:tab w:val="right" w:pos="8306"/>
      </w:tabs>
      <w:snapToGrid w:val="0"/>
      <w:jc w:val="left"/>
    </w:pPr>
    <w:rPr>
      <w:sz w:val="18"/>
      <w:szCs w:val="18"/>
    </w:rPr>
  </w:style>
  <w:style w:type="paragraph" w:styleId="a6">
    <w:name w:val="header"/>
    <w:basedOn w:val="a"/>
    <w:link w:val="Char2"/>
    <w:uiPriority w:val="99"/>
    <w:unhideWhenUsed/>
    <w:rsid w:val="00635E4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635E4D"/>
    <w:rPr>
      <w:color w:val="0563C1" w:themeColor="hyperlink"/>
      <w:u w:val="single"/>
    </w:rPr>
  </w:style>
  <w:style w:type="character" w:customStyle="1" w:styleId="Char2">
    <w:name w:val="页眉 Char"/>
    <w:basedOn w:val="a0"/>
    <w:link w:val="a6"/>
    <w:uiPriority w:val="99"/>
    <w:rsid w:val="00635E4D"/>
    <w:rPr>
      <w:sz w:val="18"/>
      <w:szCs w:val="18"/>
    </w:rPr>
  </w:style>
  <w:style w:type="character" w:customStyle="1" w:styleId="Char1">
    <w:name w:val="页脚 Char"/>
    <w:basedOn w:val="a0"/>
    <w:link w:val="a5"/>
    <w:uiPriority w:val="99"/>
    <w:rsid w:val="00635E4D"/>
    <w:rPr>
      <w:sz w:val="18"/>
      <w:szCs w:val="18"/>
    </w:rPr>
  </w:style>
  <w:style w:type="character" w:customStyle="1" w:styleId="Char">
    <w:name w:val="文档结构图 Char"/>
    <w:basedOn w:val="a0"/>
    <w:link w:val="a3"/>
    <w:uiPriority w:val="99"/>
    <w:semiHidden/>
    <w:qFormat/>
    <w:rsid w:val="00635E4D"/>
    <w:rPr>
      <w:rFonts w:ascii="宋体" w:eastAsia="宋体"/>
      <w:sz w:val="18"/>
      <w:szCs w:val="18"/>
    </w:rPr>
  </w:style>
  <w:style w:type="character" w:customStyle="1" w:styleId="Char0">
    <w:name w:val="批注框文本 Char"/>
    <w:basedOn w:val="a0"/>
    <w:link w:val="a4"/>
    <w:uiPriority w:val="99"/>
    <w:semiHidden/>
    <w:qFormat/>
    <w:rsid w:val="00635E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Company>YJLK</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李娜</dc:creator>
  <cp:lastModifiedBy>陈海欧</cp:lastModifiedBy>
  <cp:revision>2</cp:revision>
  <dcterms:created xsi:type="dcterms:W3CDTF">2017-05-25T06:27:00Z</dcterms:created>
  <dcterms:modified xsi:type="dcterms:W3CDTF">2017-05-25T06:27:00Z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