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06945">
      <w:pPr>
        <w:pStyle w:val="2"/>
        <w:jc w:val="center"/>
        <w:rPr>
          <w:rFonts w:hint="eastAsia" w:ascii="华文中宋" w:hAnsi="华文中宋" w:eastAsia="华文中宋" w:cs="Times New Roman"/>
          <w:bCs w:val="0"/>
          <w:sz w:val="36"/>
          <w:szCs w:val="36"/>
        </w:rPr>
      </w:pPr>
      <w:bookmarkStart w:id="0" w:name="_Toc68619132"/>
      <w:bookmarkStart w:id="1" w:name="_Toc66971932"/>
      <w:r>
        <w:rPr>
          <w:rFonts w:ascii="华文中宋" w:hAnsi="华文中宋" w:eastAsia="华文中宋" w:cs="宋体"/>
          <w:bCs w:val="0"/>
          <w:sz w:val="36"/>
          <w:szCs w:val="36"/>
        </w:rPr>
        <w:t>关于发布阳江市2026年度工伤预防项目的采购公告</w:t>
      </w:r>
      <w:bookmarkEnd w:id="0"/>
      <w:bookmarkEnd w:id="1"/>
    </w:p>
    <w:p w14:paraId="63F35D52">
      <w:pPr>
        <w:spacing w:before="80" w:after="80" w:line="360" w:lineRule="auto"/>
        <w:ind w:firstLine="482" w:firstLineChars="200"/>
        <w:rPr>
          <w:rFonts w:hint="eastAsia" w:ascii="宋体" w:hAnsi="宋体" w:eastAsia="宋体" w:cs="宋体"/>
          <w:b/>
          <w:sz w:val="24"/>
          <w:u w:val="single"/>
        </w:rPr>
      </w:pPr>
      <w:r>
        <w:rPr>
          <w:rFonts w:ascii="宋体" w:hAnsi="宋体" w:eastAsia="宋体" w:cs="宋体"/>
          <w:b/>
          <w:sz w:val="24"/>
          <w:u w:val="single"/>
        </w:rPr>
        <w:t>阳江市人力资源和社会保障局</w:t>
      </w:r>
      <w:r>
        <w:rPr>
          <w:rFonts w:ascii="宋体" w:hAnsi="宋体" w:eastAsia="宋体" w:cs="宋体"/>
          <w:sz w:val="24"/>
        </w:rPr>
        <w:t>拟对</w:t>
      </w:r>
      <w:r>
        <w:rPr>
          <w:rFonts w:ascii="宋体" w:hAnsi="宋体" w:eastAsia="宋体" w:cs="宋体"/>
          <w:b/>
          <w:sz w:val="24"/>
          <w:u w:val="single"/>
        </w:rPr>
        <w:t>阳江市2026年度工伤预防项目</w:t>
      </w:r>
      <w:r>
        <w:rPr>
          <w:rFonts w:ascii="宋体" w:hAnsi="宋体" w:eastAsia="宋体" w:cs="宋体"/>
          <w:sz w:val="24"/>
        </w:rPr>
        <w:t>进行</w:t>
      </w:r>
      <w:r>
        <w:rPr>
          <w:rFonts w:hint="eastAsia" w:ascii="宋体" w:hAnsi="宋体" w:eastAsia="宋体" w:cs="宋体"/>
          <w:b/>
          <w:sz w:val="24"/>
        </w:rPr>
        <w:t>公开</w:t>
      </w:r>
      <w:r>
        <w:rPr>
          <w:rFonts w:ascii="宋体" w:hAnsi="宋体" w:eastAsia="宋体" w:cs="宋体"/>
          <w:b/>
          <w:sz w:val="24"/>
        </w:rPr>
        <w:t>比选，兹邀请相关比选申请人参加比选</w:t>
      </w:r>
      <w:r>
        <w:rPr>
          <w:rFonts w:ascii="宋体" w:hAnsi="宋体" w:eastAsia="宋体" w:cs="宋体"/>
          <w:sz w:val="24"/>
        </w:rPr>
        <w:t>。</w:t>
      </w:r>
    </w:p>
    <w:p w14:paraId="4D6CD341">
      <w:pPr>
        <w:spacing w:before="80" w:after="80" w:line="360" w:lineRule="auto"/>
        <w:ind w:left="482"/>
        <w:rPr>
          <w:rFonts w:hint="eastAsia" w:ascii="宋体" w:hAnsi="宋体" w:eastAsia="宋体" w:cs="宋体"/>
          <w:b/>
          <w:sz w:val="24"/>
          <w:shd w:val="pct15" w:color="auto" w:fill="FFFFFF"/>
        </w:rPr>
      </w:pPr>
      <w:r>
        <w:rPr>
          <w:rFonts w:hint="eastAsia" w:ascii="宋体" w:hAnsi="宋体" w:eastAsia="宋体" w:cs="宋体"/>
          <w:b/>
          <w:sz w:val="24"/>
        </w:rPr>
        <w:t>一、</w:t>
      </w:r>
      <w:r>
        <w:rPr>
          <w:rFonts w:ascii="宋体" w:hAnsi="宋体" w:eastAsia="宋体" w:cs="宋体"/>
          <w:b/>
          <w:sz w:val="24"/>
        </w:rPr>
        <w:t>项目名称：阳江市2026年度工伤预防项目</w:t>
      </w:r>
    </w:p>
    <w:p w14:paraId="64E76575">
      <w:pPr>
        <w:spacing w:before="80" w:after="80" w:line="360" w:lineRule="auto"/>
        <w:ind w:left="482"/>
        <w:rPr>
          <w:rFonts w:hint="eastAsia" w:ascii="宋体" w:hAnsi="宋体" w:eastAsia="宋体" w:cs="宋体"/>
          <w:bCs/>
          <w:sz w:val="24"/>
          <w:shd w:val="pct15" w:color="auto" w:fill="FFFFFF"/>
        </w:rPr>
      </w:pPr>
      <w:r>
        <w:rPr>
          <w:rFonts w:hint="eastAsia" w:ascii="宋体" w:hAnsi="宋体" w:eastAsia="宋体" w:cs="宋体"/>
          <w:b/>
          <w:sz w:val="24"/>
        </w:rPr>
        <w:t>二、项目预算：</w:t>
      </w:r>
      <w:r>
        <w:rPr>
          <w:rFonts w:hint="eastAsia" w:ascii="宋体" w:hAnsi="宋体" w:eastAsia="宋体" w:cs="宋体"/>
          <w:bCs/>
          <w:sz w:val="24"/>
        </w:rPr>
        <w:t>10万元，</w:t>
      </w:r>
      <w:r>
        <w:rPr>
          <w:rFonts w:ascii="宋体" w:hAnsi="宋体" w:eastAsia="宋体" w:cs="宋体"/>
          <w:bCs/>
          <w:sz w:val="24"/>
        </w:rPr>
        <w:t>超过预算金额的报价将作为无效响应处理</w:t>
      </w:r>
      <w:r>
        <w:rPr>
          <w:rFonts w:hint="eastAsia" w:ascii="宋体" w:hAnsi="宋体" w:eastAsia="宋体" w:cs="宋体"/>
          <w:bCs/>
          <w:sz w:val="24"/>
        </w:rPr>
        <w:t>。</w:t>
      </w:r>
    </w:p>
    <w:p w14:paraId="612FC578">
      <w:pPr>
        <w:spacing w:before="80" w:after="80" w:line="360" w:lineRule="auto"/>
        <w:ind w:firstLine="482" w:firstLineChars="200"/>
        <w:rPr>
          <w:rFonts w:hint="eastAsia" w:ascii="宋体" w:hAnsi="宋体" w:eastAsia="宋体" w:cs="宋体"/>
          <w:b/>
          <w:kern w:val="2"/>
          <w:sz w:val="24"/>
          <w:szCs w:val="22"/>
          <w:lang w:val="en-US" w:eastAsia="zh-CN" w:bidi="ar-SA"/>
        </w:rPr>
      </w:pPr>
      <w:r>
        <w:rPr>
          <w:rFonts w:ascii="宋体" w:hAnsi="宋体" w:eastAsia="宋体" w:cs="宋体"/>
          <w:b/>
          <w:kern w:val="2"/>
          <w:sz w:val="24"/>
          <w:szCs w:val="22"/>
          <w:lang w:val="en-US" w:eastAsia="zh-CN" w:bidi="ar-SA"/>
        </w:rPr>
        <w:t>三、项目概况及目标：</w:t>
      </w:r>
    </w:p>
    <w:p w14:paraId="24693B5B">
      <w:pPr>
        <w:spacing w:before="80" w:after="80" w:line="360" w:lineRule="auto"/>
        <w:ind w:firstLine="480" w:firstLineChars="200"/>
        <w:rPr>
          <w:rFonts w:hint="eastAsia" w:ascii="宋体" w:hAnsi="宋体" w:eastAsia="宋体" w:cs="宋体"/>
          <w:sz w:val="24"/>
        </w:rPr>
      </w:pPr>
      <w:r>
        <w:rPr>
          <w:rFonts w:hint="eastAsia" w:ascii="宋体" w:hAnsi="宋体" w:eastAsia="宋体" w:cs="宋体"/>
          <w:sz w:val="24"/>
        </w:rPr>
        <w:t>2026年，通过工伤预防项目实施，压紧压实用人单位主体责任，增强职工安全作业和职业卫生健康意识，促进用人单位自觉依法参加工伤保险，切实提升企业抗风险能力和工伤保险基金使用效率，推动我市工伤保险事业健康发展。</w:t>
      </w:r>
    </w:p>
    <w:p w14:paraId="7416E321">
      <w:pPr>
        <w:spacing w:before="80" w:after="80" w:line="360" w:lineRule="auto"/>
        <w:ind w:firstLine="480" w:firstLineChars="200"/>
        <w:rPr>
          <w:rFonts w:hint="eastAsia" w:ascii="宋体" w:hAnsi="宋体" w:eastAsia="宋体" w:cs="宋体"/>
          <w:sz w:val="24"/>
        </w:rPr>
      </w:pPr>
      <w:r>
        <w:rPr>
          <w:rFonts w:hint="eastAsia" w:ascii="宋体" w:hAnsi="宋体" w:eastAsia="宋体" w:cs="宋体"/>
          <w:sz w:val="24"/>
        </w:rPr>
        <w:t>（一）主动预防意识提升。用人单位、劳动者工伤预防意识和能力明显提升，逐步实现从“要我预防”向“我要预防”“我会预防”转变；</w:t>
      </w:r>
    </w:p>
    <w:p w14:paraId="2D14575C">
      <w:pPr>
        <w:spacing w:before="80" w:after="80" w:line="360" w:lineRule="auto"/>
        <w:ind w:firstLine="480" w:firstLineChars="200"/>
        <w:rPr>
          <w:rFonts w:hint="eastAsia" w:ascii="宋体" w:hAnsi="宋体" w:eastAsia="宋体" w:cs="宋体"/>
          <w:sz w:val="24"/>
        </w:rPr>
      </w:pPr>
      <w:r>
        <w:rPr>
          <w:rFonts w:hint="eastAsia" w:ascii="宋体" w:hAnsi="宋体" w:eastAsia="宋体" w:cs="宋体"/>
          <w:sz w:val="24"/>
        </w:rPr>
        <w:t>（二）参训企业所属职工对工伤保险知晓率≥85%；</w:t>
      </w:r>
    </w:p>
    <w:p w14:paraId="00682D55">
      <w:pPr>
        <w:spacing w:before="80" w:after="80" w:line="360" w:lineRule="auto"/>
        <w:ind w:firstLine="480" w:firstLineChars="200"/>
        <w:rPr>
          <w:rFonts w:hint="eastAsia" w:ascii="宋体" w:hAnsi="宋体" w:eastAsia="宋体" w:cs="宋体"/>
          <w:sz w:val="24"/>
        </w:rPr>
      </w:pPr>
      <w:r>
        <w:rPr>
          <w:rFonts w:hint="eastAsia" w:ascii="宋体" w:hAnsi="宋体" w:eastAsia="宋体" w:cs="宋体"/>
          <w:sz w:val="24"/>
        </w:rPr>
        <w:t>（三）开展培训的职工平均满意度大于90分（满分100分）；</w:t>
      </w:r>
    </w:p>
    <w:p w14:paraId="0F0A8680">
      <w:pPr>
        <w:spacing w:before="80" w:after="80" w:line="360" w:lineRule="auto"/>
        <w:ind w:firstLine="480" w:firstLineChars="200"/>
        <w:rPr>
          <w:rFonts w:hint="eastAsia" w:ascii="宋体" w:hAnsi="宋体" w:eastAsia="宋体" w:cs="宋体"/>
          <w:bCs/>
          <w:kern w:val="2"/>
          <w:sz w:val="24"/>
          <w:szCs w:val="22"/>
          <w:lang w:val="en-US" w:eastAsia="zh-CN" w:bidi="ar-SA"/>
        </w:rPr>
      </w:pPr>
      <w:r>
        <w:rPr>
          <w:rFonts w:hint="eastAsia" w:ascii="宋体" w:hAnsi="宋体" w:eastAsia="宋体" w:cs="宋体"/>
          <w:bCs/>
          <w:kern w:val="2"/>
          <w:sz w:val="24"/>
          <w:szCs w:val="22"/>
          <w:lang w:val="en-US" w:eastAsia="zh-CN" w:bidi="ar-SA"/>
        </w:rPr>
        <w:t>（四）开展培训的职工考试平均成绩不低于85分（满分100分）。</w:t>
      </w:r>
    </w:p>
    <w:p w14:paraId="4778B0D3">
      <w:pPr>
        <w:spacing w:before="80" w:after="80" w:line="360" w:lineRule="auto"/>
        <w:ind w:firstLine="482" w:firstLineChars="200"/>
        <w:rPr>
          <w:rFonts w:ascii="Times New Roman" w:hAnsi="Times New Roman" w:eastAsia="Times New Roman" w:cs="Times New Roman"/>
          <w:b/>
          <w:sz w:val="24"/>
        </w:rPr>
      </w:pPr>
      <w:r>
        <w:rPr>
          <w:rFonts w:ascii="宋体" w:hAnsi="宋体" w:eastAsia="宋体" w:cs="宋体"/>
          <w:b/>
          <w:sz w:val="24"/>
        </w:rPr>
        <w:t>四、比选申请人资格要求：</w:t>
      </w:r>
    </w:p>
    <w:p w14:paraId="7C246950">
      <w:pPr>
        <w:spacing w:before="80" w:after="80" w:line="360" w:lineRule="auto"/>
        <w:ind w:firstLine="480" w:firstLineChars="200"/>
        <w:rPr>
          <w:rFonts w:ascii="Times New Roman" w:hAnsi="Times New Roman" w:eastAsia="Times New Roman" w:cs="Times New Roman"/>
          <w:sz w:val="24"/>
        </w:rPr>
      </w:pPr>
      <w:r>
        <w:rPr>
          <w:rFonts w:hint="eastAsia" w:ascii="Times New Roman" w:hAnsi="Times New Roman" w:eastAsia="Times New Roman" w:cs="Times New Roman"/>
          <w:sz w:val="24"/>
        </w:rPr>
        <w:t>1</w:t>
      </w:r>
      <w:r>
        <w:rPr>
          <w:rFonts w:hint="eastAsia" w:ascii="宋体" w:hAnsi="宋体" w:eastAsia="宋体" w:cs="宋体"/>
          <w:sz w:val="24"/>
        </w:rPr>
        <w:t>、在中华人民共和国境内依法注册,</w:t>
      </w:r>
      <w:r>
        <w:rPr>
          <w:rFonts w:ascii="宋体" w:hAnsi="宋体" w:eastAsia="宋体" w:cs="宋体"/>
          <w:sz w:val="24"/>
        </w:rPr>
        <w:t>具有独立承担民事责任的能力</w:t>
      </w:r>
      <w:r>
        <w:rPr>
          <w:rFonts w:hint="eastAsia" w:ascii="宋体" w:hAnsi="宋体" w:eastAsia="宋体" w:cs="宋体"/>
          <w:sz w:val="24"/>
        </w:rPr>
        <w:t>；（提供</w:t>
      </w:r>
      <w:r>
        <w:rPr>
          <w:rFonts w:ascii="宋体" w:hAnsi="宋体" w:eastAsia="宋体" w:cs="宋体"/>
          <w:sz w:val="24"/>
        </w:rPr>
        <w:t>统一社会信用代码营业执照</w:t>
      </w:r>
      <w:r>
        <w:rPr>
          <w:rFonts w:hint="eastAsia" w:ascii="宋体" w:hAnsi="宋体" w:eastAsia="宋体" w:cs="宋体"/>
          <w:sz w:val="24"/>
        </w:rPr>
        <w:t>复印件）</w:t>
      </w:r>
    </w:p>
    <w:p w14:paraId="1BE91A06">
      <w:pPr>
        <w:spacing w:before="80" w:after="80" w:line="360" w:lineRule="auto"/>
        <w:ind w:firstLine="480" w:firstLineChars="200"/>
        <w:rPr>
          <w:rFonts w:ascii="Times New Roman" w:hAnsi="Times New Roman" w:eastAsia="Times New Roman" w:cs="Times New Roman"/>
          <w:sz w:val="24"/>
        </w:rPr>
      </w:pPr>
      <w:r>
        <w:rPr>
          <w:rFonts w:hint="eastAsia" w:ascii="Times New Roman" w:hAnsi="Times New Roman" w:eastAsia="Times New Roman" w:cs="Times New Roman"/>
          <w:sz w:val="24"/>
        </w:rPr>
        <w:t>2</w:t>
      </w:r>
      <w:r>
        <w:rPr>
          <w:rFonts w:hint="eastAsia" w:ascii="宋体" w:hAnsi="宋体" w:eastAsia="宋体" w:cs="宋体"/>
          <w:sz w:val="24"/>
        </w:rPr>
        <w:t>、具有良好的商业信誉和健全的财务会计制度；（提供承诺函）</w:t>
      </w:r>
    </w:p>
    <w:p w14:paraId="58982AAD">
      <w:pPr>
        <w:spacing w:before="80" w:after="80" w:line="360" w:lineRule="auto"/>
        <w:ind w:firstLine="480" w:firstLineChars="200"/>
        <w:rPr>
          <w:rFonts w:ascii="Times New Roman" w:hAnsi="Times New Roman" w:eastAsia="Times New Roman" w:cs="Times New Roman"/>
          <w:sz w:val="24"/>
        </w:rPr>
      </w:pPr>
      <w:r>
        <w:rPr>
          <w:rFonts w:hint="eastAsia" w:ascii="Times New Roman" w:hAnsi="Times New Roman" w:eastAsia="Times New Roman" w:cs="Times New Roman"/>
          <w:sz w:val="24"/>
        </w:rPr>
        <w:t>3</w:t>
      </w:r>
      <w:r>
        <w:rPr>
          <w:rFonts w:hint="eastAsia" w:ascii="宋体" w:hAnsi="宋体" w:eastAsia="宋体" w:cs="宋体"/>
          <w:sz w:val="24"/>
        </w:rPr>
        <w:t>、具有履行合同所必</w:t>
      </w:r>
      <w:r>
        <w:rPr>
          <w:rFonts w:hint="eastAsia" w:ascii="宋体" w:hAnsi="宋体" w:eastAsia="宋体" w:cs="宋体"/>
          <w:sz w:val="24"/>
          <w:lang w:val="en-US" w:eastAsia="zh-CN"/>
        </w:rPr>
        <w:t>需</w:t>
      </w:r>
      <w:r>
        <w:rPr>
          <w:rFonts w:hint="eastAsia" w:ascii="宋体" w:hAnsi="宋体" w:eastAsia="宋体" w:cs="宋体"/>
          <w:sz w:val="24"/>
        </w:rPr>
        <w:t>的设备和专业技术能力；</w:t>
      </w:r>
      <w:r>
        <w:rPr>
          <w:rFonts w:ascii="宋体" w:hAnsi="宋体" w:eastAsia="宋体" w:cs="宋体"/>
          <w:sz w:val="24"/>
        </w:rPr>
        <w:t>（提供承诺函）</w:t>
      </w:r>
    </w:p>
    <w:p w14:paraId="60AA0829">
      <w:pPr>
        <w:spacing w:before="80" w:after="80" w:line="360" w:lineRule="auto"/>
        <w:ind w:firstLine="480" w:firstLineChars="200"/>
        <w:rPr>
          <w:rFonts w:ascii="Times New Roman" w:hAnsi="Times New Roman" w:eastAsia="Times New Roman" w:cs="Times New Roman"/>
          <w:sz w:val="24"/>
        </w:rPr>
      </w:pPr>
      <w:r>
        <w:rPr>
          <w:rFonts w:hint="eastAsia" w:ascii="Times New Roman" w:hAnsi="Times New Roman" w:eastAsia="Times New Roman" w:cs="Times New Roman"/>
          <w:sz w:val="24"/>
        </w:rPr>
        <w:t>4</w:t>
      </w:r>
      <w:r>
        <w:rPr>
          <w:rFonts w:hint="eastAsia" w:ascii="宋体" w:hAnsi="宋体" w:eastAsia="宋体" w:cs="宋体"/>
          <w:sz w:val="24"/>
        </w:rPr>
        <w:t>、具有依法缴纳税收和社会保障资金的良好记录；</w:t>
      </w:r>
      <w:r>
        <w:rPr>
          <w:rFonts w:ascii="宋体" w:hAnsi="宋体" w:eastAsia="宋体" w:cs="宋体"/>
          <w:sz w:val="24"/>
        </w:rPr>
        <w:t>（提供承诺函）</w:t>
      </w:r>
    </w:p>
    <w:p w14:paraId="7607FA83">
      <w:pPr>
        <w:spacing w:before="80" w:after="80" w:line="360" w:lineRule="auto"/>
        <w:ind w:firstLine="480" w:firstLineChars="200"/>
        <w:rPr>
          <w:rFonts w:ascii="Times New Roman" w:hAnsi="Times New Roman" w:eastAsia="Times New Roman" w:cs="Times New Roman"/>
          <w:sz w:val="24"/>
        </w:rPr>
      </w:pPr>
      <w:r>
        <w:rPr>
          <w:rFonts w:hint="eastAsia" w:ascii="Times New Roman" w:hAnsi="Times New Roman" w:eastAsia="Times New Roman" w:cs="Times New Roman"/>
          <w:sz w:val="24"/>
        </w:rPr>
        <w:t>5</w:t>
      </w:r>
      <w:r>
        <w:rPr>
          <w:rFonts w:hint="eastAsia" w:ascii="宋体" w:hAnsi="宋体" w:eastAsia="宋体" w:cs="宋体"/>
          <w:sz w:val="24"/>
        </w:rPr>
        <w:t>、参加本次比选活动前三年内，在经营活动中没有重大违法记录；</w:t>
      </w:r>
      <w:r>
        <w:rPr>
          <w:rFonts w:ascii="宋体" w:hAnsi="宋体" w:eastAsia="宋体" w:cs="宋体"/>
          <w:sz w:val="24"/>
        </w:rPr>
        <w:t>（提供承诺函）</w:t>
      </w:r>
    </w:p>
    <w:p w14:paraId="0E655089">
      <w:pPr>
        <w:spacing w:before="80" w:after="80" w:line="360" w:lineRule="auto"/>
        <w:ind w:firstLine="480" w:firstLineChars="200"/>
        <w:rPr>
          <w:rFonts w:ascii="Times New Roman" w:hAnsi="Times New Roman" w:eastAsia="Times New Roman" w:cs="Times New Roman"/>
          <w:kern w:val="2"/>
          <w:sz w:val="24"/>
          <w:szCs w:val="22"/>
          <w:lang w:val="en-US" w:eastAsia="zh-CN" w:bidi="ar-SA"/>
        </w:rPr>
      </w:pPr>
      <w:r>
        <w:rPr>
          <w:rFonts w:ascii="Times New Roman" w:hAnsi="Times New Roman" w:eastAsia="Times New Roman" w:cs="Times New Roman"/>
          <w:kern w:val="2"/>
          <w:sz w:val="24"/>
          <w:szCs w:val="22"/>
          <w:lang w:val="en-US" w:eastAsia="zh-CN" w:bidi="ar-SA"/>
        </w:rPr>
        <w:t>6</w:t>
      </w:r>
      <w:r>
        <w:rPr>
          <w:rFonts w:hint="eastAsia" w:ascii="宋体" w:hAnsi="宋体" w:eastAsia="宋体" w:cs="宋体"/>
          <w:bCs/>
          <w:kern w:val="2"/>
          <w:sz w:val="24"/>
          <w:szCs w:val="22"/>
          <w:lang w:val="en-US" w:eastAsia="zh-CN" w:bidi="ar-SA"/>
        </w:rPr>
        <w:t>、比选申请人还符合法律、行政法规规定的其他强制性条件；（提供承诺函）</w:t>
      </w:r>
    </w:p>
    <w:p w14:paraId="3E5DC8E2">
      <w:pPr>
        <w:spacing w:before="80" w:after="80" w:line="360" w:lineRule="auto"/>
        <w:ind w:firstLine="480" w:firstLineChars="200"/>
        <w:rPr>
          <w:rFonts w:ascii="Times New Roman" w:hAnsi="Times New Roman" w:eastAsia="Times New Roman" w:cs="Times New Roman"/>
          <w:kern w:val="2"/>
          <w:sz w:val="24"/>
          <w:szCs w:val="22"/>
          <w:lang w:val="en-US" w:eastAsia="zh-CN" w:bidi="ar-SA"/>
        </w:rPr>
      </w:pPr>
      <w:r>
        <w:rPr>
          <w:rFonts w:ascii="Times New Roman" w:hAnsi="Times New Roman" w:eastAsia="Times New Roman" w:cs="Times New Roman"/>
          <w:kern w:val="2"/>
          <w:sz w:val="24"/>
          <w:szCs w:val="22"/>
          <w:lang w:val="en-US" w:eastAsia="zh-CN" w:bidi="ar-SA"/>
        </w:rPr>
        <w:t>7</w:t>
      </w:r>
      <w:r>
        <w:rPr>
          <w:rFonts w:hint="eastAsia" w:ascii="宋体" w:hAnsi="宋体" w:eastAsia="宋体" w:cs="宋体"/>
          <w:bCs/>
          <w:kern w:val="2"/>
          <w:sz w:val="24"/>
          <w:szCs w:val="22"/>
          <w:lang w:val="en-US" w:eastAsia="zh-CN" w:bidi="ar-SA"/>
        </w:rPr>
        <w:t>、本项目不接受联合体参与。（提供承诺函）</w:t>
      </w:r>
    </w:p>
    <w:p w14:paraId="47873AE2">
      <w:pPr>
        <w:spacing w:before="80" w:after="80" w:line="360" w:lineRule="auto"/>
        <w:ind w:firstLine="482" w:firstLineChars="200"/>
        <w:rPr>
          <w:rFonts w:hint="eastAsia" w:ascii="宋体" w:hAnsi="宋体" w:eastAsia="宋体" w:cs="宋体"/>
          <w:b/>
          <w:sz w:val="24"/>
        </w:rPr>
      </w:pPr>
      <w:r>
        <w:rPr>
          <w:rFonts w:hint="eastAsia" w:ascii="宋体" w:hAnsi="宋体" w:eastAsia="宋体" w:cs="宋体"/>
          <w:b/>
          <w:sz w:val="24"/>
        </w:rPr>
        <w:t>五、服务内容要求</w:t>
      </w:r>
    </w:p>
    <w:p w14:paraId="52990045">
      <w:pPr>
        <w:spacing w:before="80" w:after="80" w:line="360" w:lineRule="auto"/>
        <w:ind w:firstLine="480" w:firstLineChars="200"/>
        <w:rPr>
          <w:rFonts w:ascii="Times New Roman" w:hAnsi="Times New Roman" w:eastAsia="Times New Roman" w:cs="Times New Roman"/>
          <w:sz w:val="24"/>
        </w:rPr>
      </w:pPr>
      <w:r>
        <w:rPr>
          <w:rFonts w:hint="eastAsia" w:ascii="宋体" w:hAnsi="宋体" w:eastAsia="宋体" w:cs="宋体"/>
          <w:sz w:val="24"/>
        </w:rPr>
        <w:t>结合</w:t>
      </w:r>
      <w:r>
        <w:rPr>
          <w:rFonts w:hint="eastAsia" w:ascii="Times New Roman" w:hAnsi="Times New Roman" w:eastAsia="Times New Roman" w:cs="Times New Roman"/>
          <w:sz w:val="24"/>
        </w:rPr>
        <w:t>2026</w:t>
      </w:r>
      <w:r>
        <w:rPr>
          <w:rFonts w:hint="eastAsia" w:ascii="宋体" w:hAnsi="宋体" w:eastAsia="宋体" w:cs="宋体"/>
          <w:sz w:val="24"/>
        </w:rPr>
        <w:t>年阳江市工伤预防重点治理行业，立足全市工伤防控与工伤保险工作实际，响应省委、省政府</w:t>
      </w:r>
      <w:r>
        <w:rPr>
          <w:rFonts w:hint="eastAsia" w:ascii="宋体" w:hAnsi="宋体" w:eastAsia="宋体" w:cs="宋体"/>
          <w:sz w:val="24"/>
          <w:lang w:val="en-US" w:eastAsia="zh-CN"/>
        </w:rPr>
        <w:t>及市委、市政府</w:t>
      </w:r>
      <w:r>
        <w:rPr>
          <w:rFonts w:hint="eastAsia" w:ascii="宋体" w:hAnsi="宋体" w:eastAsia="宋体" w:cs="宋体"/>
          <w:sz w:val="24"/>
        </w:rPr>
        <w:t>工作部署，特提出阳江市工伤预防</w:t>
      </w:r>
      <w:r>
        <w:rPr>
          <w:rFonts w:ascii="Times New Roman" w:hAnsi="Times New Roman" w:eastAsia="Times New Roman" w:cs="Times New Roman"/>
          <w:sz w:val="24"/>
        </w:rPr>
        <w:t>“</w:t>
      </w:r>
      <w:r>
        <w:rPr>
          <w:rFonts w:hint="eastAsia" w:ascii="宋体" w:hAnsi="宋体" w:eastAsia="宋体" w:cs="宋体"/>
          <w:sz w:val="24"/>
        </w:rPr>
        <w:t>漠阳刀安</w:t>
      </w:r>
      <w:r>
        <w:rPr>
          <w:rFonts w:ascii="Times New Roman" w:hAnsi="Times New Roman" w:eastAsia="Times New Roman" w:cs="Times New Roman"/>
          <w:sz w:val="24"/>
        </w:rPr>
        <w:t>”</w:t>
      </w:r>
      <w:r>
        <w:rPr>
          <w:rFonts w:hint="eastAsia" w:ascii="宋体" w:hAnsi="宋体" w:eastAsia="宋体" w:cs="宋体"/>
          <w:sz w:val="24"/>
        </w:rPr>
        <w:t>工作模式。</w:t>
      </w:r>
    </w:p>
    <w:p w14:paraId="52AC36D3">
      <w:pPr>
        <w:spacing w:before="80" w:after="80" w:line="360" w:lineRule="auto"/>
        <w:ind w:firstLine="480" w:firstLineChars="200"/>
        <w:rPr>
          <w:rFonts w:ascii="Times New Roman" w:hAnsi="Times New Roman" w:eastAsia="Times New Roman" w:cs="Times New Roman"/>
          <w:sz w:val="24"/>
        </w:rPr>
      </w:pPr>
      <w:r>
        <w:rPr>
          <w:rFonts w:hint="eastAsia" w:ascii="宋体" w:hAnsi="宋体" w:eastAsia="宋体" w:cs="宋体"/>
          <w:sz w:val="24"/>
        </w:rPr>
        <w:t>漠阳刀安：</w:t>
      </w:r>
      <w:r>
        <w:rPr>
          <w:rFonts w:ascii="Times New Roman" w:hAnsi="Times New Roman" w:eastAsia="Times New Roman" w:cs="Times New Roman"/>
          <w:sz w:val="24"/>
        </w:rPr>
        <w:t>“</w:t>
      </w:r>
      <w:r>
        <w:rPr>
          <w:rFonts w:hint="eastAsia" w:ascii="宋体" w:hAnsi="宋体" w:eastAsia="宋体" w:cs="宋体"/>
          <w:sz w:val="24"/>
        </w:rPr>
        <w:t>漠阳</w:t>
      </w:r>
      <w:r>
        <w:rPr>
          <w:rFonts w:ascii="Times New Roman" w:hAnsi="Times New Roman" w:eastAsia="Times New Roman" w:cs="Times New Roman"/>
          <w:sz w:val="24"/>
        </w:rPr>
        <w:t>”</w:t>
      </w:r>
      <w:r>
        <w:rPr>
          <w:rFonts w:hint="eastAsia" w:ascii="宋体" w:hAnsi="宋体" w:eastAsia="宋体" w:cs="宋体"/>
          <w:sz w:val="24"/>
        </w:rPr>
        <w:t>是阳江的古称，承载着深厚的地域文化底蕴，彰显本土特色；</w:t>
      </w:r>
      <w:r>
        <w:rPr>
          <w:rFonts w:ascii="Times New Roman" w:hAnsi="Times New Roman" w:eastAsia="Times New Roman" w:cs="Times New Roman"/>
          <w:sz w:val="24"/>
        </w:rPr>
        <w:t>“</w:t>
      </w:r>
      <w:r>
        <w:rPr>
          <w:rFonts w:hint="eastAsia" w:ascii="宋体" w:hAnsi="宋体" w:eastAsia="宋体" w:cs="宋体"/>
          <w:sz w:val="24"/>
        </w:rPr>
        <w:t>刀</w:t>
      </w:r>
      <w:r>
        <w:rPr>
          <w:rFonts w:ascii="Times New Roman" w:hAnsi="Times New Roman" w:eastAsia="Times New Roman" w:cs="Times New Roman"/>
          <w:sz w:val="24"/>
        </w:rPr>
        <w:t>”</w:t>
      </w:r>
      <w:r>
        <w:rPr>
          <w:rFonts w:hint="eastAsia" w:ascii="宋体" w:hAnsi="宋体" w:eastAsia="宋体" w:cs="宋体"/>
          <w:sz w:val="24"/>
        </w:rPr>
        <w:t>紧扣阳江</w:t>
      </w:r>
      <w:r>
        <w:rPr>
          <w:rFonts w:ascii="Times New Roman" w:hAnsi="Times New Roman" w:eastAsia="Times New Roman" w:cs="Times New Roman"/>
          <w:sz w:val="24"/>
        </w:rPr>
        <w:t>“</w:t>
      </w:r>
      <w:r>
        <w:rPr>
          <w:rFonts w:hint="eastAsia" w:ascii="宋体" w:hAnsi="宋体" w:eastAsia="宋体" w:cs="宋体"/>
          <w:sz w:val="24"/>
        </w:rPr>
        <w:t>中国刀剪之都</w:t>
      </w:r>
      <w:r>
        <w:rPr>
          <w:rFonts w:ascii="Times New Roman" w:hAnsi="Times New Roman" w:eastAsia="Times New Roman" w:cs="Times New Roman"/>
          <w:sz w:val="24"/>
        </w:rPr>
        <w:t>”</w:t>
      </w:r>
      <w:r>
        <w:rPr>
          <w:rFonts w:hint="eastAsia" w:ascii="宋体" w:hAnsi="宋体" w:eastAsia="宋体" w:cs="宋体"/>
          <w:sz w:val="24"/>
        </w:rPr>
        <w:t>的核心产业定位，明确</w:t>
      </w:r>
      <w:r>
        <w:rPr>
          <w:rFonts w:hint="eastAsia" w:ascii="Times New Roman" w:hAnsi="Times New Roman" w:eastAsia="Times New Roman" w:cs="Times New Roman"/>
          <w:sz w:val="24"/>
        </w:rPr>
        <w:t>2026</w:t>
      </w:r>
      <w:r>
        <w:rPr>
          <w:rFonts w:hint="eastAsia" w:ascii="宋体" w:hAnsi="宋体" w:eastAsia="宋体" w:cs="宋体"/>
          <w:sz w:val="24"/>
        </w:rPr>
        <w:t>年工伤预防重点治理领域；</w:t>
      </w:r>
      <w:r>
        <w:rPr>
          <w:rFonts w:ascii="Times New Roman" w:hAnsi="Times New Roman" w:eastAsia="Times New Roman" w:cs="Times New Roman"/>
          <w:sz w:val="24"/>
        </w:rPr>
        <w:t>“</w:t>
      </w:r>
      <w:r>
        <w:rPr>
          <w:rFonts w:hint="eastAsia" w:ascii="宋体" w:hAnsi="宋体" w:eastAsia="宋体" w:cs="宋体"/>
          <w:sz w:val="24"/>
        </w:rPr>
        <w:t>安</w:t>
      </w:r>
      <w:r>
        <w:rPr>
          <w:rFonts w:ascii="Times New Roman" w:hAnsi="Times New Roman" w:eastAsia="Times New Roman" w:cs="Times New Roman"/>
          <w:sz w:val="24"/>
        </w:rPr>
        <w:t>”</w:t>
      </w:r>
      <w:r>
        <w:rPr>
          <w:rFonts w:hint="eastAsia" w:ascii="宋体" w:hAnsi="宋体" w:eastAsia="宋体" w:cs="宋体"/>
          <w:sz w:val="24"/>
        </w:rPr>
        <w:t>聚焦守护劳动者职业安全健康的根本目标，凝聚政府、企业、劳动者三方协同共治合力，为全市经济社会高质量发展筑牢安全屏障。</w:t>
      </w:r>
    </w:p>
    <w:p w14:paraId="33C01BBD">
      <w:pPr>
        <w:spacing w:before="80" w:after="80" w:line="360" w:lineRule="auto"/>
        <w:ind w:firstLine="480" w:firstLineChars="200"/>
        <w:rPr>
          <w:rFonts w:ascii="Times New Roman" w:hAnsi="Times New Roman" w:eastAsia="Times New Roman" w:cs="Times New Roman"/>
          <w:sz w:val="24"/>
        </w:rPr>
      </w:pPr>
      <w:r>
        <w:rPr>
          <w:rFonts w:hint="eastAsia" w:ascii="宋体" w:hAnsi="宋体" w:eastAsia="宋体" w:cs="宋体"/>
          <w:sz w:val="24"/>
        </w:rPr>
        <w:t>依托阳江市工伤预防实际工作内容，构建全链条、差异化的工伤预防实施体系，具体路径如下：</w:t>
      </w:r>
    </w:p>
    <w:p w14:paraId="4AEA1416">
      <w:pPr>
        <w:spacing w:before="80" w:after="80" w:line="360" w:lineRule="auto"/>
        <w:ind w:firstLine="480" w:firstLineChars="200"/>
        <w:rPr>
          <w:rFonts w:ascii="Times New Roman" w:hAnsi="Times New Roman" w:eastAsia="Times New Roman" w:cs="Times New Roman"/>
          <w:sz w:val="24"/>
        </w:rPr>
      </w:pPr>
      <w:r>
        <w:rPr>
          <w:rFonts w:hint="eastAsia" w:ascii="宋体" w:hAnsi="宋体" w:eastAsia="宋体" w:cs="宋体"/>
          <w:sz w:val="24"/>
        </w:rPr>
        <w:t>基于大数据精准锁定高风险企业，实施</w:t>
      </w:r>
      <w:r>
        <w:rPr>
          <w:rFonts w:ascii="Times New Roman" w:hAnsi="Times New Roman" w:eastAsia="Times New Roman" w:cs="Times New Roman"/>
          <w:sz w:val="24"/>
        </w:rPr>
        <w:t>“</w:t>
      </w:r>
      <w:r>
        <w:rPr>
          <w:rFonts w:hint="eastAsia" w:ascii="宋体" w:hAnsi="宋体" w:eastAsia="宋体" w:cs="宋体"/>
          <w:sz w:val="24"/>
        </w:rPr>
        <w:t>千企千面</w:t>
      </w:r>
      <w:r>
        <w:rPr>
          <w:rFonts w:ascii="Times New Roman" w:hAnsi="Times New Roman" w:eastAsia="Times New Roman" w:cs="Times New Roman"/>
          <w:sz w:val="24"/>
        </w:rPr>
        <w:t>”</w:t>
      </w:r>
      <w:r>
        <w:rPr>
          <w:rFonts w:hint="eastAsia" w:ascii="宋体" w:hAnsi="宋体" w:eastAsia="宋体" w:cs="宋体"/>
          <w:sz w:val="24"/>
        </w:rPr>
        <w:t>数据驱动实操内训，定制</w:t>
      </w:r>
      <w:r>
        <w:rPr>
          <w:rFonts w:ascii="Times New Roman" w:hAnsi="Times New Roman" w:eastAsia="Times New Roman" w:cs="Times New Roman"/>
          <w:sz w:val="24"/>
        </w:rPr>
        <w:t>“</w:t>
      </w:r>
      <w:r>
        <w:rPr>
          <w:rFonts w:hint="eastAsia" w:ascii="宋体" w:hAnsi="宋体" w:eastAsia="宋体" w:cs="宋体"/>
          <w:sz w:val="24"/>
        </w:rPr>
        <w:t>一企一策</w:t>
      </w:r>
      <w:r>
        <w:rPr>
          <w:rFonts w:ascii="Times New Roman" w:hAnsi="Times New Roman" w:eastAsia="Times New Roman" w:cs="Times New Roman"/>
          <w:sz w:val="24"/>
        </w:rPr>
        <w:t>”</w:t>
      </w:r>
      <w:r>
        <w:rPr>
          <w:rFonts w:hint="eastAsia" w:ascii="宋体" w:hAnsi="宋体" w:eastAsia="宋体" w:cs="宋体"/>
          <w:sz w:val="24"/>
        </w:rPr>
        <w:t>培训方案与课件，解决企业个性化安全短板；面向刀剪行业企业内部管理人员与骨干员工，开展智助转训，通过标准化课程与数字化考核，实现工伤预防知识与技能在企业内部的高效传导，筑牢企业自主防控防线。</w:t>
      </w:r>
    </w:p>
    <w:p w14:paraId="24CF5F05">
      <w:pPr>
        <w:spacing w:before="80" w:after="80" w:line="360" w:lineRule="auto"/>
        <w:ind w:firstLine="482" w:firstLineChars="200"/>
        <w:rPr>
          <w:rFonts w:ascii="Times New Roman" w:hAnsi="Times New Roman" w:eastAsia="Times New Roman" w:cs="Times New Roman"/>
          <w:b/>
          <w:sz w:val="24"/>
        </w:rPr>
      </w:pPr>
      <w:r>
        <w:rPr>
          <w:rFonts w:hint="eastAsia" w:ascii="宋体" w:hAnsi="宋体" w:eastAsia="宋体" w:cs="宋体"/>
          <w:b/>
          <w:sz w:val="24"/>
        </w:rPr>
        <w:t>六</w:t>
      </w:r>
      <w:r>
        <w:rPr>
          <w:rFonts w:ascii="宋体" w:hAnsi="宋体" w:eastAsia="宋体" w:cs="宋体"/>
          <w:b/>
          <w:sz w:val="24"/>
        </w:rPr>
        <w:t>、</w:t>
      </w:r>
      <w:r>
        <w:rPr>
          <w:rFonts w:hint="eastAsia" w:ascii="宋体" w:hAnsi="宋体" w:eastAsia="宋体" w:cs="宋体"/>
          <w:b/>
          <w:sz w:val="24"/>
          <w:lang w:val="en-US" w:eastAsia="zh-CN"/>
        </w:rPr>
        <w:t>比选申请文件递交要求</w:t>
      </w:r>
      <w:bookmarkStart w:id="4" w:name="_GoBack"/>
      <w:bookmarkEnd w:id="4"/>
    </w:p>
    <w:p w14:paraId="6BC0F856">
      <w:pPr>
        <w:spacing w:before="80" w:after="80" w:line="360" w:lineRule="auto"/>
        <w:ind w:firstLine="482" w:firstLineChars="200"/>
        <w:rPr>
          <w:rFonts w:ascii="宋体" w:hAnsi="宋体" w:eastAsia="宋体" w:cs="宋体"/>
          <w:b w:val="0"/>
          <w:bCs/>
          <w:color w:val="auto"/>
          <w:sz w:val="24"/>
          <w:u w:val="none"/>
        </w:rPr>
      </w:pPr>
      <w:r>
        <w:rPr>
          <w:rFonts w:hint="eastAsia" w:ascii="宋体" w:hAnsi="宋体" w:eastAsia="宋体" w:cs="宋体"/>
          <w:b/>
          <w:bCs w:val="0"/>
          <w:color w:val="auto"/>
          <w:sz w:val="24"/>
          <w:lang w:val="en-US" w:eastAsia="zh-CN"/>
        </w:rPr>
        <w:t>1.递</w:t>
      </w:r>
      <w:r>
        <w:rPr>
          <w:rFonts w:hint="eastAsia" w:ascii="宋体" w:hAnsi="宋体" w:eastAsia="宋体" w:cs="宋体"/>
          <w:b/>
          <w:bCs w:val="0"/>
          <w:color w:val="auto"/>
          <w:sz w:val="24"/>
          <w:highlight w:val="none"/>
          <w:lang w:val="en-US" w:eastAsia="zh-CN"/>
        </w:rPr>
        <w:t>交</w:t>
      </w:r>
      <w:r>
        <w:rPr>
          <w:rFonts w:ascii="宋体" w:hAnsi="宋体" w:eastAsia="宋体" w:cs="宋体"/>
          <w:b/>
          <w:bCs w:val="0"/>
          <w:color w:val="auto"/>
          <w:sz w:val="24"/>
          <w:highlight w:val="none"/>
        </w:rPr>
        <w:t>截止</w:t>
      </w:r>
      <w:r>
        <w:rPr>
          <w:rFonts w:ascii="宋体" w:hAnsi="宋体" w:eastAsia="宋体" w:cs="宋体"/>
          <w:b/>
          <w:bCs w:val="0"/>
          <w:color w:val="auto"/>
          <w:sz w:val="24"/>
          <w:highlight w:val="none"/>
          <w:u w:val="none"/>
        </w:rPr>
        <w:t>时间：</w:t>
      </w:r>
      <w:r>
        <w:rPr>
          <w:rFonts w:ascii="宋体" w:hAnsi="宋体" w:eastAsia="宋体" w:cs="宋体"/>
          <w:b w:val="0"/>
          <w:bCs/>
          <w:color w:val="auto"/>
          <w:sz w:val="24"/>
          <w:highlight w:val="none"/>
          <w:u w:val="none"/>
        </w:rPr>
        <w:t>202</w:t>
      </w:r>
      <w:r>
        <w:rPr>
          <w:rFonts w:hint="eastAsia" w:ascii="宋体" w:hAnsi="宋体" w:eastAsia="宋体" w:cs="宋体"/>
          <w:b w:val="0"/>
          <w:bCs/>
          <w:color w:val="auto"/>
          <w:sz w:val="24"/>
          <w:highlight w:val="none"/>
          <w:u w:val="none"/>
        </w:rPr>
        <w:t>6</w:t>
      </w:r>
      <w:r>
        <w:rPr>
          <w:rFonts w:ascii="宋体" w:hAnsi="宋体" w:eastAsia="宋体" w:cs="宋体"/>
          <w:b w:val="0"/>
          <w:bCs/>
          <w:color w:val="auto"/>
          <w:sz w:val="24"/>
          <w:highlight w:val="none"/>
          <w:u w:val="none"/>
        </w:rPr>
        <w:t>年</w:t>
      </w:r>
      <w:r>
        <w:rPr>
          <w:rFonts w:hint="eastAsia" w:ascii="宋体" w:hAnsi="宋体" w:eastAsia="宋体" w:cs="宋体"/>
          <w:b w:val="0"/>
          <w:bCs/>
          <w:color w:val="auto"/>
          <w:sz w:val="24"/>
          <w:highlight w:val="none"/>
          <w:u w:val="none"/>
          <w:lang w:val="en-US" w:eastAsia="zh-CN"/>
        </w:rPr>
        <w:t>8</w:t>
      </w:r>
      <w:r>
        <w:rPr>
          <w:rFonts w:ascii="宋体" w:hAnsi="宋体" w:eastAsia="宋体" w:cs="宋体"/>
          <w:b w:val="0"/>
          <w:bCs/>
          <w:color w:val="auto"/>
          <w:sz w:val="24"/>
          <w:highlight w:val="none"/>
          <w:u w:val="none"/>
        </w:rPr>
        <w:t>月</w:t>
      </w:r>
      <w:r>
        <w:rPr>
          <w:rFonts w:hint="eastAsia" w:ascii="宋体" w:hAnsi="宋体" w:eastAsia="宋体" w:cs="宋体"/>
          <w:b w:val="0"/>
          <w:bCs/>
          <w:color w:val="auto"/>
          <w:sz w:val="24"/>
          <w:highlight w:val="none"/>
          <w:u w:val="none"/>
          <w:lang w:val="en-US" w:eastAsia="zh-CN"/>
        </w:rPr>
        <w:t>6</w:t>
      </w:r>
      <w:r>
        <w:rPr>
          <w:rFonts w:ascii="宋体" w:hAnsi="宋体" w:eastAsia="宋体" w:cs="宋体"/>
          <w:b w:val="0"/>
          <w:bCs/>
          <w:color w:val="auto"/>
          <w:sz w:val="24"/>
          <w:highlight w:val="none"/>
          <w:u w:val="none"/>
        </w:rPr>
        <w:t>日</w:t>
      </w:r>
      <w:r>
        <w:rPr>
          <w:rFonts w:hint="eastAsia" w:ascii="宋体" w:hAnsi="宋体" w:eastAsia="宋体" w:cs="宋体"/>
          <w:b w:val="0"/>
          <w:bCs/>
          <w:color w:val="auto"/>
          <w:sz w:val="24"/>
          <w:highlight w:val="none"/>
          <w:u w:val="none"/>
          <w:lang w:val="en-US" w:eastAsia="zh-CN"/>
        </w:rPr>
        <w:t>17:00</w:t>
      </w:r>
      <w:r>
        <w:rPr>
          <w:rFonts w:ascii="宋体" w:hAnsi="宋体" w:eastAsia="宋体" w:cs="宋体"/>
          <w:b w:val="0"/>
          <w:bCs/>
          <w:color w:val="auto"/>
          <w:sz w:val="24"/>
          <w:highlight w:val="none"/>
          <w:u w:val="none"/>
        </w:rPr>
        <w:t>（北京时间）</w:t>
      </w:r>
    </w:p>
    <w:p w14:paraId="33E0B986">
      <w:pPr>
        <w:spacing w:before="80" w:after="80" w:line="360" w:lineRule="auto"/>
        <w:ind w:firstLine="480" w:firstLineChars="200"/>
        <w:rPr>
          <w:rFonts w:ascii="宋体" w:hAnsi="宋体" w:eastAsia="宋体" w:cs="宋体"/>
          <w:b w:val="0"/>
          <w:bCs/>
          <w:color w:val="auto"/>
          <w:sz w:val="24"/>
          <w:u w:val="none"/>
        </w:rPr>
      </w:pPr>
      <w:r>
        <w:rPr>
          <w:rFonts w:hint="eastAsia" w:ascii="宋体" w:hAnsi="宋体" w:eastAsia="宋体" w:cs="宋体"/>
          <w:b w:val="0"/>
          <w:bCs/>
          <w:color w:val="auto"/>
          <w:sz w:val="24"/>
          <w:u w:val="none"/>
        </w:rPr>
        <w:t>注：逾期送达或未按要求密封的比选申请文件，</w:t>
      </w:r>
      <w:r>
        <w:rPr>
          <w:rFonts w:hint="eastAsia" w:ascii="宋体" w:hAnsi="宋体" w:eastAsia="宋体" w:cs="宋体"/>
          <w:b w:val="0"/>
          <w:bCs/>
          <w:color w:val="auto"/>
          <w:sz w:val="24"/>
          <w:u w:val="none"/>
          <w:lang w:val="en-US" w:eastAsia="zh-CN"/>
        </w:rPr>
        <w:t>比选</w:t>
      </w:r>
      <w:r>
        <w:rPr>
          <w:rFonts w:hint="eastAsia" w:ascii="宋体" w:hAnsi="宋体" w:eastAsia="宋体" w:cs="宋体"/>
          <w:b w:val="0"/>
          <w:bCs/>
          <w:color w:val="auto"/>
          <w:sz w:val="24"/>
          <w:u w:val="none"/>
        </w:rPr>
        <w:t>人将不予接收。</w:t>
      </w:r>
    </w:p>
    <w:p w14:paraId="4466F88F">
      <w:pPr>
        <w:spacing w:before="80" w:after="80" w:line="360" w:lineRule="auto"/>
        <w:ind w:firstLine="482" w:firstLineChars="200"/>
        <w:rPr>
          <w:rFonts w:hint="eastAsia" w:ascii="宋体" w:hAnsi="宋体" w:eastAsia="宋体" w:cs="宋体"/>
          <w:b w:val="0"/>
          <w:bCs/>
          <w:color w:val="FF0000"/>
          <w:sz w:val="24"/>
          <w:u w:val="none"/>
        </w:rPr>
      </w:pPr>
      <w:r>
        <w:rPr>
          <w:rFonts w:hint="eastAsia" w:ascii="宋体" w:hAnsi="宋体" w:eastAsia="宋体" w:cs="宋体"/>
          <w:b/>
          <w:bCs w:val="0"/>
          <w:color w:val="auto"/>
          <w:sz w:val="24"/>
          <w:u w:val="none"/>
          <w:lang w:val="en-US" w:eastAsia="zh-CN"/>
        </w:rPr>
        <w:t>2.现场递交/邮寄收件地址</w:t>
      </w:r>
      <w:r>
        <w:rPr>
          <w:rFonts w:ascii="宋体" w:hAnsi="宋体" w:eastAsia="宋体" w:cs="宋体"/>
          <w:b/>
          <w:bCs w:val="0"/>
          <w:color w:val="auto"/>
          <w:sz w:val="24"/>
          <w:u w:val="none"/>
        </w:rPr>
        <w:t>：</w:t>
      </w:r>
      <w:r>
        <w:rPr>
          <w:rFonts w:ascii="宋体" w:hAnsi="宋体" w:eastAsia="宋体" w:cs="宋体"/>
          <w:b w:val="0"/>
          <w:bCs/>
          <w:color w:val="auto"/>
          <w:sz w:val="24"/>
          <w:u w:val="none"/>
        </w:rPr>
        <w:t>阳江市人力资源和社会保障局</w:t>
      </w:r>
      <w:r>
        <w:rPr>
          <w:rFonts w:hint="eastAsia" w:ascii="宋体" w:hAnsi="宋体" w:eastAsia="宋体" w:cs="宋体"/>
          <w:b w:val="0"/>
          <w:bCs/>
          <w:color w:val="auto"/>
          <w:sz w:val="24"/>
          <w:u w:val="none"/>
        </w:rPr>
        <w:t>（</w:t>
      </w:r>
      <w:r>
        <w:rPr>
          <w:rFonts w:ascii="宋体" w:hAnsi="宋体" w:eastAsia="宋体" w:cs="宋体"/>
          <w:b w:val="0"/>
          <w:bCs/>
          <w:color w:val="auto"/>
          <w:sz w:val="24"/>
          <w:u w:val="none"/>
        </w:rPr>
        <w:t>广东省阳江市江城区二环路208号</w:t>
      </w:r>
      <w:r>
        <w:rPr>
          <w:rFonts w:hint="eastAsia" w:ascii="宋体" w:hAnsi="宋体" w:eastAsia="宋体" w:cs="宋体"/>
          <w:b w:val="0"/>
          <w:bCs/>
          <w:color w:val="auto"/>
          <w:sz w:val="24"/>
          <w:u w:val="none"/>
        </w:rPr>
        <w:t>）</w:t>
      </w:r>
    </w:p>
    <w:p w14:paraId="5904DDCB">
      <w:pPr>
        <w:spacing w:before="80" w:after="80" w:line="360" w:lineRule="auto"/>
        <w:ind w:firstLine="482" w:firstLineChars="200"/>
        <w:rPr>
          <w:rFonts w:hint="eastAsia" w:ascii="宋体" w:hAnsi="宋体" w:eastAsia="宋体" w:cs="宋体"/>
          <w:b/>
          <w:bCs w:val="0"/>
          <w:sz w:val="24"/>
          <w:lang w:val="en-US" w:eastAsia="zh-CN"/>
        </w:rPr>
      </w:pPr>
      <w:r>
        <w:rPr>
          <w:rFonts w:hint="eastAsia" w:ascii="宋体" w:hAnsi="宋体" w:eastAsia="宋体" w:cs="宋体"/>
          <w:b/>
          <w:bCs w:val="0"/>
          <w:sz w:val="24"/>
          <w:lang w:val="en-US" w:eastAsia="zh-CN"/>
        </w:rPr>
        <w:t>3.递交内容及要求：</w:t>
      </w:r>
    </w:p>
    <w:p w14:paraId="74259D30">
      <w:pPr>
        <w:spacing w:before="80" w:after="80" w:line="360" w:lineRule="auto"/>
        <w:ind w:firstLine="480" w:firstLineChars="200"/>
        <w:rPr>
          <w:rFonts w:hint="default" w:ascii="宋体" w:hAnsi="宋体" w:eastAsia="宋体" w:cs="宋体"/>
          <w:b w:val="0"/>
          <w:bCs/>
          <w:sz w:val="24"/>
          <w:lang w:val="en-US" w:eastAsia="zh-CN"/>
        </w:rPr>
      </w:pPr>
      <w:r>
        <w:rPr>
          <w:rFonts w:hint="default" w:ascii="宋体" w:hAnsi="宋体" w:eastAsia="宋体" w:cs="宋体"/>
          <w:b w:val="0"/>
          <w:bCs/>
          <w:sz w:val="24"/>
          <w:lang w:val="en-US" w:eastAsia="zh-CN"/>
        </w:rPr>
        <w:t>供应商须按以下要求准备比选申请文件：</w:t>
      </w:r>
    </w:p>
    <w:p w14:paraId="12D9FC88">
      <w:pPr>
        <w:spacing w:before="80" w:after="80" w:line="360" w:lineRule="auto"/>
        <w:ind w:firstLine="480" w:firstLineChars="200"/>
        <w:rPr>
          <w:rFonts w:hint="eastAsia" w:ascii="宋体" w:hAnsi="宋体" w:eastAsia="宋体" w:cs="宋体"/>
          <w:b w:val="0"/>
          <w:bCs/>
          <w:sz w:val="24"/>
          <w:lang w:eastAsia="zh-CN"/>
        </w:rPr>
      </w:pPr>
      <w:r>
        <w:rPr>
          <w:rFonts w:hint="eastAsia" w:ascii="宋体" w:hAnsi="宋体" w:eastAsia="宋体" w:cs="宋体"/>
          <w:b w:val="0"/>
          <w:bCs/>
          <w:sz w:val="24"/>
          <w:lang w:eastAsia="zh-CN"/>
        </w:rPr>
        <w:t>（</w:t>
      </w:r>
      <w:r>
        <w:rPr>
          <w:rFonts w:hint="eastAsia" w:ascii="宋体" w:hAnsi="宋体" w:eastAsia="宋体" w:cs="宋体"/>
          <w:b w:val="0"/>
          <w:bCs/>
          <w:sz w:val="24"/>
          <w:lang w:val="en-US" w:eastAsia="zh-CN"/>
        </w:rPr>
        <w:t>1</w:t>
      </w:r>
      <w:r>
        <w:rPr>
          <w:rFonts w:hint="eastAsia" w:ascii="宋体" w:hAnsi="宋体" w:eastAsia="宋体" w:cs="宋体"/>
          <w:b w:val="0"/>
          <w:bCs/>
          <w:sz w:val="24"/>
          <w:lang w:eastAsia="zh-CN"/>
        </w:rPr>
        <w:t>）</w:t>
      </w:r>
      <w:r>
        <w:rPr>
          <w:rFonts w:hint="eastAsia" w:ascii="宋体" w:hAnsi="宋体" w:eastAsia="宋体" w:cs="宋体"/>
          <w:b w:val="0"/>
          <w:bCs/>
          <w:sz w:val="24"/>
        </w:rPr>
        <w:t>资格要求证明材料</w:t>
      </w:r>
      <w:r>
        <w:rPr>
          <w:rFonts w:hint="eastAsia" w:ascii="宋体" w:hAnsi="宋体" w:eastAsia="宋体" w:cs="宋体"/>
          <w:b w:val="0"/>
          <w:bCs/>
          <w:sz w:val="24"/>
          <w:lang w:eastAsia="zh-CN"/>
        </w:rPr>
        <w:t>；</w:t>
      </w:r>
    </w:p>
    <w:p w14:paraId="787B7F4D">
      <w:pPr>
        <w:spacing w:before="80" w:after="80" w:line="360" w:lineRule="auto"/>
        <w:ind w:firstLine="480" w:firstLineChars="200"/>
        <w:rPr>
          <w:rFonts w:hint="eastAsia" w:ascii="宋体" w:hAnsi="宋体" w:eastAsia="宋体" w:cs="宋体"/>
          <w:b w:val="0"/>
          <w:bCs/>
          <w:sz w:val="24"/>
          <w:lang w:eastAsia="zh-CN"/>
        </w:rPr>
      </w:pPr>
      <w:r>
        <w:rPr>
          <w:rFonts w:hint="eastAsia" w:ascii="宋体" w:hAnsi="宋体" w:eastAsia="宋体" w:cs="宋体"/>
          <w:b w:val="0"/>
          <w:bCs/>
          <w:sz w:val="24"/>
          <w:lang w:eastAsia="zh-CN"/>
        </w:rPr>
        <w:t>（</w:t>
      </w:r>
      <w:r>
        <w:rPr>
          <w:rFonts w:hint="eastAsia" w:ascii="宋体" w:hAnsi="宋体" w:eastAsia="宋体" w:cs="宋体"/>
          <w:b w:val="0"/>
          <w:bCs/>
          <w:sz w:val="24"/>
          <w:lang w:val="en-US" w:eastAsia="zh-CN"/>
        </w:rPr>
        <w:t>2</w:t>
      </w:r>
      <w:r>
        <w:rPr>
          <w:rFonts w:hint="eastAsia" w:ascii="宋体" w:hAnsi="宋体" w:eastAsia="宋体" w:cs="宋体"/>
          <w:b w:val="0"/>
          <w:bCs/>
          <w:sz w:val="24"/>
          <w:lang w:eastAsia="zh-CN"/>
        </w:rPr>
        <w:t>）</w:t>
      </w:r>
      <w:r>
        <w:rPr>
          <w:rFonts w:hint="eastAsia" w:ascii="宋体" w:hAnsi="宋体" w:eastAsia="宋体" w:cs="宋体"/>
          <w:b w:val="0"/>
          <w:bCs/>
          <w:sz w:val="24"/>
          <w:lang w:val="en-US" w:eastAsia="zh-CN"/>
        </w:rPr>
        <w:t>针对本项目的</w:t>
      </w:r>
      <w:r>
        <w:rPr>
          <w:rFonts w:hint="eastAsia" w:ascii="宋体" w:hAnsi="宋体" w:eastAsia="宋体" w:cs="宋体"/>
          <w:b w:val="0"/>
          <w:bCs/>
          <w:sz w:val="24"/>
        </w:rPr>
        <w:t>报价材料</w:t>
      </w:r>
      <w:r>
        <w:rPr>
          <w:rFonts w:hint="eastAsia" w:ascii="宋体" w:hAnsi="宋体" w:eastAsia="宋体" w:cs="宋体"/>
          <w:b w:val="0"/>
          <w:bCs/>
          <w:sz w:val="24"/>
          <w:lang w:eastAsia="zh-CN"/>
        </w:rPr>
        <w:t>；</w:t>
      </w:r>
    </w:p>
    <w:p w14:paraId="4D90C5CF">
      <w:pPr>
        <w:spacing w:before="80" w:after="80" w:line="360" w:lineRule="auto"/>
        <w:ind w:firstLine="480" w:firstLineChars="200"/>
        <w:rPr>
          <w:rFonts w:hint="eastAsia" w:ascii="宋体" w:hAnsi="宋体" w:eastAsia="宋体" w:cs="宋体"/>
          <w:b w:val="0"/>
          <w:bCs/>
          <w:sz w:val="24"/>
          <w:lang w:eastAsia="zh-CN"/>
        </w:rPr>
      </w:pPr>
      <w:r>
        <w:rPr>
          <w:rFonts w:hint="eastAsia" w:ascii="宋体" w:hAnsi="宋体" w:eastAsia="宋体" w:cs="宋体"/>
          <w:b w:val="0"/>
          <w:bCs/>
          <w:sz w:val="24"/>
          <w:lang w:val="en-US" w:eastAsia="zh-CN"/>
        </w:rPr>
        <w:t>（3）针对评分标准内容准备的</w:t>
      </w:r>
      <w:r>
        <w:rPr>
          <w:rFonts w:hint="eastAsia" w:ascii="宋体" w:hAnsi="宋体" w:eastAsia="宋体" w:cs="宋体"/>
          <w:b w:val="0"/>
          <w:bCs/>
          <w:sz w:val="24"/>
        </w:rPr>
        <w:t>材料等</w:t>
      </w:r>
      <w:r>
        <w:rPr>
          <w:rFonts w:hint="eastAsia" w:ascii="宋体" w:hAnsi="宋体" w:eastAsia="宋体" w:cs="宋体"/>
          <w:b w:val="0"/>
          <w:bCs/>
          <w:sz w:val="24"/>
          <w:lang w:eastAsia="zh-CN"/>
        </w:rPr>
        <w:t>。</w:t>
      </w:r>
    </w:p>
    <w:p w14:paraId="51989B09">
      <w:pPr>
        <w:spacing w:before="80" w:after="80" w:line="360" w:lineRule="auto"/>
        <w:ind w:firstLine="482" w:firstLineChars="200"/>
        <w:rPr>
          <w:rFonts w:hint="eastAsia" w:ascii="宋体" w:hAnsi="宋体" w:eastAsia="宋体" w:cs="宋体"/>
          <w:b/>
          <w:bCs w:val="0"/>
          <w:sz w:val="24"/>
          <w:lang w:val="en-US" w:eastAsia="zh-CN"/>
        </w:rPr>
      </w:pPr>
      <w:r>
        <w:rPr>
          <w:rFonts w:hint="eastAsia" w:ascii="宋体" w:hAnsi="宋体" w:eastAsia="宋体" w:cs="宋体"/>
          <w:b/>
          <w:bCs w:val="0"/>
          <w:sz w:val="24"/>
          <w:lang w:val="en-US" w:eastAsia="zh-CN"/>
        </w:rPr>
        <w:t>4.文件编制与密封规范：</w:t>
      </w:r>
    </w:p>
    <w:p w14:paraId="33B71F2D">
      <w:pPr>
        <w:spacing w:before="80" w:after="80" w:line="360" w:lineRule="auto"/>
        <w:ind w:firstLine="480" w:firstLineChars="200"/>
        <w:rPr>
          <w:rFonts w:hint="eastAsia" w:ascii="宋体" w:hAnsi="宋体" w:eastAsia="宋体" w:cs="宋体"/>
          <w:b w:val="0"/>
          <w:bCs/>
          <w:sz w:val="24"/>
        </w:rPr>
      </w:pPr>
      <w:r>
        <w:rPr>
          <w:rFonts w:hint="eastAsia" w:ascii="宋体" w:hAnsi="宋体" w:eastAsia="宋体" w:cs="宋体"/>
          <w:b w:val="0"/>
          <w:bCs/>
          <w:sz w:val="24"/>
          <w:lang w:val="en-US" w:eastAsia="zh-CN"/>
        </w:rPr>
        <w:t>比选申请文件需准备一正两副。需密封</w:t>
      </w:r>
      <w:r>
        <w:rPr>
          <w:rFonts w:ascii="宋体" w:hAnsi="宋体" w:eastAsia="宋体" w:cs="宋体"/>
          <w:b w:val="0"/>
          <w:bCs/>
          <w:sz w:val="24"/>
        </w:rPr>
        <w:t>并加盖公章，</w:t>
      </w:r>
      <w:r>
        <w:rPr>
          <w:rFonts w:hint="eastAsia" w:ascii="宋体" w:hAnsi="宋体" w:eastAsia="宋体" w:cs="宋体"/>
          <w:b w:val="0"/>
          <w:bCs/>
          <w:sz w:val="24"/>
        </w:rPr>
        <w:t>否则将直接作为无效响应处理。</w:t>
      </w:r>
    </w:p>
    <w:p w14:paraId="2D4D9248">
      <w:pPr>
        <w:spacing w:before="80" w:after="80" w:line="360" w:lineRule="auto"/>
        <w:ind w:firstLine="482" w:firstLineChars="200"/>
        <w:jc w:val="left"/>
        <w:rPr>
          <w:rFonts w:hint="eastAsia" w:ascii="宋体" w:hAnsi="宋体" w:eastAsia="宋体" w:cs="宋体"/>
          <w:b/>
          <w:bCs w:val="0"/>
          <w:sz w:val="24"/>
          <w:lang w:val="en-US" w:eastAsia="zh-CN"/>
        </w:rPr>
      </w:pPr>
      <w:r>
        <w:rPr>
          <w:rFonts w:hint="eastAsia" w:ascii="宋体" w:hAnsi="宋体" w:eastAsia="宋体" w:cs="宋体"/>
          <w:b/>
          <w:bCs w:val="0"/>
          <w:sz w:val="24"/>
          <w:lang w:val="en-US" w:eastAsia="zh-CN"/>
        </w:rPr>
        <w:t>5.报价要求：</w:t>
      </w:r>
    </w:p>
    <w:p w14:paraId="5EB75AAE">
      <w:pPr>
        <w:spacing w:before="80" w:after="80" w:line="360" w:lineRule="auto"/>
        <w:ind w:firstLine="480" w:firstLineChars="200"/>
        <w:rPr>
          <w:rFonts w:hint="eastAsia" w:ascii="宋体" w:hAnsi="宋体" w:eastAsia="宋体" w:cs="宋体"/>
          <w:sz w:val="24"/>
        </w:rPr>
      </w:pPr>
      <w:r>
        <w:rPr>
          <w:rFonts w:hint="eastAsia" w:ascii="宋体" w:hAnsi="宋体" w:eastAsia="宋体" w:cs="宋体"/>
          <w:b w:val="0"/>
          <w:bCs/>
          <w:sz w:val="24"/>
        </w:rPr>
        <w:t>供应商的报价不得超出本项目预算金额，否则将直接作为无效响应处理。</w:t>
      </w:r>
    </w:p>
    <w:p w14:paraId="204AD87A">
      <w:pPr>
        <w:spacing w:before="80" w:after="80" w:line="360" w:lineRule="auto"/>
        <w:ind w:firstLine="482" w:firstLineChars="200"/>
        <w:rPr>
          <w:rFonts w:hint="eastAsia" w:ascii="宋体" w:hAnsi="宋体" w:eastAsia="宋体" w:cs="宋体"/>
          <w:b/>
          <w:sz w:val="24"/>
        </w:rPr>
      </w:pPr>
      <w:r>
        <w:rPr>
          <w:rFonts w:hint="eastAsia" w:ascii="宋体" w:hAnsi="宋体" w:eastAsia="宋体" w:cs="宋体"/>
          <w:b/>
          <w:sz w:val="24"/>
          <w:lang w:val="en-US" w:eastAsia="zh-CN"/>
        </w:rPr>
        <w:t>七</w:t>
      </w:r>
      <w:r>
        <w:rPr>
          <w:rFonts w:hint="eastAsia" w:ascii="宋体" w:hAnsi="宋体" w:eastAsia="宋体" w:cs="宋体"/>
          <w:b/>
          <w:sz w:val="24"/>
        </w:rPr>
        <w:t>、评分标准</w:t>
      </w:r>
    </w:p>
    <w:p w14:paraId="02423FDA">
      <w:pPr>
        <w:spacing w:before="80" w:after="80" w:line="360" w:lineRule="auto"/>
        <w:ind w:firstLine="482" w:firstLineChars="200"/>
        <w:rPr>
          <w:rFonts w:hint="eastAsia" w:ascii="宋体" w:hAnsi="宋体" w:eastAsia="宋体" w:cs="宋体"/>
          <w:b/>
          <w:sz w:val="24"/>
        </w:rPr>
      </w:pPr>
      <w:r>
        <w:rPr>
          <w:rFonts w:hint="eastAsia" w:ascii="宋体" w:hAnsi="宋体" w:eastAsia="宋体" w:cs="宋体"/>
          <w:b/>
          <w:sz w:val="24"/>
        </w:rPr>
        <w:t>本项目采用综合评分法，综合评分最高的作为中选人。</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6"/>
        <w:gridCol w:w="1507"/>
        <w:gridCol w:w="1217"/>
        <w:gridCol w:w="5986"/>
      </w:tblGrid>
      <w:tr w14:paraId="4E50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 w:type="pct"/>
            <w:vAlign w:val="center"/>
          </w:tcPr>
          <w:p w14:paraId="2FE35217">
            <w:pPr>
              <w:snapToGrid w:val="0"/>
              <w:spacing w:line="360" w:lineRule="auto"/>
              <w:jc w:val="center"/>
              <w:rPr>
                <w:b/>
                <w:bCs/>
                <w:szCs w:val="21"/>
              </w:rPr>
            </w:pPr>
            <w:bookmarkStart w:id="2" w:name="OLE_LINK3"/>
            <w:r>
              <w:rPr>
                <w:rFonts w:hint="eastAsia"/>
                <w:b/>
                <w:bCs/>
                <w:szCs w:val="21"/>
              </w:rPr>
              <w:t>序号</w:t>
            </w:r>
          </w:p>
        </w:tc>
        <w:tc>
          <w:tcPr>
            <w:tcW w:w="774" w:type="pct"/>
            <w:vAlign w:val="center"/>
          </w:tcPr>
          <w:p w14:paraId="3ED1063C">
            <w:pPr>
              <w:snapToGrid w:val="0"/>
              <w:spacing w:line="360" w:lineRule="auto"/>
              <w:jc w:val="center"/>
              <w:rPr>
                <w:b/>
                <w:bCs/>
                <w:szCs w:val="21"/>
              </w:rPr>
            </w:pPr>
            <w:r>
              <w:rPr>
                <w:rFonts w:hint="eastAsia"/>
                <w:b/>
                <w:bCs/>
                <w:szCs w:val="21"/>
              </w:rPr>
              <w:t>评标因素</w:t>
            </w:r>
          </w:p>
        </w:tc>
        <w:tc>
          <w:tcPr>
            <w:tcW w:w="625" w:type="pct"/>
            <w:vAlign w:val="center"/>
          </w:tcPr>
          <w:p w14:paraId="73E90961">
            <w:pPr>
              <w:snapToGrid w:val="0"/>
              <w:spacing w:line="360" w:lineRule="auto"/>
              <w:jc w:val="center"/>
              <w:rPr>
                <w:b/>
                <w:bCs/>
                <w:szCs w:val="21"/>
              </w:rPr>
            </w:pPr>
            <w:r>
              <w:rPr>
                <w:rFonts w:hint="eastAsia"/>
                <w:b/>
                <w:bCs/>
                <w:szCs w:val="21"/>
              </w:rPr>
              <w:t>分值</w:t>
            </w:r>
          </w:p>
        </w:tc>
        <w:tc>
          <w:tcPr>
            <w:tcW w:w="3074" w:type="pct"/>
            <w:vAlign w:val="center"/>
          </w:tcPr>
          <w:p w14:paraId="4E19C96B">
            <w:pPr>
              <w:snapToGrid w:val="0"/>
              <w:spacing w:line="360" w:lineRule="auto"/>
              <w:jc w:val="center"/>
              <w:rPr>
                <w:b/>
                <w:bCs/>
                <w:szCs w:val="21"/>
              </w:rPr>
            </w:pPr>
            <w:r>
              <w:rPr>
                <w:rFonts w:hint="eastAsia"/>
                <w:b/>
                <w:bCs/>
                <w:szCs w:val="21"/>
              </w:rPr>
              <w:t>评审细则</w:t>
            </w:r>
          </w:p>
        </w:tc>
      </w:tr>
      <w:tr w14:paraId="6528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 w:type="pct"/>
            <w:vAlign w:val="center"/>
          </w:tcPr>
          <w:p w14:paraId="146259ED">
            <w:pPr>
              <w:snapToGrid w:val="0"/>
              <w:spacing w:line="360" w:lineRule="auto"/>
              <w:jc w:val="center"/>
              <w:rPr>
                <w:szCs w:val="21"/>
              </w:rPr>
            </w:pPr>
            <w:r>
              <w:rPr>
                <w:rFonts w:hint="eastAsia"/>
                <w:szCs w:val="21"/>
              </w:rPr>
              <w:t>1</w:t>
            </w:r>
          </w:p>
        </w:tc>
        <w:tc>
          <w:tcPr>
            <w:tcW w:w="774" w:type="pct"/>
            <w:vAlign w:val="center"/>
          </w:tcPr>
          <w:p w14:paraId="1C208E39">
            <w:pPr>
              <w:snapToGrid w:val="0"/>
              <w:spacing w:line="360" w:lineRule="auto"/>
              <w:jc w:val="center"/>
              <w:rPr>
                <w:szCs w:val="21"/>
              </w:rPr>
            </w:pPr>
            <w:r>
              <w:rPr>
                <w:rFonts w:hint="eastAsia"/>
                <w:szCs w:val="21"/>
              </w:rPr>
              <w:t>价格分（满分10分）</w:t>
            </w:r>
          </w:p>
        </w:tc>
        <w:tc>
          <w:tcPr>
            <w:tcW w:w="625" w:type="pct"/>
            <w:vAlign w:val="center"/>
          </w:tcPr>
          <w:p w14:paraId="27FCF23B">
            <w:pPr>
              <w:snapToGrid w:val="0"/>
              <w:spacing w:line="360" w:lineRule="auto"/>
              <w:jc w:val="center"/>
              <w:rPr>
                <w:szCs w:val="21"/>
              </w:rPr>
            </w:pPr>
            <w:r>
              <w:rPr>
                <w:rFonts w:hint="eastAsia"/>
                <w:szCs w:val="21"/>
              </w:rPr>
              <w:t>报价（10）</w:t>
            </w:r>
          </w:p>
        </w:tc>
        <w:tc>
          <w:tcPr>
            <w:tcW w:w="3074" w:type="pct"/>
            <w:vAlign w:val="center"/>
          </w:tcPr>
          <w:p w14:paraId="2DE58CE3">
            <w:pPr>
              <w:snapToGrid w:val="0"/>
              <w:spacing w:line="360" w:lineRule="auto"/>
              <w:rPr>
                <w:szCs w:val="21"/>
              </w:rPr>
            </w:pPr>
            <w:r>
              <w:rPr>
                <w:rFonts w:hint="eastAsia"/>
                <w:szCs w:val="21"/>
              </w:rPr>
              <w:t>报价得分＝（评标基准价/报价）×10。</w:t>
            </w:r>
          </w:p>
          <w:p w14:paraId="5A5AB6EE">
            <w:pPr>
              <w:snapToGrid w:val="0"/>
              <w:spacing w:line="360" w:lineRule="auto"/>
              <w:rPr>
                <w:szCs w:val="21"/>
              </w:rPr>
            </w:pPr>
            <w:r>
              <w:rPr>
                <w:rFonts w:hint="eastAsia"/>
                <w:szCs w:val="21"/>
              </w:rPr>
              <w:t>满足招标文件商务及技术要求且价格最低为评标基准价，其价格分为满分。</w:t>
            </w:r>
          </w:p>
        </w:tc>
      </w:tr>
      <w:tr w14:paraId="4A57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 w:type="pct"/>
            <w:vMerge w:val="restart"/>
            <w:vAlign w:val="center"/>
          </w:tcPr>
          <w:p w14:paraId="666DCD09">
            <w:pPr>
              <w:snapToGrid w:val="0"/>
              <w:spacing w:line="360" w:lineRule="auto"/>
              <w:jc w:val="center"/>
              <w:rPr>
                <w:szCs w:val="21"/>
              </w:rPr>
            </w:pPr>
            <w:r>
              <w:rPr>
                <w:rFonts w:hint="eastAsia"/>
                <w:szCs w:val="21"/>
              </w:rPr>
              <w:t>2</w:t>
            </w:r>
          </w:p>
        </w:tc>
        <w:tc>
          <w:tcPr>
            <w:tcW w:w="774" w:type="pct"/>
            <w:vMerge w:val="restart"/>
            <w:vAlign w:val="center"/>
          </w:tcPr>
          <w:p w14:paraId="1D5FB600">
            <w:pPr>
              <w:snapToGrid w:val="0"/>
              <w:spacing w:line="360" w:lineRule="auto"/>
              <w:jc w:val="center"/>
              <w:rPr>
                <w:szCs w:val="21"/>
              </w:rPr>
            </w:pPr>
            <w:r>
              <w:rPr>
                <w:rFonts w:hint="eastAsia"/>
                <w:szCs w:val="21"/>
              </w:rPr>
              <w:t>商务分（满分40分）</w:t>
            </w:r>
          </w:p>
        </w:tc>
        <w:tc>
          <w:tcPr>
            <w:tcW w:w="625" w:type="pct"/>
            <w:vAlign w:val="center"/>
          </w:tcPr>
          <w:p w14:paraId="7BD5EEC5">
            <w:pPr>
              <w:snapToGrid w:val="0"/>
              <w:spacing w:line="360" w:lineRule="auto"/>
              <w:jc w:val="center"/>
              <w:rPr>
                <w:szCs w:val="21"/>
              </w:rPr>
            </w:pPr>
            <w:r>
              <w:rPr>
                <w:rFonts w:hint="eastAsia"/>
                <w:szCs w:val="21"/>
              </w:rPr>
              <w:t>服务人员配置保障（20）</w:t>
            </w:r>
          </w:p>
        </w:tc>
        <w:tc>
          <w:tcPr>
            <w:tcW w:w="3074" w:type="pct"/>
            <w:vAlign w:val="center"/>
          </w:tcPr>
          <w:p w14:paraId="5935F46D">
            <w:pPr>
              <w:snapToGrid w:val="0"/>
              <w:spacing w:line="360" w:lineRule="auto"/>
              <w:rPr>
                <w:szCs w:val="21"/>
              </w:rPr>
            </w:pPr>
            <w:r>
              <w:rPr>
                <w:rFonts w:hint="eastAsia"/>
                <w:szCs w:val="21"/>
              </w:rPr>
              <w:t>1、本项目的服务团队要求</w:t>
            </w:r>
          </w:p>
          <w:p w14:paraId="05EED2FE">
            <w:pPr>
              <w:snapToGrid w:val="0"/>
              <w:spacing w:line="360" w:lineRule="auto"/>
              <w:rPr>
                <w:szCs w:val="21"/>
              </w:rPr>
            </w:pPr>
            <w:r>
              <w:rPr>
                <w:rFonts w:hint="eastAsia"/>
                <w:szCs w:val="21"/>
              </w:rPr>
              <w:t>①投标人拟配置针对本项目的项目负责人具有注册安全工程师的得1分，具有安全评价师的得1分，最多得2分。</w:t>
            </w:r>
          </w:p>
          <w:p w14:paraId="36210223">
            <w:pPr>
              <w:snapToGrid w:val="0"/>
              <w:spacing w:line="360" w:lineRule="auto"/>
              <w:rPr>
                <w:szCs w:val="21"/>
              </w:rPr>
            </w:pPr>
            <w:r>
              <w:rPr>
                <w:rFonts w:hint="eastAsia"/>
                <w:szCs w:val="21"/>
              </w:rPr>
              <w:t>②投标人配置针对本项目的服务团队中（项目负责人除外），</w:t>
            </w:r>
          </w:p>
          <w:p w14:paraId="2B5BC478">
            <w:pPr>
              <w:snapToGrid w:val="0"/>
              <w:spacing w:line="360" w:lineRule="auto"/>
              <w:rPr>
                <w:szCs w:val="21"/>
              </w:rPr>
            </w:pPr>
            <w:r>
              <w:rPr>
                <w:rFonts w:hint="eastAsia"/>
                <w:szCs w:val="21"/>
              </w:rPr>
              <w:t>每有一个具有注册安全工程师的得1分，最多得4分。</w:t>
            </w:r>
          </w:p>
          <w:p w14:paraId="7A8CFB91">
            <w:pPr>
              <w:snapToGrid w:val="0"/>
              <w:spacing w:line="360" w:lineRule="auto"/>
              <w:rPr>
                <w:szCs w:val="21"/>
              </w:rPr>
            </w:pPr>
            <w:r>
              <w:rPr>
                <w:rFonts w:hint="eastAsia"/>
                <w:szCs w:val="21"/>
              </w:rPr>
              <w:t>③投标人配置针对本项目的服务团队中（项目负责人除外），每有一个具有安全评价师的得1分，最多得3分。</w:t>
            </w:r>
          </w:p>
          <w:p w14:paraId="0D9BF0ED">
            <w:pPr>
              <w:snapToGrid w:val="0"/>
              <w:spacing w:line="360" w:lineRule="auto"/>
              <w:rPr>
                <w:szCs w:val="21"/>
              </w:rPr>
            </w:pPr>
            <w:r>
              <w:rPr>
                <w:rFonts w:hint="eastAsia"/>
                <w:szCs w:val="21"/>
              </w:rPr>
              <w:t>④投标人配置针对本项目的服务团队中（项目负责人除外），具有人力资源管理师得0.5分，具有心理健康指导师或心理健康管理师得0.5分，具有全国广播电视编辑记者证的得0.5分，具有新闻采编人员资格证书的得0.5分，最多得2分。</w:t>
            </w:r>
          </w:p>
          <w:p w14:paraId="32766254">
            <w:pPr>
              <w:snapToGrid w:val="0"/>
              <w:spacing w:line="360" w:lineRule="auto"/>
              <w:rPr>
                <w:b/>
                <w:bCs/>
                <w:szCs w:val="21"/>
              </w:rPr>
            </w:pPr>
            <w:r>
              <w:rPr>
                <w:rFonts w:hint="eastAsia"/>
                <w:b/>
                <w:bCs/>
                <w:szCs w:val="21"/>
              </w:rPr>
              <w:t>注：</w:t>
            </w:r>
          </w:p>
          <w:p w14:paraId="02A70D22">
            <w:pPr>
              <w:snapToGrid w:val="0"/>
              <w:spacing w:line="360" w:lineRule="auto"/>
              <w:rPr>
                <w:b/>
                <w:bCs/>
                <w:szCs w:val="21"/>
              </w:rPr>
            </w:pPr>
            <w:r>
              <w:rPr>
                <w:rFonts w:hint="eastAsia"/>
                <w:b/>
                <w:bCs/>
                <w:szCs w:val="21"/>
              </w:rPr>
              <w:t>（1）需提供以上人员相关证书复印件和与投标人签订的劳动合同，不提供的不得分；</w:t>
            </w:r>
          </w:p>
          <w:p w14:paraId="2EB32B48">
            <w:pPr>
              <w:snapToGrid w:val="0"/>
              <w:spacing w:line="360" w:lineRule="auto"/>
              <w:rPr>
                <w:b/>
                <w:bCs/>
                <w:szCs w:val="21"/>
              </w:rPr>
            </w:pPr>
            <w:r>
              <w:rPr>
                <w:rFonts w:hint="eastAsia"/>
                <w:b/>
                <w:bCs/>
                <w:szCs w:val="21"/>
              </w:rPr>
              <w:t>（2）以上人员（项目负责人除外）具有两个及以上证书的不重复得分，持有多证的仅按照评分条款顺序计取第一项评分。</w:t>
            </w:r>
          </w:p>
          <w:p w14:paraId="2A9035E2">
            <w:pPr>
              <w:snapToGrid w:val="0"/>
              <w:spacing w:line="360" w:lineRule="auto"/>
              <w:rPr>
                <w:szCs w:val="21"/>
              </w:rPr>
            </w:pPr>
            <w:r>
              <w:rPr>
                <w:rFonts w:hint="eastAsia"/>
                <w:szCs w:val="21"/>
              </w:rPr>
              <w:t>2、师资力量储备要求</w:t>
            </w:r>
          </w:p>
          <w:p w14:paraId="796FF8F0">
            <w:pPr>
              <w:snapToGrid w:val="0"/>
              <w:spacing w:line="360" w:lineRule="auto"/>
              <w:rPr>
                <w:szCs w:val="21"/>
              </w:rPr>
            </w:pPr>
            <w:r>
              <w:rPr>
                <w:rFonts w:hint="eastAsia"/>
                <w:szCs w:val="21"/>
              </w:rPr>
              <w:t>①投标人具备保障本项目服务质量的师资力量，储备的师资团队中具备高级职称的，每有一人得1分，此项最多得6分。</w:t>
            </w:r>
          </w:p>
          <w:p w14:paraId="57AE0739">
            <w:pPr>
              <w:snapToGrid w:val="0"/>
              <w:spacing w:line="360" w:lineRule="auto"/>
              <w:rPr>
                <w:szCs w:val="21"/>
              </w:rPr>
            </w:pPr>
            <w:r>
              <w:rPr>
                <w:rFonts w:hint="eastAsia"/>
                <w:b/>
                <w:bCs/>
                <w:szCs w:val="21"/>
              </w:rPr>
              <w:t>注：以上师资人员须提供有效的证书复印件以及劳动合同或聘用协议复印件予以佐证，否则不予认定。</w:t>
            </w:r>
          </w:p>
        </w:tc>
      </w:tr>
      <w:tr w14:paraId="093F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 w:type="pct"/>
            <w:vMerge w:val="continue"/>
            <w:vAlign w:val="center"/>
          </w:tcPr>
          <w:p w14:paraId="2A82200D">
            <w:pPr>
              <w:snapToGrid w:val="0"/>
              <w:spacing w:line="360" w:lineRule="auto"/>
              <w:jc w:val="center"/>
              <w:rPr>
                <w:szCs w:val="21"/>
              </w:rPr>
            </w:pPr>
          </w:p>
        </w:tc>
        <w:tc>
          <w:tcPr>
            <w:tcW w:w="774" w:type="pct"/>
            <w:vMerge w:val="continue"/>
            <w:vAlign w:val="center"/>
          </w:tcPr>
          <w:p w14:paraId="5D14563B">
            <w:pPr>
              <w:snapToGrid w:val="0"/>
              <w:spacing w:line="360" w:lineRule="auto"/>
              <w:jc w:val="center"/>
              <w:rPr>
                <w:szCs w:val="21"/>
              </w:rPr>
            </w:pPr>
          </w:p>
        </w:tc>
        <w:tc>
          <w:tcPr>
            <w:tcW w:w="625" w:type="pct"/>
            <w:vAlign w:val="center"/>
          </w:tcPr>
          <w:p w14:paraId="703D0885">
            <w:pPr>
              <w:snapToGrid w:val="0"/>
              <w:spacing w:line="360" w:lineRule="auto"/>
              <w:jc w:val="center"/>
              <w:rPr>
                <w:szCs w:val="21"/>
              </w:rPr>
            </w:pPr>
            <w:r>
              <w:rPr>
                <w:rFonts w:hint="eastAsia"/>
                <w:szCs w:val="21"/>
              </w:rPr>
              <w:t>课程保障（10）</w:t>
            </w:r>
          </w:p>
        </w:tc>
        <w:tc>
          <w:tcPr>
            <w:tcW w:w="3074" w:type="pct"/>
            <w:vAlign w:val="center"/>
          </w:tcPr>
          <w:p w14:paraId="707CD684">
            <w:pPr>
              <w:snapToGrid w:val="0"/>
              <w:spacing w:line="360" w:lineRule="auto"/>
              <w:rPr>
                <w:szCs w:val="21"/>
              </w:rPr>
            </w:pPr>
            <w:r>
              <w:rPr>
                <w:rFonts w:hint="eastAsia"/>
                <w:szCs w:val="21"/>
              </w:rPr>
              <w:t>1.投标人具有符合大纲要求的数字培训课程，培训课程无知识产权争议，无违法违规内容。</w:t>
            </w:r>
          </w:p>
          <w:p w14:paraId="78770C3E">
            <w:pPr>
              <w:snapToGrid w:val="0"/>
              <w:spacing w:line="360" w:lineRule="auto"/>
              <w:rPr>
                <w:szCs w:val="21"/>
              </w:rPr>
            </w:pPr>
            <w:r>
              <w:rPr>
                <w:rFonts w:hint="eastAsia"/>
                <w:szCs w:val="21"/>
              </w:rPr>
              <w:t>①投标人具有符合机械制造行业相关的培训课程，每有一个课程材料获得作品登记证书的得1分，最高得5分；</w:t>
            </w:r>
          </w:p>
          <w:p w14:paraId="2D41BCC3">
            <w:pPr>
              <w:snapToGrid w:val="0"/>
              <w:spacing w:line="360" w:lineRule="auto"/>
              <w:rPr>
                <w:szCs w:val="21"/>
              </w:rPr>
            </w:pPr>
            <w:r>
              <w:rPr>
                <w:rFonts w:hint="eastAsia"/>
                <w:szCs w:val="21"/>
              </w:rPr>
              <w:t>②投标人具有符合职业病或职业健康行业相关的培训课程，每有一个课程材料获得作品登记证书的得1分，最高得5分。</w:t>
            </w:r>
          </w:p>
          <w:p w14:paraId="4DF348E0">
            <w:pPr>
              <w:snapToGrid w:val="0"/>
              <w:spacing w:line="360" w:lineRule="auto"/>
              <w:rPr>
                <w:szCs w:val="21"/>
              </w:rPr>
            </w:pPr>
            <w:r>
              <w:rPr>
                <w:rFonts w:hint="eastAsia"/>
                <w:b/>
                <w:bCs/>
                <w:szCs w:val="21"/>
              </w:rPr>
              <w:t>注：提供中国版权保护中心或全国作品登记信息数据库管理平台的查询截图，需体现以上相关行业，否则不得分。作品登记著作权人须与供应商名称保持一致。</w:t>
            </w:r>
          </w:p>
        </w:tc>
      </w:tr>
      <w:tr w14:paraId="29DB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 w:type="pct"/>
            <w:vMerge w:val="continue"/>
            <w:vAlign w:val="center"/>
          </w:tcPr>
          <w:p w14:paraId="6697FB4E">
            <w:pPr>
              <w:snapToGrid w:val="0"/>
              <w:spacing w:line="360" w:lineRule="auto"/>
              <w:jc w:val="center"/>
              <w:rPr>
                <w:szCs w:val="21"/>
              </w:rPr>
            </w:pPr>
          </w:p>
        </w:tc>
        <w:tc>
          <w:tcPr>
            <w:tcW w:w="774" w:type="pct"/>
            <w:vMerge w:val="continue"/>
            <w:vAlign w:val="center"/>
          </w:tcPr>
          <w:p w14:paraId="6F90D9FE">
            <w:pPr>
              <w:snapToGrid w:val="0"/>
              <w:spacing w:line="360" w:lineRule="auto"/>
              <w:jc w:val="center"/>
              <w:rPr>
                <w:szCs w:val="21"/>
              </w:rPr>
            </w:pPr>
          </w:p>
        </w:tc>
        <w:tc>
          <w:tcPr>
            <w:tcW w:w="625" w:type="pct"/>
            <w:vAlign w:val="center"/>
          </w:tcPr>
          <w:p w14:paraId="2307CC60">
            <w:pPr>
              <w:snapToGrid w:val="0"/>
              <w:spacing w:line="360" w:lineRule="auto"/>
              <w:rPr>
                <w:szCs w:val="21"/>
              </w:rPr>
            </w:pPr>
            <w:r>
              <w:rPr>
                <w:rFonts w:hint="eastAsia"/>
                <w:szCs w:val="21"/>
              </w:rPr>
              <w:t>履约经验（10）</w:t>
            </w:r>
          </w:p>
        </w:tc>
        <w:tc>
          <w:tcPr>
            <w:tcW w:w="3074" w:type="pct"/>
            <w:vAlign w:val="center"/>
          </w:tcPr>
          <w:p w14:paraId="7D385650">
            <w:pPr>
              <w:snapToGrid w:val="0"/>
              <w:spacing w:line="360" w:lineRule="auto"/>
              <w:rPr>
                <w:szCs w:val="21"/>
              </w:rPr>
            </w:pPr>
            <w:r>
              <w:rPr>
                <w:rFonts w:hint="eastAsia"/>
                <w:szCs w:val="21"/>
              </w:rPr>
              <w:t>1、2023年1月1日（含）至递交响应文件截止之日止，投标人具有工伤预防宣传和培训项目业绩的，每提供1个计1分，最高得5分。</w:t>
            </w:r>
          </w:p>
          <w:p w14:paraId="75543A4A">
            <w:pPr>
              <w:snapToGrid w:val="0"/>
              <w:spacing w:line="360" w:lineRule="auto"/>
              <w:rPr>
                <w:b/>
                <w:bCs/>
                <w:szCs w:val="21"/>
              </w:rPr>
            </w:pPr>
            <w:r>
              <w:rPr>
                <w:rFonts w:hint="eastAsia"/>
                <w:b/>
                <w:bCs/>
                <w:szCs w:val="21"/>
              </w:rPr>
              <w:t>注：提供合同复印件、对应款项支付票据复印件、加盖项目业主单位公章的证明材料复印件，提供不齐全的不得分。</w:t>
            </w:r>
          </w:p>
          <w:p w14:paraId="3B4D1335">
            <w:pPr>
              <w:snapToGrid w:val="0"/>
              <w:spacing w:line="360" w:lineRule="auto"/>
              <w:rPr>
                <w:szCs w:val="21"/>
              </w:rPr>
            </w:pPr>
            <w:r>
              <w:rPr>
                <w:rFonts w:hint="eastAsia"/>
                <w:szCs w:val="21"/>
              </w:rPr>
              <w:t>2、投标人提供的以上类似业绩中，每有一个验收服务评价为优秀（或评价得分≥90分）的，得1分，最高得5分。</w:t>
            </w:r>
          </w:p>
          <w:p w14:paraId="16E6A881">
            <w:pPr>
              <w:snapToGrid w:val="0"/>
              <w:spacing w:line="360" w:lineRule="auto"/>
              <w:rPr>
                <w:szCs w:val="21"/>
              </w:rPr>
            </w:pPr>
            <w:r>
              <w:rPr>
                <w:rFonts w:hint="eastAsia"/>
                <w:b/>
                <w:bCs/>
                <w:szCs w:val="21"/>
              </w:rPr>
              <w:t>注：评价证明材料需提供业主方单位的验收服务评价材料并加盖公章，未提供不得分。</w:t>
            </w:r>
          </w:p>
        </w:tc>
      </w:tr>
      <w:tr w14:paraId="47FB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 w:type="pct"/>
            <w:vMerge w:val="restart"/>
            <w:vAlign w:val="center"/>
          </w:tcPr>
          <w:p w14:paraId="572527B6">
            <w:pPr>
              <w:snapToGrid w:val="0"/>
              <w:spacing w:line="360" w:lineRule="auto"/>
              <w:jc w:val="center"/>
              <w:rPr>
                <w:szCs w:val="21"/>
              </w:rPr>
            </w:pPr>
            <w:r>
              <w:rPr>
                <w:rFonts w:hint="eastAsia"/>
                <w:szCs w:val="21"/>
              </w:rPr>
              <w:t>3</w:t>
            </w:r>
          </w:p>
        </w:tc>
        <w:tc>
          <w:tcPr>
            <w:tcW w:w="774" w:type="pct"/>
            <w:vMerge w:val="restart"/>
            <w:vAlign w:val="center"/>
          </w:tcPr>
          <w:p w14:paraId="47715C1D">
            <w:pPr>
              <w:snapToGrid w:val="0"/>
              <w:spacing w:line="360" w:lineRule="auto"/>
              <w:jc w:val="center"/>
              <w:rPr>
                <w:szCs w:val="21"/>
              </w:rPr>
            </w:pPr>
            <w:r>
              <w:rPr>
                <w:rFonts w:hint="eastAsia"/>
                <w:szCs w:val="21"/>
              </w:rPr>
              <w:t>技术分（满分50分）</w:t>
            </w:r>
          </w:p>
        </w:tc>
        <w:tc>
          <w:tcPr>
            <w:tcW w:w="625" w:type="pct"/>
            <w:vAlign w:val="center"/>
          </w:tcPr>
          <w:p w14:paraId="62E7AD0F">
            <w:pPr>
              <w:snapToGrid w:val="0"/>
              <w:spacing w:line="360" w:lineRule="auto"/>
              <w:jc w:val="center"/>
              <w:rPr>
                <w:szCs w:val="21"/>
              </w:rPr>
            </w:pPr>
            <w:r>
              <w:rPr>
                <w:rFonts w:hint="eastAsia"/>
                <w:kern w:val="0"/>
                <w:szCs w:val="21"/>
                <w:lang w:bidi="ar"/>
              </w:rPr>
              <w:t>培训服务方案（40）</w:t>
            </w:r>
          </w:p>
        </w:tc>
        <w:tc>
          <w:tcPr>
            <w:tcW w:w="3074" w:type="pct"/>
            <w:vAlign w:val="center"/>
          </w:tcPr>
          <w:p w14:paraId="185DF980">
            <w:pPr>
              <w:widowControl/>
              <w:snapToGrid w:val="0"/>
              <w:spacing w:line="360" w:lineRule="auto"/>
              <w:rPr>
                <w:szCs w:val="21"/>
              </w:rPr>
            </w:pPr>
            <w:r>
              <w:rPr>
                <w:rFonts w:hint="eastAsia"/>
                <w:color w:val="000000"/>
                <w:szCs w:val="21"/>
              </w:rPr>
              <w:t>1、根据供应商提供的培训服务方案进行评审，包括：（1）培训团队的人员安排及分工；（2）培训技术要求的具体服务内容；（3）培训资料展示；（4）过往培训案例图文展示等</w:t>
            </w:r>
            <w:r>
              <w:rPr>
                <w:rFonts w:hint="eastAsia"/>
                <w:szCs w:val="21"/>
              </w:rPr>
              <w:t>。上述（1）-（4）项中，能提供切合本项目实际情况的方案内容每项得4分，分项内容未结合本项目实际情况的得2分，未提供的相应分项不得分。本项最高得16分。</w:t>
            </w:r>
          </w:p>
          <w:p w14:paraId="68397013">
            <w:pPr>
              <w:widowControl/>
              <w:snapToGrid w:val="0"/>
              <w:spacing w:line="360" w:lineRule="auto"/>
              <w:rPr>
                <w:b/>
                <w:bCs/>
                <w:szCs w:val="21"/>
              </w:rPr>
            </w:pPr>
            <w:r>
              <w:rPr>
                <w:rFonts w:hint="eastAsia"/>
                <w:b/>
                <w:bCs/>
                <w:szCs w:val="21"/>
              </w:rPr>
              <w:t>注：未结合本项目实际情况是指方案存在不适用本项目实际情况的情形、凭空编造、逻辑漏洞、科学原理错误以及不可能实现的夸大情形等情况。</w:t>
            </w:r>
          </w:p>
          <w:p w14:paraId="7E8D7B2A">
            <w:pPr>
              <w:widowControl/>
              <w:snapToGrid w:val="0"/>
              <w:spacing w:line="360" w:lineRule="auto"/>
              <w:rPr>
                <w:szCs w:val="21"/>
              </w:rPr>
            </w:pPr>
            <w:r>
              <w:rPr>
                <w:rFonts w:hint="eastAsia"/>
                <w:szCs w:val="21"/>
              </w:rPr>
              <w:t>2、根据供应商提供的转训（TTT）方案进行评审，包括：（1）转训培训具体服务内容；（2）支持转训培训实施的信息化服务系统，功能包括但不限于自动化分析工伤数据、自动化分析工伤高发岗位、作业类型、伤害类型及应对措施；（3）转训方案的具体服务内容；（4）支持转训服务的信息系统，包括但不限于自动化分析工伤高发岗位、作业类型、伤害类型及应对措施、技巧，自动化为企业生产培训课件及配套资料；系统智能分析培训人数、评估培训成效、自动生成培训档案、学员档案。（5）大数据赋能重点企业治理的具体实施内容；（6）支持重点企业治理，隐患排查发现的保障措施，技术手段、专业方法等。上述（1）-（6）项中，能提供切合本项目实际情况的方案内容每项得4分，分项内容未结合本项目实际情况的得2分，未提供的相应分项不得分。本项最高得24分。</w:t>
            </w:r>
          </w:p>
          <w:p w14:paraId="7525D8D1">
            <w:pPr>
              <w:widowControl/>
              <w:snapToGrid w:val="0"/>
              <w:spacing w:line="360" w:lineRule="auto"/>
              <w:rPr>
                <w:szCs w:val="21"/>
              </w:rPr>
            </w:pPr>
            <w:r>
              <w:rPr>
                <w:rFonts w:hint="eastAsia"/>
                <w:b/>
                <w:bCs/>
                <w:szCs w:val="21"/>
              </w:rPr>
              <w:t>注：未结合本项目实际情况是指方案存在不适用本项目实际情况的情形、凭空编造、逻辑漏洞、科学原理错误以及不可能实现的夸大情形等情况。</w:t>
            </w:r>
          </w:p>
        </w:tc>
      </w:tr>
      <w:tr w14:paraId="7CE1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 w:type="pct"/>
            <w:vMerge w:val="continue"/>
            <w:vAlign w:val="center"/>
          </w:tcPr>
          <w:p w14:paraId="4D1C0A5C">
            <w:pPr>
              <w:snapToGrid w:val="0"/>
              <w:spacing w:line="360" w:lineRule="auto"/>
              <w:jc w:val="center"/>
              <w:rPr>
                <w:szCs w:val="21"/>
              </w:rPr>
            </w:pPr>
          </w:p>
        </w:tc>
        <w:tc>
          <w:tcPr>
            <w:tcW w:w="774" w:type="pct"/>
            <w:vMerge w:val="continue"/>
            <w:vAlign w:val="center"/>
          </w:tcPr>
          <w:p w14:paraId="47C6408A">
            <w:pPr>
              <w:snapToGrid w:val="0"/>
              <w:spacing w:line="360" w:lineRule="auto"/>
              <w:jc w:val="center"/>
              <w:rPr>
                <w:szCs w:val="21"/>
              </w:rPr>
            </w:pPr>
          </w:p>
        </w:tc>
        <w:tc>
          <w:tcPr>
            <w:tcW w:w="625" w:type="pct"/>
            <w:vAlign w:val="center"/>
          </w:tcPr>
          <w:p w14:paraId="1BA6D529">
            <w:pPr>
              <w:widowControl/>
              <w:snapToGrid w:val="0"/>
              <w:spacing w:line="360" w:lineRule="auto"/>
              <w:jc w:val="center"/>
              <w:textAlignment w:val="center"/>
              <w:rPr>
                <w:kern w:val="0"/>
                <w:szCs w:val="21"/>
                <w:lang w:bidi="ar"/>
              </w:rPr>
            </w:pPr>
            <w:r>
              <w:rPr>
                <w:rFonts w:hint="eastAsia"/>
                <w:kern w:val="0"/>
                <w:szCs w:val="21"/>
                <w:lang w:eastAsia="zh-Hans" w:bidi="ar"/>
              </w:rPr>
              <w:t>工伤预防线上培训平台</w:t>
            </w:r>
            <w:r>
              <w:rPr>
                <w:rFonts w:hint="eastAsia"/>
                <w:kern w:val="0"/>
                <w:szCs w:val="21"/>
                <w:lang w:bidi="ar"/>
              </w:rPr>
              <w:t>（10）</w:t>
            </w:r>
          </w:p>
        </w:tc>
        <w:tc>
          <w:tcPr>
            <w:tcW w:w="3074" w:type="pct"/>
            <w:vAlign w:val="center"/>
          </w:tcPr>
          <w:p w14:paraId="6A4C565E">
            <w:pPr>
              <w:widowControl/>
              <w:snapToGrid w:val="0"/>
              <w:spacing w:line="360" w:lineRule="auto"/>
              <w:jc w:val="left"/>
              <w:textAlignment w:val="center"/>
              <w:rPr>
                <w:kern w:val="0"/>
                <w:szCs w:val="21"/>
                <w:lang w:bidi="ar"/>
              </w:rPr>
            </w:pPr>
            <w:r>
              <w:rPr>
                <w:rFonts w:hint="eastAsia"/>
                <w:kern w:val="0"/>
                <w:szCs w:val="21"/>
                <w:lang w:bidi="ar"/>
              </w:rPr>
              <w:t>1、供应商具备工伤预防线上培训的服务网络培训平台的得3分。</w:t>
            </w:r>
          </w:p>
          <w:p w14:paraId="0D9A3123">
            <w:pPr>
              <w:widowControl/>
              <w:snapToGrid w:val="0"/>
              <w:spacing w:line="360" w:lineRule="auto"/>
              <w:jc w:val="left"/>
              <w:textAlignment w:val="center"/>
              <w:rPr>
                <w:b/>
                <w:bCs/>
                <w:kern w:val="0"/>
                <w:szCs w:val="21"/>
                <w:lang w:bidi="ar"/>
              </w:rPr>
            </w:pPr>
            <w:r>
              <w:rPr>
                <w:rFonts w:hint="eastAsia"/>
                <w:b/>
                <w:bCs/>
                <w:kern w:val="0"/>
                <w:szCs w:val="21"/>
                <w:lang w:bidi="ar"/>
              </w:rPr>
              <w:t>注：提供线上培训平台网址、网址在工信部ICP/IP地址/域名信息备案管理系统查询截图、手机端APP或小程序主体二维码。备案主体须与供应商保持一致。证明材料不齐不得分。</w:t>
            </w:r>
          </w:p>
          <w:p w14:paraId="6F5BCF26">
            <w:pPr>
              <w:widowControl/>
              <w:snapToGrid w:val="0"/>
              <w:spacing w:line="360" w:lineRule="auto"/>
              <w:jc w:val="left"/>
              <w:textAlignment w:val="center"/>
              <w:rPr>
                <w:kern w:val="0"/>
                <w:szCs w:val="21"/>
                <w:lang w:bidi="ar"/>
              </w:rPr>
            </w:pPr>
            <w:r>
              <w:rPr>
                <w:rFonts w:hint="eastAsia"/>
                <w:kern w:val="0"/>
                <w:szCs w:val="21"/>
                <w:lang w:bidi="ar"/>
              </w:rPr>
              <w:t>2、供应商提供的线上培训平台具有以下功能：（1）功能一线上培训：包括培训主题、课程中心、培训积分、培训证书、防挂机、实名认证、学习拍照、培训统计功能；（2）功能二面授培训：包括培训主题、培训场次、培训签到签名、培训满意度调查、实名认证、培训拍照、培训统计功能；（3）功能三线上考试：包括在线考试、每日答题、每周答题、考试统计功能；（4）功能四考培分离：主管部门可自主出题，创建考试试卷，独立参与监考工作并生成出题及监考档案，系统将收集学员参训及考试数据，自动生成一期一档、一人一档，模块包括不限于出题、监考、出题及监考档案、</w:t>
            </w:r>
            <w:r>
              <w:rPr>
                <w:rFonts w:hint="eastAsia"/>
                <w:kern w:val="0"/>
                <w:szCs w:val="21"/>
                <w:shd w:val="clear" w:color="auto" w:fill="FFFFFF"/>
                <w:lang w:eastAsia="zh-Hans" w:bidi="ar"/>
              </w:rPr>
              <w:t>一期一档</w:t>
            </w:r>
            <w:r>
              <w:rPr>
                <w:rFonts w:hint="eastAsia"/>
                <w:kern w:val="0"/>
                <w:szCs w:val="21"/>
                <w:shd w:val="clear" w:color="auto" w:fill="FFFFFF"/>
                <w:lang w:bidi="ar"/>
              </w:rPr>
              <w:t>、</w:t>
            </w:r>
            <w:r>
              <w:rPr>
                <w:rFonts w:hint="eastAsia"/>
                <w:kern w:val="0"/>
                <w:szCs w:val="21"/>
                <w:shd w:val="clear" w:color="auto" w:fill="FFFFFF"/>
                <w:lang w:eastAsia="zh-Hans" w:bidi="ar"/>
              </w:rPr>
              <w:t>一人一档</w:t>
            </w:r>
            <w:r>
              <w:rPr>
                <w:rFonts w:hint="eastAsia"/>
                <w:kern w:val="0"/>
                <w:szCs w:val="21"/>
                <w:shd w:val="clear" w:color="auto" w:fill="FFFFFF"/>
                <w:lang w:bidi="ar"/>
              </w:rPr>
              <w:t>、</w:t>
            </w:r>
            <w:r>
              <w:rPr>
                <w:rFonts w:hint="eastAsia"/>
                <w:kern w:val="0"/>
                <w:szCs w:val="21"/>
                <w:shd w:val="clear" w:color="auto" w:fill="FFFFFF"/>
                <w:lang w:eastAsia="zh-Hans" w:bidi="ar"/>
              </w:rPr>
              <w:t>实名认证</w:t>
            </w:r>
            <w:r>
              <w:rPr>
                <w:rFonts w:hint="eastAsia"/>
                <w:kern w:val="0"/>
                <w:szCs w:val="21"/>
                <w:lang w:bidi="ar"/>
              </w:rPr>
              <w:t>；（5）功能五大模型智能问答助手：包括线上课程自助问答。每有1项功能完全满足以上要求的得1分，最高得5分。任何一项功能不全的，该项不得分。</w:t>
            </w:r>
          </w:p>
          <w:p w14:paraId="3026D0ED">
            <w:pPr>
              <w:widowControl/>
              <w:snapToGrid w:val="0"/>
              <w:spacing w:line="360" w:lineRule="auto"/>
              <w:jc w:val="left"/>
              <w:textAlignment w:val="center"/>
              <w:rPr>
                <w:b/>
                <w:bCs/>
                <w:kern w:val="0"/>
                <w:szCs w:val="21"/>
                <w:lang w:bidi="ar"/>
              </w:rPr>
            </w:pPr>
            <w:r>
              <w:rPr>
                <w:rFonts w:hint="eastAsia"/>
                <w:b/>
                <w:bCs/>
                <w:kern w:val="0"/>
                <w:szCs w:val="21"/>
                <w:lang w:bidi="ar"/>
              </w:rPr>
              <w:t>注：提供平台功能截图及说明，否则不得分。</w:t>
            </w:r>
          </w:p>
          <w:p w14:paraId="5C29F222">
            <w:pPr>
              <w:widowControl/>
              <w:snapToGrid w:val="0"/>
              <w:spacing w:line="360" w:lineRule="auto"/>
              <w:jc w:val="left"/>
              <w:textAlignment w:val="center"/>
              <w:rPr>
                <w:kern w:val="0"/>
                <w:szCs w:val="21"/>
                <w:lang w:bidi="ar"/>
              </w:rPr>
            </w:pPr>
            <w:r>
              <w:rPr>
                <w:rFonts w:hint="eastAsia"/>
                <w:kern w:val="0"/>
                <w:szCs w:val="21"/>
                <w:lang w:bidi="ar"/>
              </w:rPr>
              <w:t>3、为确保线上数据的安全保密性，供应商的培训平台具有信息系统安全等级保护三级及以上的得2分。</w:t>
            </w:r>
          </w:p>
          <w:p w14:paraId="503ADA9E">
            <w:pPr>
              <w:widowControl/>
              <w:snapToGrid w:val="0"/>
              <w:spacing w:line="360" w:lineRule="auto"/>
              <w:jc w:val="left"/>
              <w:textAlignment w:val="center"/>
              <w:rPr>
                <w:kern w:val="0"/>
                <w:szCs w:val="21"/>
                <w:lang w:bidi="ar"/>
              </w:rPr>
            </w:pPr>
            <w:r>
              <w:rPr>
                <w:rFonts w:hint="eastAsia"/>
                <w:b/>
                <w:bCs/>
                <w:kern w:val="0"/>
                <w:szCs w:val="21"/>
                <w:lang w:bidi="ar"/>
              </w:rPr>
              <w:t>注：提供信息系统安全等级保护备案证明；证明材料不齐不得分。</w:t>
            </w:r>
          </w:p>
        </w:tc>
      </w:tr>
      <w:bookmarkEnd w:id="2"/>
    </w:tbl>
    <w:p w14:paraId="4738DD73">
      <w:pPr>
        <w:spacing w:before="80" w:after="80" w:line="360" w:lineRule="auto"/>
        <w:ind w:firstLine="482" w:firstLineChars="200"/>
        <w:rPr>
          <w:rFonts w:hint="eastAsia" w:ascii="宋体" w:hAnsi="宋体" w:eastAsia="宋体" w:cs="宋体"/>
          <w:b/>
          <w:sz w:val="24"/>
        </w:rPr>
      </w:pPr>
    </w:p>
    <w:p w14:paraId="7E52B955">
      <w:pPr>
        <w:spacing w:before="80" w:after="80" w:line="360" w:lineRule="auto"/>
        <w:ind w:firstLine="482" w:firstLineChars="200"/>
        <w:rPr>
          <w:rFonts w:ascii="Times New Roman" w:hAnsi="Times New Roman" w:eastAsia="Times New Roman" w:cs="Times New Roman"/>
          <w:b/>
          <w:sz w:val="24"/>
        </w:rPr>
      </w:pPr>
      <w:r>
        <w:rPr>
          <w:rFonts w:hint="eastAsia" w:ascii="宋体" w:hAnsi="宋体" w:eastAsia="宋体" w:cs="宋体"/>
          <w:b/>
          <w:sz w:val="24"/>
          <w:lang w:val="en-US" w:eastAsia="zh-CN"/>
        </w:rPr>
        <w:t>八</w:t>
      </w:r>
      <w:r>
        <w:rPr>
          <w:rFonts w:ascii="宋体" w:hAnsi="宋体" w:eastAsia="宋体" w:cs="宋体"/>
          <w:b/>
          <w:sz w:val="24"/>
        </w:rPr>
        <w:t>、比选人的有关信息：</w:t>
      </w:r>
    </w:p>
    <w:p w14:paraId="00B90CC3">
      <w:pPr>
        <w:spacing w:before="80" w:after="80" w:line="360" w:lineRule="auto"/>
        <w:ind w:firstLine="482" w:firstLineChars="200"/>
        <w:rPr>
          <w:rFonts w:hint="eastAsia" w:ascii="宋体" w:hAnsi="宋体" w:eastAsia="宋体" w:cs="宋体"/>
          <w:b/>
          <w:sz w:val="24"/>
        </w:rPr>
      </w:pPr>
      <w:r>
        <w:rPr>
          <w:rFonts w:hint="eastAsia" w:ascii="宋体" w:hAnsi="宋体" w:eastAsia="宋体" w:cs="宋体"/>
          <w:b/>
          <w:sz w:val="24"/>
        </w:rPr>
        <w:t>比选人：</w:t>
      </w:r>
      <w:bookmarkStart w:id="3" w:name="OLE_LINK1"/>
      <w:r>
        <w:rPr>
          <w:rFonts w:ascii="宋体" w:hAnsi="宋体" w:eastAsia="宋体" w:cs="宋体"/>
          <w:b/>
          <w:sz w:val="24"/>
        </w:rPr>
        <w:t>阳江市人力资源和社会保障局</w:t>
      </w:r>
      <w:bookmarkEnd w:id="3"/>
    </w:p>
    <w:p w14:paraId="562B3788">
      <w:pPr>
        <w:spacing w:before="80" w:after="80" w:line="360" w:lineRule="auto"/>
        <w:ind w:firstLine="480" w:firstLineChars="200"/>
        <w:rPr>
          <w:rFonts w:hint="eastAsia" w:ascii="宋体" w:hAnsi="宋体" w:eastAsia="宋体" w:cs="宋体"/>
          <w:bCs/>
          <w:sz w:val="24"/>
        </w:rPr>
      </w:pPr>
      <w:r>
        <w:rPr>
          <w:rFonts w:hint="eastAsia" w:ascii="宋体" w:hAnsi="宋体" w:eastAsia="宋体" w:cs="宋体"/>
          <w:bCs/>
          <w:sz w:val="24"/>
        </w:rPr>
        <w:t>地址：</w:t>
      </w:r>
      <w:r>
        <w:rPr>
          <w:rFonts w:ascii="宋体" w:hAnsi="宋体" w:eastAsia="宋体" w:cs="宋体"/>
          <w:bCs/>
          <w:sz w:val="24"/>
        </w:rPr>
        <w:t>广东省阳江市江城区二环路208号</w:t>
      </w:r>
      <w:r>
        <w:rPr>
          <w:rFonts w:hint="eastAsia" w:ascii="宋体" w:hAnsi="宋体" w:eastAsia="宋体" w:cs="宋体"/>
          <w:bCs/>
          <w:sz w:val="24"/>
        </w:rPr>
        <w:t xml:space="preserve"> </w:t>
      </w:r>
    </w:p>
    <w:p w14:paraId="52FE3A11">
      <w:pPr>
        <w:spacing w:before="80" w:after="80" w:line="360" w:lineRule="auto"/>
        <w:ind w:firstLine="480" w:firstLineChars="200"/>
        <w:rPr>
          <w:rFonts w:hint="default" w:ascii="宋体" w:hAnsi="宋体" w:eastAsia="宋体" w:cs="宋体"/>
          <w:bCs/>
          <w:sz w:val="24"/>
          <w:lang w:val="en-US" w:eastAsia="zh-CN"/>
        </w:rPr>
      </w:pPr>
      <w:r>
        <w:rPr>
          <w:rFonts w:hint="eastAsia" w:ascii="宋体" w:hAnsi="宋体" w:eastAsia="宋体" w:cs="宋体"/>
          <w:bCs/>
          <w:sz w:val="24"/>
        </w:rPr>
        <w:t>联系人：</w:t>
      </w:r>
      <w:r>
        <w:rPr>
          <w:rFonts w:hint="eastAsia" w:ascii="宋体" w:hAnsi="宋体" w:eastAsia="宋体" w:cs="宋体"/>
          <w:bCs/>
          <w:sz w:val="24"/>
          <w:lang w:val="en-US" w:eastAsia="zh-CN"/>
        </w:rPr>
        <w:t>李文杰</w:t>
      </w:r>
    </w:p>
    <w:p w14:paraId="5D10F624">
      <w:pPr>
        <w:spacing w:before="80" w:after="80" w:line="360" w:lineRule="auto"/>
        <w:ind w:firstLine="480" w:firstLineChars="200"/>
        <w:rPr>
          <w:rFonts w:hint="default" w:ascii="宋体" w:hAnsi="宋体" w:eastAsia="宋体" w:cs="宋体"/>
          <w:bCs/>
          <w:sz w:val="24"/>
          <w:lang w:val="en-US" w:eastAsia="zh-CN"/>
        </w:rPr>
      </w:pPr>
      <w:r>
        <w:rPr>
          <w:rFonts w:hint="eastAsia" w:ascii="宋体" w:hAnsi="宋体" w:eastAsia="宋体" w:cs="宋体"/>
          <w:bCs/>
          <w:sz w:val="24"/>
        </w:rPr>
        <w:t>联系电话：</w:t>
      </w:r>
      <w:r>
        <w:rPr>
          <w:rFonts w:hint="eastAsia" w:ascii="宋体" w:hAnsi="宋体" w:eastAsia="宋体" w:cs="宋体"/>
          <w:bCs/>
          <w:sz w:val="24"/>
          <w:lang w:val="en-US" w:eastAsia="zh-CN"/>
        </w:rPr>
        <w:t>0662-2231186</w:t>
      </w:r>
    </w:p>
    <w:sectPr>
      <w:type w:val="continuous"/>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0"/>
  <w:drawingGridHorizontalSpacing w:val="105"/>
  <w:drawingGridVerticalSpacing w:val="156"/>
  <w:displayHorizontalDrawingGridEvery w:val="2"/>
  <w:displayVerticalDrawingGridEvery w:val="2"/>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0BC"/>
    <w:rsid w:val="00002A0C"/>
    <w:rsid w:val="00004AAB"/>
    <w:rsid w:val="00011292"/>
    <w:rsid w:val="00013733"/>
    <w:rsid w:val="0001641A"/>
    <w:rsid w:val="00016C7E"/>
    <w:rsid w:val="00024DB1"/>
    <w:rsid w:val="00033ECD"/>
    <w:rsid w:val="0006227F"/>
    <w:rsid w:val="00062A4E"/>
    <w:rsid w:val="00071CA5"/>
    <w:rsid w:val="000736E7"/>
    <w:rsid w:val="000738F6"/>
    <w:rsid w:val="000752D6"/>
    <w:rsid w:val="00075D2F"/>
    <w:rsid w:val="00093583"/>
    <w:rsid w:val="00097C33"/>
    <w:rsid w:val="000A29D2"/>
    <w:rsid w:val="000B0639"/>
    <w:rsid w:val="000C1472"/>
    <w:rsid w:val="000D07FD"/>
    <w:rsid w:val="000D5519"/>
    <w:rsid w:val="000D7FC6"/>
    <w:rsid w:val="000E552F"/>
    <w:rsid w:val="000F1006"/>
    <w:rsid w:val="000F41A4"/>
    <w:rsid w:val="000F4947"/>
    <w:rsid w:val="000F7F9C"/>
    <w:rsid w:val="001003A1"/>
    <w:rsid w:val="00101952"/>
    <w:rsid w:val="0010621A"/>
    <w:rsid w:val="0010657F"/>
    <w:rsid w:val="001105C5"/>
    <w:rsid w:val="001209DE"/>
    <w:rsid w:val="00124B3C"/>
    <w:rsid w:val="0012625A"/>
    <w:rsid w:val="00126D74"/>
    <w:rsid w:val="001368BC"/>
    <w:rsid w:val="0013716C"/>
    <w:rsid w:val="001405CB"/>
    <w:rsid w:val="00141ABD"/>
    <w:rsid w:val="0014490D"/>
    <w:rsid w:val="00173690"/>
    <w:rsid w:val="00173CAF"/>
    <w:rsid w:val="00184A2F"/>
    <w:rsid w:val="001867C0"/>
    <w:rsid w:val="00187840"/>
    <w:rsid w:val="00193E12"/>
    <w:rsid w:val="001A1C38"/>
    <w:rsid w:val="001C144E"/>
    <w:rsid w:val="001D4440"/>
    <w:rsid w:val="001D6ED2"/>
    <w:rsid w:val="001E39B8"/>
    <w:rsid w:val="001E4369"/>
    <w:rsid w:val="001E6F08"/>
    <w:rsid w:val="001E7DCB"/>
    <w:rsid w:val="001F4F09"/>
    <w:rsid w:val="001F7C31"/>
    <w:rsid w:val="00205E9A"/>
    <w:rsid w:val="0020712E"/>
    <w:rsid w:val="002131ED"/>
    <w:rsid w:val="00213CBF"/>
    <w:rsid w:val="00225745"/>
    <w:rsid w:val="00244227"/>
    <w:rsid w:val="002522F5"/>
    <w:rsid w:val="00252873"/>
    <w:rsid w:val="00256CDC"/>
    <w:rsid w:val="002611FB"/>
    <w:rsid w:val="00263FAA"/>
    <w:rsid w:val="00270115"/>
    <w:rsid w:val="0027329A"/>
    <w:rsid w:val="00283CDB"/>
    <w:rsid w:val="002A4B43"/>
    <w:rsid w:val="002B66A8"/>
    <w:rsid w:val="002B7900"/>
    <w:rsid w:val="002C1623"/>
    <w:rsid w:val="002C640A"/>
    <w:rsid w:val="002D37FB"/>
    <w:rsid w:val="002E40CE"/>
    <w:rsid w:val="002E496E"/>
    <w:rsid w:val="002F1688"/>
    <w:rsid w:val="0030485E"/>
    <w:rsid w:val="0030591F"/>
    <w:rsid w:val="0031287B"/>
    <w:rsid w:val="003167B1"/>
    <w:rsid w:val="00325329"/>
    <w:rsid w:val="00330A30"/>
    <w:rsid w:val="00330AD9"/>
    <w:rsid w:val="00341157"/>
    <w:rsid w:val="00342AEC"/>
    <w:rsid w:val="003515C2"/>
    <w:rsid w:val="00353C49"/>
    <w:rsid w:val="00371268"/>
    <w:rsid w:val="00373C8D"/>
    <w:rsid w:val="00376BDC"/>
    <w:rsid w:val="00385CF8"/>
    <w:rsid w:val="00391A83"/>
    <w:rsid w:val="003A5561"/>
    <w:rsid w:val="003B3391"/>
    <w:rsid w:val="003B553E"/>
    <w:rsid w:val="003B676C"/>
    <w:rsid w:val="003C1E9C"/>
    <w:rsid w:val="003C3670"/>
    <w:rsid w:val="003C3AF7"/>
    <w:rsid w:val="003C5E7C"/>
    <w:rsid w:val="003E6104"/>
    <w:rsid w:val="003E7F53"/>
    <w:rsid w:val="003F0BEE"/>
    <w:rsid w:val="003F0EF8"/>
    <w:rsid w:val="003F1D52"/>
    <w:rsid w:val="003F22C9"/>
    <w:rsid w:val="003F4159"/>
    <w:rsid w:val="004010DF"/>
    <w:rsid w:val="004016BA"/>
    <w:rsid w:val="004047E3"/>
    <w:rsid w:val="00407DDA"/>
    <w:rsid w:val="0041533F"/>
    <w:rsid w:val="004317CC"/>
    <w:rsid w:val="00440262"/>
    <w:rsid w:val="00440933"/>
    <w:rsid w:val="00464D43"/>
    <w:rsid w:val="004742D2"/>
    <w:rsid w:val="00486BD1"/>
    <w:rsid w:val="00487F6C"/>
    <w:rsid w:val="00490FFF"/>
    <w:rsid w:val="004A50F1"/>
    <w:rsid w:val="004C2BCB"/>
    <w:rsid w:val="004C5DF5"/>
    <w:rsid w:val="004D4438"/>
    <w:rsid w:val="004D4D7B"/>
    <w:rsid w:val="004D65D6"/>
    <w:rsid w:val="004E2287"/>
    <w:rsid w:val="004E4E8A"/>
    <w:rsid w:val="004F0B1E"/>
    <w:rsid w:val="004F220D"/>
    <w:rsid w:val="005033FD"/>
    <w:rsid w:val="00505015"/>
    <w:rsid w:val="00512562"/>
    <w:rsid w:val="00512C4C"/>
    <w:rsid w:val="0051321E"/>
    <w:rsid w:val="005146B3"/>
    <w:rsid w:val="00521E14"/>
    <w:rsid w:val="00531E34"/>
    <w:rsid w:val="0053215C"/>
    <w:rsid w:val="0055448F"/>
    <w:rsid w:val="0055791C"/>
    <w:rsid w:val="00562E9E"/>
    <w:rsid w:val="00565C2B"/>
    <w:rsid w:val="005706A3"/>
    <w:rsid w:val="00573042"/>
    <w:rsid w:val="00575243"/>
    <w:rsid w:val="00580924"/>
    <w:rsid w:val="00581F54"/>
    <w:rsid w:val="005908B8"/>
    <w:rsid w:val="005A0056"/>
    <w:rsid w:val="005A5742"/>
    <w:rsid w:val="005B58F0"/>
    <w:rsid w:val="005C4683"/>
    <w:rsid w:val="005C64C8"/>
    <w:rsid w:val="005C6F6C"/>
    <w:rsid w:val="005F3D89"/>
    <w:rsid w:val="00613418"/>
    <w:rsid w:val="00615E0D"/>
    <w:rsid w:val="00620CC2"/>
    <w:rsid w:val="006312E4"/>
    <w:rsid w:val="00640C5E"/>
    <w:rsid w:val="00641730"/>
    <w:rsid w:val="00645FA0"/>
    <w:rsid w:val="00665157"/>
    <w:rsid w:val="0066599C"/>
    <w:rsid w:val="006733B4"/>
    <w:rsid w:val="00675A3E"/>
    <w:rsid w:val="00681C34"/>
    <w:rsid w:val="0068239A"/>
    <w:rsid w:val="00684065"/>
    <w:rsid w:val="00684986"/>
    <w:rsid w:val="006A6A3F"/>
    <w:rsid w:val="006B78DA"/>
    <w:rsid w:val="006D59AF"/>
    <w:rsid w:val="006E08A1"/>
    <w:rsid w:val="006F7EAB"/>
    <w:rsid w:val="00704D4B"/>
    <w:rsid w:val="00712472"/>
    <w:rsid w:val="00715D3E"/>
    <w:rsid w:val="007160EF"/>
    <w:rsid w:val="0073364B"/>
    <w:rsid w:val="007429A2"/>
    <w:rsid w:val="00766FF6"/>
    <w:rsid w:val="0077001D"/>
    <w:rsid w:val="007737C5"/>
    <w:rsid w:val="0077484C"/>
    <w:rsid w:val="007833C9"/>
    <w:rsid w:val="00783B5E"/>
    <w:rsid w:val="007A3962"/>
    <w:rsid w:val="007A4F60"/>
    <w:rsid w:val="007B4D53"/>
    <w:rsid w:val="007B707B"/>
    <w:rsid w:val="007D4146"/>
    <w:rsid w:val="007D5CD5"/>
    <w:rsid w:val="007D6CCB"/>
    <w:rsid w:val="007E00BC"/>
    <w:rsid w:val="007E191B"/>
    <w:rsid w:val="007E5925"/>
    <w:rsid w:val="007F05CB"/>
    <w:rsid w:val="007F3823"/>
    <w:rsid w:val="007F4B39"/>
    <w:rsid w:val="007F54A2"/>
    <w:rsid w:val="008010C4"/>
    <w:rsid w:val="00801C22"/>
    <w:rsid w:val="00803CE6"/>
    <w:rsid w:val="00806ABE"/>
    <w:rsid w:val="00807024"/>
    <w:rsid w:val="00822061"/>
    <w:rsid w:val="008232FF"/>
    <w:rsid w:val="00823945"/>
    <w:rsid w:val="008262E7"/>
    <w:rsid w:val="00837A63"/>
    <w:rsid w:val="00847015"/>
    <w:rsid w:val="00847076"/>
    <w:rsid w:val="00862244"/>
    <w:rsid w:val="00862414"/>
    <w:rsid w:val="00864919"/>
    <w:rsid w:val="008725D9"/>
    <w:rsid w:val="00876D3D"/>
    <w:rsid w:val="00880B06"/>
    <w:rsid w:val="00882BF9"/>
    <w:rsid w:val="008A301D"/>
    <w:rsid w:val="008A42D7"/>
    <w:rsid w:val="008A5E0A"/>
    <w:rsid w:val="008C53BC"/>
    <w:rsid w:val="008D4BA2"/>
    <w:rsid w:val="008E2B72"/>
    <w:rsid w:val="00905CB5"/>
    <w:rsid w:val="00913E7A"/>
    <w:rsid w:val="00915C74"/>
    <w:rsid w:val="00922287"/>
    <w:rsid w:val="0092516D"/>
    <w:rsid w:val="00932F2D"/>
    <w:rsid w:val="00937FDF"/>
    <w:rsid w:val="00940C4B"/>
    <w:rsid w:val="00941FF7"/>
    <w:rsid w:val="00945BBF"/>
    <w:rsid w:val="00952782"/>
    <w:rsid w:val="009529B2"/>
    <w:rsid w:val="009546BF"/>
    <w:rsid w:val="00960DCD"/>
    <w:rsid w:val="00962CA2"/>
    <w:rsid w:val="009719C0"/>
    <w:rsid w:val="009815E1"/>
    <w:rsid w:val="00991B41"/>
    <w:rsid w:val="00995114"/>
    <w:rsid w:val="009B3E00"/>
    <w:rsid w:val="009C0A19"/>
    <w:rsid w:val="009C1F2A"/>
    <w:rsid w:val="009C41A6"/>
    <w:rsid w:val="009D3DBA"/>
    <w:rsid w:val="009F4107"/>
    <w:rsid w:val="009F5B31"/>
    <w:rsid w:val="00A1209D"/>
    <w:rsid w:val="00A12B3D"/>
    <w:rsid w:val="00A147FC"/>
    <w:rsid w:val="00A314F3"/>
    <w:rsid w:val="00A41543"/>
    <w:rsid w:val="00A42C00"/>
    <w:rsid w:val="00A4376C"/>
    <w:rsid w:val="00A52E31"/>
    <w:rsid w:val="00A56571"/>
    <w:rsid w:val="00A62CDB"/>
    <w:rsid w:val="00A719E5"/>
    <w:rsid w:val="00A722E8"/>
    <w:rsid w:val="00A7343C"/>
    <w:rsid w:val="00A80F4B"/>
    <w:rsid w:val="00A83A1D"/>
    <w:rsid w:val="00A84B16"/>
    <w:rsid w:val="00AB4E64"/>
    <w:rsid w:val="00AC2ADB"/>
    <w:rsid w:val="00AC6A12"/>
    <w:rsid w:val="00AC7835"/>
    <w:rsid w:val="00AD1ECE"/>
    <w:rsid w:val="00AD67A8"/>
    <w:rsid w:val="00AE1BB2"/>
    <w:rsid w:val="00AE3A1F"/>
    <w:rsid w:val="00AF7D33"/>
    <w:rsid w:val="00B0600A"/>
    <w:rsid w:val="00B1186D"/>
    <w:rsid w:val="00B12CCE"/>
    <w:rsid w:val="00B20711"/>
    <w:rsid w:val="00B40839"/>
    <w:rsid w:val="00B42695"/>
    <w:rsid w:val="00B532F5"/>
    <w:rsid w:val="00B701F3"/>
    <w:rsid w:val="00B70830"/>
    <w:rsid w:val="00B778D1"/>
    <w:rsid w:val="00B84AC5"/>
    <w:rsid w:val="00BA370D"/>
    <w:rsid w:val="00BB437F"/>
    <w:rsid w:val="00BC170D"/>
    <w:rsid w:val="00BD145C"/>
    <w:rsid w:val="00BE2AC3"/>
    <w:rsid w:val="00BE3772"/>
    <w:rsid w:val="00BF7DB0"/>
    <w:rsid w:val="00C01731"/>
    <w:rsid w:val="00C04500"/>
    <w:rsid w:val="00C07A57"/>
    <w:rsid w:val="00C10860"/>
    <w:rsid w:val="00C10EBB"/>
    <w:rsid w:val="00C137C2"/>
    <w:rsid w:val="00C26FBE"/>
    <w:rsid w:val="00C7129F"/>
    <w:rsid w:val="00C75F5E"/>
    <w:rsid w:val="00C76023"/>
    <w:rsid w:val="00C80DEB"/>
    <w:rsid w:val="00C80ECF"/>
    <w:rsid w:val="00C82317"/>
    <w:rsid w:val="00C85AAB"/>
    <w:rsid w:val="00C87DE2"/>
    <w:rsid w:val="00C91155"/>
    <w:rsid w:val="00C935C7"/>
    <w:rsid w:val="00CA799B"/>
    <w:rsid w:val="00CB4623"/>
    <w:rsid w:val="00CC1D4F"/>
    <w:rsid w:val="00CD6C72"/>
    <w:rsid w:val="00CE14BD"/>
    <w:rsid w:val="00CE451A"/>
    <w:rsid w:val="00CE4E05"/>
    <w:rsid w:val="00CE67A1"/>
    <w:rsid w:val="00D059BC"/>
    <w:rsid w:val="00D06755"/>
    <w:rsid w:val="00D16343"/>
    <w:rsid w:val="00D32886"/>
    <w:rsid w:val="00D330F7"/>
    <w:rsid w:val="00D33414"/>
    <w:rsid w:val="00D35F0A"/>
    <w:rsid w:val="00D5075B"/>
    <w:rsid w:val="00D540E8"/>
    <w:rsid w:val="00D54DFC"/>
    <w:rsid w:val="00D72111"/>
    <w:rsid w:val="00D836B2"/>
    <w:rsid w:val="00D8388D"/>
    <w:rsid w:val="00D84A41"/>
    <w:rsid w:val="00D93866"/>
    <w:rsid w:val="00D93D2B"/>
    <w:rsid w:val="00DA4C12"/>
    <w:rsid w:val="00DA7816"/>
    <w:rsid w:val="00DB09B7"/>
    <w:rsid w:val="00DB50E6"/>
    <w:rsid w:val="00DD78EE"/>
    <w:rsid w:val="00DE4554"/>
    <w:rsid w:val="00DF6615"/>
    <w:rsid w:val="00DF7A1B"/>
    <w:rsid w:val="00E016B7"/>
    <w:rsid w:val="00E1532E"/>
    <w:rsid w:val="00E35345"/>
    <w:rsid w:val="00E433B1"/>
    <w:rsid w:val="00E51180"/>
    <w:rsid w:val="00E56F36"/>
    <w:rsid w:val="00E651F4"/>
    <w:rsid w:val="00E663B8"/>
    <w:rsid w:val="00E719A0"/>
    <w:rsid w:val="00E7632C"/>
    <w:rsid w:val="00E81B73"/>
    <w:rsid w:val="00E8251F"/>
    <w:rsid w:val="00E87347"/>
    <w:rsid w:val="00EB1A4F"/>
    <w:rsid w:val="00EB4BC4"/>
    <w:rsid w:val="00EB5666"/>
    <w:rsid w:val="00EC2C49"/>
    <w:rsid w:val="00ED51F7"/>
    <w:rsid w:val="00EE31B4"/>
    <w:rsid w:val="00EF1C7D"/>
    <w:rsid w:val="00EF3DDB"/>
    <w:rsid w:val="00F1157E"/>
    <w:rsid w:val="00F12183"/>
    <w:rsid w:val="00F21C23"/>
    <w:rsid w:val="00F309EB"/>
    <w:rsid w:val="00F36422"/>
    <w:rsid w:val="00F370F7"/>
    <w:rsid w:val="00F37747"/>
    <w:rsid w:val="00F379E7"/>
    <w:rsid w:val="00F44D23"/>
    <w:rsid w:val="00F5104B"/>
    <w:rsid w:val="00F558B6"/>
    <w:rsid w:val="00F57761"/>
    <w:rsid w:val="00F67F58"/>
    <w:rsid w:val="00F725D2"/>
    <w:rsid w:val="00F80100"/>
    <w:rsid w:val="00F82362"/>
    <w:rsid w:val="00F86396"/>
    <w:rsid w:val="00F86920"/>
    <w:rsid w:val="00F86AF9"/>
    <w:rsid w:val="00FA24D9"/>
    <w:rsid w:val="00FA6745"/>
    <w:rsid w:val="00FB727B"/>
    <w:rsid w:val="00FB79E1"/>
    <w:rsid w:val="00FB7AD4"/>
    <w:rsid w:val="00FC4211"/>
    <w:rsid w:val="00FC4A13"/>
    <w:rsid w:val="00FC53F8"/>
    <w:rsid w:val="00FD4093"/>
    <w:rsid w:val="00FD429F"/>
    <w:rsid w:val="00FE1246"/>
    <w:rsid w:val="00FE1D3E"/>
    <w:rsid w:val="05542851"/>
    <w:rsid w:val="05DD06BF"/>
    <w:rsid w:val="08467869"/>
    <w:rsid w:val="085B3E17"/>
    <w:rsid w:val="0A797252"/>
    <w:rsid w:val="0C0F5B99"/>
    <w:rsid w:val="0CCE7C56"/>
    <w:rsid w:val="0D1A44CC"/>
    <w:rsid w:val="0D3A5A37"/>
    <w:rsid w:val="0E2945A7"/>
    <w:rsid w:val="101912FD"/>
    <w:rsid w:val="11954F74"/>
    <w:rsid w:val="159F277F"/>
    <w:rsid w:val="15E40D35"/>
    <w:rsid w:val="172272E9"/>
    <w:rsid w:val="1C9E68A1"/>
    <w:rsid w:val="1CA31112"/>
    <w:rsid w:val="206E5E16"/>
    <w:rsid w:val="241362F0"/>
    <w:rsid w:val="26E95E27"/>
    <w:rsid w:val="2BDD02B4"/>
    <w:rsid w:val="2E570437"/>
    <w:rsid w:val="2EB63029"/>
    <w:rsid w:val="2F392A40"/>
    <w:rsid w:val="2F464495"/>
    <w:rsid w:val="2FF373FB"/>
    <w:rsid w:val="31983D3C"/>
    <w:rsid w:val="31B91B44"/>
    <w:rsid w:val="31E43583"/>
    <w:rsid w:val="346804F6"/>
    <w:rsid w:val="39000741"/>
    <w:rsid w:val="3A000944"/>
    <w:rsid w:val="3DEF40D0"/>
    <w:rsid w:val="3EE406BB"/>
    <w:rsid w:val="3F767FC2"/>
    <w:rsid w:val="455E1D85"/>
    <w:rsid w:val="47806CE0"/>
    <w:rsid w:val="4BAC45CF"/>
    <w:rsid w:val="4D73233C"/>
    <w:rsid w:val="529A362A"/>
    <w:rsid w:val="536129AF"/>
    <w:rsid w:val="59167285"/>
    <w:rsid w:val="5A42058A"/>
    <w:rsid w:val="5BB83D2C"/>
    <w:rsid w:val="60F60E2D"/>
    <w:rsid w:val="61EF118E"/>
    <w:rsid w:val="65754FED"/>
    <w:rsid w:val="66A43168"/>
    <w:rsid w:val="67412A0B"/>
    <w:rsid w:val="69440401"/>
    <w:rsid w:val="6BC604C0"/>
    <w:rsid w:val="6C985B10"/>
    <w:rsid w:val="6F085F6C"/>
    <w:rsid w:val="6FA40D24"/>
    <w:rsid w:val="745A256D"/>
    <w:rsid w:val="74EB625C"/>
    <w:rsid w:val="76786537"/>
    <w:rsid w:val="76FC64FF"/>
    <w:rsid w:val="78553CBD"/>
    <w:rsid w:val="791A4728"/>
    <w:rsid w:val="7C226CCE"/>
    <w:rsid w:val="7C923CDE"/>
    <w:rsid w:val="7DB65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qFormat/>
    <w:uiPriority w:val="0"/>
    <w:pPr>
      <w:keepNext/>
      <w:keepLines/>
      <w:tabs>
        <w:tab w:val="left" w:pos="720"/>
      </w:tabs>
      <w:spacing w:before="260" w:after="260" w:line="360" w:lineRule="auto"/>
      <w:jc w:val="center"/>
      <w:outlineLvl w:val="1"/>
    </w:pPr>
    <w:rPr>
      <w:rFonts w:hAnsi="宋体" w:cs="Arial"/>
      <w:b/>
      <w:bCs/>
      <w:iCs/>
      <w:sz w:val="28"/>
      <w:szCs w:val="28"/>
    </w:rPr>
  </w:style>
  <w:style w:type="paragraph" w:styleId="4">
    <w:name w:val="heading 3"/>
    <w:basedOn w:val="1"/>
    <w:next w:val="1"/>
    <w:link w:val="37"/>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8"/>
    <w:semiHidden/>
    <w:unhideWhenUsed/>
    <w:qFormat/>
    <w:uiPriority w:val="9"/>
    <w:pPr>
      <w:keepNext/>
      <w:keepLines/>
      <w:spacing w:before="280" w:after="290" w:line="376" w:lineRule="auto"/>
      <w:outlineLvl w:val="4"/>
    </w:pPr>
    <w:rPr>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7">
    <w:name w:val="Document Map"/>
    <w:basedOn w:val="1"/>
    <w:link w:val="31"/>
    <w:semiHidden/>
    <w:unhideWhenUsed/>
    <w:qFormat/>
    <w:uiPriority w:val="99"/>
    <w:rPr>
      <w:rFonts w:ascii="宋体" w:eastAsia="宋体"/>
      <w:sz w:val="18"/>
      <w:szCs w:val="18"/>
    </w:rPr>
  </w:style>
  <w:style w:type="paragraph" w:styleId="8">
    <w:name w:val="annotation text"/>
    <w:basedOn w:val="1"/>
    <w:link w:val="24"/>
    <w:semiHidden/>
    <w:unhideWhenUsed/>
    <w:qFormat/>
    <w:uiPriority w:val="99"/>
    <w:pPr>
      <w:jc w:val="left"/>
    </w:pPr>
  </w:style>
  <w:style w:type="paragraph" w:styleId="9">
    <w:name w:val="Body Text"/>
    <w:basedOn w:val="1"/>
    <w:link w:val="35"/>
    <w:semiHidden/>
    <w:unhideWhenUsed/>
    <w:qFormat/>
    <w:uiPriority w:val="99"/>
    <w:pPr>
      <w:spacing w:after="120"/>
    </w:pPr>
  </w:style>
  <w:style w:type="paragraph" w:styleId="10">
    <w:name w:val="Body Text Indent"/>
    <w:basedOn w:val="1"/>
    <w:link w:val="34"/>
    <w:qFormat/>
    <w:uiPriority w:val="0"/>
    <w:pPr>
      <w:autoSpaceDE w:val="0"/>
      <w:autoSpaceDN w:val="0"/>
      <w:adjustRightInd w:val="0"/>
      <w:spacing w:line="360" w:lineRule="auto"/>
      <w:ind w:firstLine="540" w:firstLineChars="180"/>
    </w:pPr>
    <w:rPr>
      <w:sz w:val="30"/>
      <w:szCs w:val="24"/>
    </w:rPr>
  </w:style>
  <w:style w:type="paragraph" w:styleId="11">
    <w:name w:val="Plain Text"/>
    <w:basedOn w:val="1"/>
    <w:link w:val="25"/>
    <w:qFormat/>
    <w:uiPriority w:val="99"/>
    <w:pPr>
      <w:autoSpaceDE w:val="0"/>
      <w:autoSpaceDN w:val="0"/>
      <w:adjustRightInd w:val="0"/>
    </w:pPr>
    <w:rPr>
      <w:rFonts w:hint="eastAsia" w:hAnsi="Tms Rmn"/>
    </w:rPr>
  </w:style>
  <w:style w:type="paragraph" w:styleId="12">
    <w:name w:val="Date"/>
    <w:basedOn w:val="1"/>
    <w:next w:val="1"/>
    <w:link w:val="39"/>
    <w:semiHidden/>
    <w:unhideWhenUsed/>
    <w:qFormat/>
    <w:uiPriority w:val="99"/>
    <w:pPr>
      <w:ind w:left="100" w:leftChars="2500"/>
    </w:pPr>
  </w:style>
  <w:style w:type="paragraph" w:styleId="13">
    <w:name w:val="Balloon Text"/>
    <w:basedOn w:val="1"/>
    <w:link w:val="26"/>
    <w:semiHidden/>
    <w:unhideWhenUsed/>
    <w:qFormat/>
    <w:uiPriority w:val="99"/>
    <w:rPr>
      <w:sz w:val="18"/>
      <w:szCs w:val="18"/>
    </w:rPr>
  </w:style>
  <w:style w:type="paragraph" w:styleId="14">
    <w:name w:val="footer"/>
    <w:basedOn w:val="1"/>
    <w:link w:val="27"/>
    <w:unhideWhenUsed/>
    <w:qFormat/>
    <w:uiPriority w:val="99"/>
    <w:pPr>
      <w:tabs>
        <w:tab w:val="center" w:pos="4153"/>
        <w:tab w:val="right" w:pos="8306"/>
      </w:tabs>
      <w:snapToGrid w:val="0"/>
      <w:jc w:val="left"/>
    </w:pPr>
    <w:rPr>
      <w:sz w:val="18"/>
      <w:szCs w:val="18"/>
    </w:rPr>
  </w:style>
  <w:style w:type="paragraph" w:styleId="15">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style>
  <w:style w:type="paragraph" w:styleId="17">
    <w:name w:val="Title"/>
    <w:basedOn w:val="1"/>
    <w:next w:val="1"/>
    <w:link w:val="41"/>
    <w:qFormat/>
    <w:uiPriority w:val="10"/>
    <w:pPr>
      <w:spacing w:before="240" w:after="60"/>
      <w:jc w:val="center"/>
      <w:outlineLvl w:val="0"/>
    </w:pPr>
    <w:rPr>
      <w:rFonts w:eastAsia="宋体" w:asciiTheme="majorHAnsi" w:hAnsiTheme="majorHAnsi" w:cstheme="majorBidi"/>
      <w:b/>
      <w:bCs/>
      <w:sz w:val="32"/>
      <w:szCs w:val="32"/>
    </w:rPr>
  </w:style>
  <w:style w:type="paragraph" w:styleId="18">
    <w:name w:val="annotation subject"/>
    <w:basedOn w:val="8"/>
    <w:next w:val="8"/>
    <w:link w:val="29"/>
    <w:semiHidden/>
    <w:unhideWhenUsed/>
    <w:qFormat/>
    <w:uiPriority w:val="99"/>
    <w:rPr>
      <w:b/>
      <w:bCs/>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unhideWhenUsed/>
    <w:qFormat/>
    <w:uiPriority w:val="99"/>
    <w:rPr>
      <w:color w:val="0000FF" w:themeColor="hyperlink"/>
      <w:u w:val="single"/>
      <w14:textFill>
        <w14:solidFill>
          <w14:schemeClr w14:val="hlink"/>
        </w14:solidFill>
      </w14:textFill>
    </w:rPr>
  </w:style>
  <w:style w:type="character" w:styleId="23">
    <w:name w:val="annotation reference"/>
    <w:basedOn w:val="21"/>
    <w:unhideWhenUsed/>
    <w:qFormat/>
    <w:uiPriority w:val="0"/>
    <w:rPr>
      <w:sz w:val="21"/>
      <w:szCs w:val="21"/>
    </w:rPr>
  </w:style>
  <w:style w:type="character" w:customStyle="1" w:styleId="24">
    <w:name w:val="批注文字 字符"/>
    <w:basedOn w:val="21"/>
    <w:link w:val="8"/>
    <w:semiHidden/>
    <w:qFormat/>
    <w:uiPriority w:val="99"/>
  </w:style>
  <w:style w:type="character" w:customStyle="1" w:styleId="25">
    <w:name w:val="纯文本 字符"/>
    <w:basedOn w:val="21"/>
    <w:link w:val="11"/>
    <w:qFormat/>
    <w:uiPriority w:val="99"/>
    <w:rPr>
      <w:rFonts w:hAnsi="Tms Rmn"/>
      <w:kern w:val="2"/>
      <w:sz w:val="21"/>
      <w:szCs w:val="22"/>
    </w:rPr>
  </w:style>
  <w:style w:type="character" w:customStyle="1" w:styleId="26">
    <w:name w:val="批注框文本 字符"/>
    <w:basedOn w:val="21"/>
    <w:link w:val="13"/>
    <w:semiHidden/>
    <w:qFormat/>
    <w:uiPriority w:val="99"/>
    <w:rPr>
      <w:sz w:val="18"/>
      <w:szCs w:val="18"/>
    </w:rPr>
  </w:style>
  <w:style w:type="character" w:customStyle="1" w:styleId="27">
    <w:name w:val="页脚 字符"/>
    <w:basedOn w:val="21"/>
    <w:link w:val="14"/>
    <w:qFormat/>
    <w:uiPriority w:val="99"/>
    <w:rPr>
      <w:sz w:val="18"/>
      <w:szCs w:val="18"/>
    </w:rPr>
  </w:style>
  <w:style w:type="character" w:customStyle="1" w:styleId="28">
    <w:name w:val="页眉 字符"/>
    <w:basedOn w:val="21"/>
    <w:link w:val="15"/>
    <w:qFormat/>
    <w:uiPriority w:val="99"/>
    <w:rPr>
      <w:sz w:val="18"/>
      <w:szCs w:val="18"/>
    </w:rPr>
  </w:style>
  <w:style w:type="character" w:customStyle="1" w:styleId="29">
    <w:name w:val="批注主题 字符"/>
    <w:basedOn w:val="24"/>
    <w:link w:val="18"/>
    <w:semiHidden/>
    <w:qFormat/>
    <w:uiPriority w:val="99"/>
    <w:rPr>
      <w:b/>
      <w:bCs/>
    </w:rPr>
  </w:style>
  <w:style w:type="paragraph" w:styleId="30">
    <w:name w:val="List Paragraph"/>
    <w:basedOn w:val="1"/>
    <w:qFormat/>
    <w:uiPriority w:val="34"/>
    <w:pPr>
      <w:ind w:firstLine="420" w:firstLineChars="200"/>
    </w:pPr>
  </w:style>
  <w:style w:type="character" w:customStyle="1" w:styleId="31">
    <w:name w:val="文档结构图 字符"/>
    <w:basedOn w:val="21"/>
    <w:link w:val="7"/>
    <w:semiHidden/>
    <w:qFormat/>
    <w:uiPriority w:val="99"/>
    <w:rPr>
      <w:rFonts w:ascii="宋体" w:eastAsia="宋体"/>
      <w:kern w:val="2"/>
      <w:sz w:val="18"/>
      <w:szCs w:val="18"/>
    </w:rPr>
  </w:style>
  <w:style w:type="paragraph" w:customStyle="1" w:styleId="3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3">
    <w:name w:val="标题 2 字符"/>
    <w:basedOn w:val="21"/>
    <w:link w:val="3"/>
    <w:qFormat/>
    <w:uiPriority w:val="0"/>
    <w:rPr>
      <w:rFonts w:hAnsi="宋体" w:cs="Arial"/>
      <w:b/>
      <w:bCs/>
      <w:iCs/>
      <w:kern w:val="2"/>
      <w:sz w:val="28"/>
      <w:szCs w:val="28"/>
    </w:rPr>
  </w:style>
  <w:style w:type="character" w:customStyle="1" w:styleId="34">
    <w:name w:val="正文文本缩进 字符"/>
    <w:basedOn w:val="21"/>
    <w:link w:val="10"/>
    <w:qFormat/>
    <w:uiPriority w:val="0"/>
    <w:rPr>
      <w:kern w:val="2"/>
      <w:sz w:val="30"/>
      <w:szCs w:val="24"/>
    </w:rPr>
  </w:style>
  <w:style w:type="character" w:customStyle="1" w:styleId="35">
    <w:name w:val="正文文本 字符"/>
    <w:basedOn w:val="21"/>
    <w:link w:val="9"/>
    <w:semiHidden/>
    <w:qFormat/>
    <w:uiPriority w:val="99"/>
    <w:rPr>
      <w:rFonts w:asciiTheme="minorHAnsi" w:hAnsiTheme="minorHAnsi" w:eastAsiaTheme="minorEastAsia" w:cstheme="minorBidi"/>
      <w:kern w:val="2"/>
      <w:sz w:val="21"/>
      <w:szCs w:val="22"/>
    </w:rPr>
  </w:style>
  <w:style w:type="character" w:customStyle="1" w:styleId="36">
    <w:name w:val="标题 1 字符"/>
    <w:basedOn w:val="21"/>
    <w:link w:val="2"/>
    <w:qFormat/>
    <w:uiPriority w:val="9"/>
    <w:rPr>
      <w:rFonts w:asciiTheme="minorHAnsi" w:hAnsiTheme="minorHAnsi" w:eastAsiaTheme="minorEastAsia" w:cstheme="minorBidi"/>
      <w:b/>
      <w:bCs/>
      <w:kern w:val="44"/>
      <w:sz w:val="44"/>
      <w:szCs w:val="44"/>
    </w:rPr>
  </w:style>
  <w:style w:type="character" w:customStyle="1" w:styleId="37">
    <w:name w:val="标题 3 字符"/>
    <w:basedOn w:val="21"/>
    <w:link w:val="4"/>
    <w:qFormat/>
    <w:uiPriority w:val="9"/>
    <w:rPr>
      <w:rFonts w:asciiTheme="minorHAnsi" w:hAnsiTheme="minorHAnsi" w:eastAsiaTheme="minorEastAsia" w:cstheme="minorBidi"/>
      <w:b/>
      <w:bCs/>
      <w:kern w:val="2"/>
      <w:sz w:val="32"/>
      <w:szCs w:val="32"/>
    </w:rPr>
  </w:style>
  <w:style w:type="character" w:customStyle="1" w:styleId="38">
    <w:name w:val="标题 5 字符"/>
    <w:basedOn w:val="21"/>
    <w:link w:val="6"/>
    <w:semiHidden/>
    <w:qFormat/>
    <w:uiPriority w:val="9"/>
    <w:rPr>
      <w:rFonts w:asciiTheme="minorHAnsi" w:hAnsiTheme="minorHAnsi" w:eastAsiaTheme="minorEastAsia" w:cstheme="minorBidi"/>
      <w:b/>
      <w:bCs/>
      <w:kern w:val="2"/>
      <w:sz w:val="28"/>
      <w:szCs w:val="28"/>
    </w:rPr>
  </w:style>
  <w:style w:type="character" w:customStyle="1" w:styleId="39">
    <w:name w:val="日期 字符"/>
    <w:basedOn w:val="21"/>
    <w:link w:val="12"/>
    <w:semiHidden/>
    <w:qFormat/>
    <w:uiPriority w:val="99"/>
    <w:rPr>
      <w:rFonts w:asciiTheme="minorHAnsi" w:hAnsiTheme="minorHAnsi" w:eastAsiaTheme="minorEastAsia" w:cstheme="minorBidi"/>
      <w:kern w:val="2"/>
      <w:sz w:val="21"/>
      <w:szCs w:val="22"/>
    </w:rPr>
  </w:style>
  <w:style w:type="paragraph" w:customStyle="1" w:styleId="40">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1">
    <w:name w:val="标题 字符"/>
    <w:basedOn w:val="21"/>
    <w:link w:val="17"/>
    <w:qFormat/>
    <w:uiPriority w:val="10"/>
    <w:rPr>
      <w:rFonts w:asciiTheme="majorHAnsi" w:hAnsiTheme="majorHAnsi" w:cstheme="majorBidi"/>
      <w:b/>
      <w:bCs/>
      <w:kern w:val="2"/>
      <w:sz w:val="32"/>
      <w:szCs w:val="32"/>
    </w:rPr>
  </w:style>
  <w:style w:type="character" w:customStyle="1" w:styleId="42">
    <w:name w:val="标题 4 字符"/>
    <w:basedOn w:val="21"/>
    <w:link w:val="5"/>
    <w:qFormat/>
    <w:uiPriority w:val="9"/>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6.xml"/><Relationship Id="rId8" Type="http://schemas.openxmlformats.org/officeDocument/2006/relationships/customXml" Target="../customXml/item5.xml"/><Relationship Id="rId7" Type="http://schemas.openxmlformats.org/officeDocument/2006/relationships/customXml" Target="../customXml/item4.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sl="http://schemas.openxmlformats.org/schemaLibrary/2006/main" xmlns:mc="http://schemas.openxmlformats.org/markup-compatibility/2006"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 StyleName=""/>
</file>

<file path=customXml/item2.xml><?xml version="1.0" encoding="utf-8"?>
<b: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sl="http://schemas.openxmlformats.org/schemaLibrary/2006/main" xmlns:mc="http://schemas.openxmlformats.org/markup-compatibility/2006"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 StyleName=""/>
</file>

<file path=customXml/item3.xml><?xml version="1.0" encoding="utf-8"?>
<b: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sl="http://schemas.openxmlformats.org/schemaLibrary/2006/main" xmlns:mc="http://schemas.openxmlformats.org/markup-compatibility/2006"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 StyleName=""/>
</file>

<file path=customXml/item4.xml><?xml version="1.0" encoding="utf-8"?>
<b: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sl="http://schemas.openxmlformats.org/schemaLibrary/2006/main" xmlns:mc="http://schemas.openxmlformats.org/markup-compatibility/2006"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 StyleName=""/>
</file>

<file path=customXml/item5.xml><?xml version="1.0" encoding="utf-8"?>
<b: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sl="http://schemas.openxmlformats.org/schemaLibrary/2006/main" xmlns:mc="http://schemas.openxmlformats.org/markup-compatibility/2006"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 StyleName=""/>
</file>

<file path=customXml/item6.xml><?xml version="1.0" encoding="utf-8"?>
<b: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sl="http://schemas.openxmlformats.org/schemaLibrary/2006/main" xmlns:mc="http://schemas.openxmlformats.org/markup-compatibility/2006"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 StyleName=""/>
</file>

<file path=customXml/itemProps1.xml><?xml version="1.0" encoding="utf-8"?>
<ds:datastoreItem xmlns:ds="http://schemas.openxmlformats.org/officeDocument/2006/customXml" ds:itemID="{0D29DEB7-0AB0-43CE-9891-F7E7FF651146}">
  <ds:schemaRefs/>
</ds:datastoreItem>
</file>

<file path=customXml/itemProps2.xml><?xml version="1.0" encoding="utf-8"?>
<ds:datastoreItem xmlns:ds="http://schemas.openxmlformats.org/officeDocument/2006/customXml" ds:itemID="{66A9DA44-677C-4C79-8769-DC1F1F71ED17}">
  <ds:schemaRefs/>
</ds:datastoreItem>
</file>

<file path=customXml/itemProps3.xml><?xml version="1.0" encoding="utf-8"?>
<ds:datastoreItem xmlns:ds="http://schemas.openxmlformats.org/officeDocument/2006/customXml" ds:itemID="{DFA7DC2B-A850-4E12-9B4E-B1F7082CCF40}">
  <ds:schemaRefs/>
</ds:datastoreItem>
</file>

<file path=customXml/itemProps4.xml><?xml version="1.0" encoding="utf-8"?>
<ds:datastoreItem xmlns:ds="http://schemas.openxmlformats.org/officeDocument/2006/customXml" ds:itemID="{B86E83BB-9477-46F9-8716-7461325FDE14}">
  <ds:schemaRefs/>
</ds:datastoreItem>
</file>

<file path=customXml/itemProps5.xml><?xml version="1.0" encoding="utf-8"?>
<ds:datastoreItem xmlns:ds="http://schemas.openxmlformats.org/officeDocument/2006/customXml" ds:itemID="{9A171ECC-DCE4-4329-8E23-829DC1EC9571}">
  <ds:schemaRefs/>
</ds:datastoreItem>
</file>

<file path=customXml/itemProps6.xml><?xml version="1.0" encoding="utf-8"?>
<ds:datastoreItem xmlns:ds="http://schemas.openxmlformats.org/officeDocument/2006/customXml" ds:itemID="{40B5D416-2B2A-41C8-86BF-C2EAF1BC8D57}">
  <ds:schemaRefs/>
</ds:datastoreItem>
</file>

<file path=docProps/app.xml><?xml version="1.0" encoding="utf-8"?>
<Properties xmlns="http://schemas.openxmlformats.org/officeDocument/2006/extended-properties" xmlns:vt="http://schemas.openxmlformats.org/officeDocument/2006/docPropsVTypes">
  <Template>Normal.dotm</Template>
  <Company>懒人工作室</Company>
  <Pages>5</Pages>
  <Words>1409</Words>
  <Characters>1451</Characters>
  <Lines>26</Lines>
  <Paragraphs>7</Paragraphs>
  <TotalTime>11</TotalTime>
  <ScaleCrop>false</ScaleCrop>
  <LinksUpToDate>false</LinksUpToDate>
  <CharactersWithSpaces>1451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2026-06-11T08:06:00Z</dcterms:created>
  <dc:creator>文星</dc:creator>
  <cp:lastModifiedBy>Chocolateee*</cp:lastModifiedBy>
  <dcterms:modified xsi:type="dcterms:W3CDTF">2026-07-28T08:23:53Z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CDA91259A28C48048DA1C7818208CE4D</vt:lpwstr>
  </property>
  <property fmtid="{D5CDD505-2E9C-101B-9397-08002B2CF9AE}" pid="4" name="KSOTemplateDocerSaveRecord">
    <vt:lpwstr>eyJoZGlkIjoiNTM4YzhkZWFiN2NjNzYzYWJkNjRkNDkwNGRiNzUxZWQiLCJ1c2VySWQiOiIyOTkzMDE5ODgifQ==</vt:lpwstr>
  </property>
</Properties>
</file>