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560" w:lineRule="exact"/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</w:rPr>
        <w:t>附</w:t>
      </w:r>
      <w:r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</w:rPr>
        <w:t>件</w:t>
      </w:r>
    </w:p>
    <w:p>
      <w:pPr>
        <w:shd w:val="clear" w:color="auto" w:fill="auto"/>
        <w:autoSpaceDN w:val="0"/>
        <w:adjustRightInd w:val="0"/>
        <w:snapToGrid w:val="0"/>
        <w:spacing w:line="0" w:lineRule="atLeast"/>
        <w:jc w:val="center"/>
        <w:textAlignment w:val="center"/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color w:val="000000"/>
          <w:sz w:val="40"/>
          <w:szCs w:val="40"/>
          <w:lang w:val="en-US" w:eastAsia="zh-CN"/>
        </w:rPr>
        <w:t>阳江市市场监督管理系统202</w:t>
      </w:r>
      <w:r>
        <w:rPr>
          <w:rFonts w:hint="eastAsia" w:eastAsia="方正小标宋简体" w:cs="Times New Roman"/>
          <w:bCs/>
          <w:color w:val="000000"/>
          <w:sz w:val="40"/>
          <w:szCs w:val="40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Cs/>
          <w:color w:val="000000"/>
          <w:sz w:val="40"/>
          <w:szCs w:val="40"/>
          <w:lang w:val="en-US" w:eastAsia="zh-CN"/>
        </w:rPr>
        <w:t>年</w:t>
      </w:r>
      <w:r>
        <w:rPr>
          <w:rFonts w:hint="eastAsia" w:eastAsia="方正小标宋简体" w:cs="Times New Roman"/>
          <w:bCs/>
          <w:color w:val="000000"/>
          <w:sz w:val="40"/>
          <w:szCs w:val="40"/>
          <w:lang w:val="en-US" w:eastAsia="zh-CN"/>
        </w:rPr>
        <w:t>考试录用公务员</w:t>
      </w:r>
      <w:r>
        <w:rPr>
          <w:rFonts w:hint="eastAsia" w:ascii="Times New Roman" w:hAnsi="Times New Roman" w:eastAsia="方正小标宋简体" w:cs="Times New Roman"/>
          <w:bCs/>
          <w:color w:val="000000"/>
          <w:sz w:val="40"/>
          <w:szCs w:val="40"/>
        </w:rPr>
        <w:t>拟录用人员名单公示</w:t>
      </w:r>
      <w:bookmarkEnd w:id="0"/>
    </w:p>
    <w:p>
      <w:pPr>
        <w:shd w:val="solid" w:color="FFFFFF" w:fill="auto"/>
        <w:autoSpaceDN w:val="0"/>
        <w:spacing w:line="560" w:lineRule="exact"/>
        <w:rPr>
          <w:rFonts w:hint="eastAsia" w:ascii="黑体" w:hAnsi="黑体" w:eastAsia="黑体" w:cs="黑体"/>
          <w:color w:val="000000"/>
          <w:shd w:val="clear" w:color="auto" w:fill="FFFFFF"/>
        </w:rPr>
      </w:pPr>
    </w:p>
    <w:tbl>
      <w:tblPr>
        <w:tblStyle w:val="3"/>
        <w:tblW w:w="923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031"/>
        <w:gridCol w:w="532"/>
        <w:gridCol w:w="1779"/>
        <w:gridCol w:w="2685"/>
        <w:gridCol w:w="2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0"/>
              </w:tabs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  <w:t>准考证</w:t>
            </w: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所在工作单位或</w:t>
            </w:r>
          </w:p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0" w:lineRule="atLeas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b/>
                <w:color w:val="000000"/>
                <w:sz w:val="24"/>
                <w:szCs w:val="24"/>
              </w:rPr>
              <w:t>录用单位及职位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谢伟琳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2"/>
                <w:szCs w:val="22"/>
              </w:rPr>
              <w:t>111141203130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广州医科大学生物医学工程专业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阳江市市场监督管理局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药品与化妆品安全监督管理科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一级科员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胡泽涵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简体" w:hAnsi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2"/>
                <w:szCs w:val="22"/>
                <w:lang w:val="en-US" w:eastAsia="zh-CN"/>
              </w:rPr>
              <w:t>111140600423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华南农业大学机械设计制造及其自动化专业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阳江市市场监督管理局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特种设备安全监察科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一级科员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焦光锴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简体" w:hAnsi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2"/>
                <w:szCs w:val="22"/>
              </w:rPr>
              <w:t>111141202827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中南财经政法大学国际经济与贸易专业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阳江市市场监督管理局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标准化科</w:t>
            </w: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一级科员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邵锦倩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简体" w:hAnsi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2"/>
                <w:szCs w:val="22"/>
              </w:rPr>
              <w:t>111140202421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</w:rPr>
              <w:t>华南农业大学中药资源与开发专业</w:t>
            </w:r>
          </w:p>
        </w:tc>
        <w:tc>
          <w:tcPr>
            <w:tcW w:w="2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cs="方正仿宋简体"/>
                <w:color w:val="000000"/>
                <w:sz w:val="24"/>
                <w:szCs w:val="24"/>
                <w:lang w:eastAsia="zh-CN"/>
              </w:rPr>
              <w:t>阳江市食品药品检验所一级科员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A5F70"/>
    <w:rsid w:val="337A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4"/>
      <w:szCs w:val="24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2026-04-16T08:02:00Z</dcterms:created>
  <dc:creator>Administrator</dc:creator>
  <cp:lastModifiedBy>Administrator</cp:lastModifiedBy>
  <dcterms:modified xsi:type="dcterms:W3CDTF">2026-04-16T08:02:53Z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