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A3585">
      <w:pPr>
        <w:pStyle w:val="18"/>
        <w:widowControl w:val="0"/>
        <w:spacing w:line="580" w:lineRule="exact"/>
        <w:jc w:val="both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</w:pPr>
      <mc:AlternateContent>
        <mc:Choice Requires="wpsCustomData">
          <wpsCustomData:docfieldStart id="0" docfieldname="标题_1" hidden="0" print="1" readonly="0" index="1"/>
        </mc:Choice>
      </mc:AlternateContent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  <w:t>附件</w:t>
      </w:r>
    </w:p>
    <w:p w14:paraId="48BBD153">
      <w:pPr>
        <w:pStyle w:val="18"/>
        <w:widowControl w:val="0"/>
        <w:spacing w:line="580" w:lineRule="exact"/>
        <w:jc w:val="both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u w:val="none" w:color="auto"/>
          <w:lang w:val="en-US" w:eastAsia="zh-CN" w:bidi="ar"/>
        </w:rPr>
      </w:pPr>
    </w:p>
    <w:p w14:paraId="2503830C">
      <w:pPr>
        <w:pStyle w:val="18"/>
        <w:widowControl w:val="0"/>
        <w:spacing w:line="580" w:lineRule="exact"/>
      </w:pPr>
      <w:r>
        <w:t>阳江市2026年科技创新工作要点</w:t>
      </w:r>
    </w:p>
    <mc:AlternateContent>
      <mc:Choice Requires="wpsCustomData">
        <wpsCustomData:docfieldEnd id="0"/>
      </mc:Choice>
    </mc:AlternateContent>
    <w:p w14:paraId="042D0629">
      <w:pPr>
        <w:pStyle w:val="13"/>
        <w:bidi w:val="0"/>
        <w:spacing w:beforeAutospacing="0" w:afterAutospacing="0" w:line="580" w:lineRule="exact"/>
      </w:pPr>
    </w:p>
    <w:p w14:paraId="125EF063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2026年是“十五五”开局之年，也是深入推进科技强国建设的关键之年。全市科技系统以习近平新时代中国特色社会主义思想为指导，全面落实省委“1310”具体部署和市委“433”工作安排，紧扣新质生产力培育主线，着力推进体制机制改革、创新平台提质、创新格局构建、关键技术攻关、产学研协同与成果转化、人才队伍优化，促进“四链”深度融合，构建“应用基础研究+技术攻关+成果转化+科技金融+人才支撑”全过程创新生态链，以新质生产力助推阳江高质量发展。2026年工作要点如下：</w:t>
      </w:r>
    </w:p>
    <w:p w14:paraId="352BE4DE">
      <w:pPr>
        <w:keepNext w:val="0"/>
        <w:keepLines w:val="0"/>
        <w:widowControl w:val="0"/>
        <w:tabs>
          <w:tab w:val="left" w:pos="603"/>
        </w:tabs>
        <w:spacing w:line="580" w:lineRule="exact"/>
        <w:ind w:firstLineChars="200"/>
        <w:jc w:val="both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一、深化体制机制改革，构筑</w:t>
      </w: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  <w:woUserID w:val="0"/>
        </w:rPr>
        <w:t>优质</w:t>
      </w: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创新生态环境</w:t>
      </w:r>
    </w:p>
    <w:p w14:paraId="31A5E3B2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（一）高标准编制科技创新“十五五”规划。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对标先进地区科技创新发展的成熟经验和实践做法，坚持高起点谋划、高标准推进、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切实际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起草，扎实做好科技创新领域顶层设计和整体规划布局，全面完成《阳江市科技创新“十五五”规划》编制及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配套政策制定工作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。</w:t>
      </w:r>
    </w:p>
    <w:p w14:paraId="481ABEF8">
      <w:pPr>
        <w:widowControl w:val="0"/>
        <w:autoSpaceDE/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（二）深化科技体制改革。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修订科技计划项目管理办法等规范性文件，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</w:rPr>
        <w:t>深化科技领域“放管服”改革，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在科研经费使用和项目管理等方面给予科研单位更大自主权。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扎实推进我局相关行政职权下放至县区（阳西县）试点实施工作，加强衔接沟通，确保相关行政职权放得下、接得住、管得好、有监督。</w:t>
      </w:r>
    </w:p>
    <w:p w14:paraId="303141EA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  <w:woUserID w:val="0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（三）推动科技金融深度融合。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深化与金融监管部门、各类金融机构及科技企业的联动，搭建线上线下一体化信息交流平台，集中发布政策、项目、金融产品等信息，促进科技与金融资源精准高效对接。制定科技保险补助政策，对科技企业在创业孵化、科研实验、技术研发、成果转化等环节的相关保险保费给予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" w:bidi="ar"/>
          <w:woUserID w:val="0"/>
        </w:rPr>
        <w:t>一定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比例补贴。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针对高新技术企业研发风险等场景，定制专属保险产品，降低企业创新运营成本。</w:t>
      </w:r>
    </w:p>
    <w:p w14:paraId="618FC7CA">
      <w:pPr>
        <w:keepNext w:val="0"/>
        <w:keepLines w:val="0"/>
        <w:widowControl w:val="0"/>
        <w:suppressLineNumbers w:val="0"/>
        <w:spacing w:line="58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（四）开展科技政策多维宣贯。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通过科技下乡、业务培训班、一企一议、互联互通等系列活动，推动科技政策精准触达我市重点科技企业、中小科创主体及相关市场主体，确保政策宣传不跑偏、不缺位。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邀请省科技领域领导、专家到我市开展科技政策法规宣讲、举办科技项目管理培训班，及时掌握省科技政策动态，提升项目管理质效，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全面提升我市科技管理人员队伍的业务水平。</w:t>
      </w:r>
    </w:p>
    <w:p w14:paraId="2931A87B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（五）强化研发投入统计调度。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组织开展研发费用加计扣除专题培训，落实研发费用加计扣除、高新技术企业税收优惠等政策，引导企业加大研发投入。做好重点工作监测指标和相关创新数据的更新和分析，强化研发投入常态化调度，定期召开专题会议，对重点企业实施清单管理、精准化服务，确保研发投入应统尽统、颗粒归仓，力争全市全社会研发投入水平实现稳步提升。</w:t>
      </w:r>
    </w:p>
    <w:p w14:paraId="47195271">
      <w:pPr>
        <w:keepNext w:val="0"/>
        <w:keepLines w:val="0"/>
        <w:widowControl w:val="0"/>
        <w:tabs>
          <w:tab w:val="left" w:pos="603"/>
        </w:tabs>
        <w:spacing w:line="580" w:lineRule="exact"/>
        <w:ind w:firstLineChars="200"/>
        <w:jc w:val="both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二、建强高能级创新平台，完善全域科技创新体系</w:t>
      </w:r>
    </w:p>
    <w:p w14:paraId="6F997548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（六）推动省实验室高质量建设。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召开省实验室理事会第六次会议，启动上一年度建设评价工作。提前部署运行期考核评估工作，积极争取省、市级财政资金，整合社会各方创新资源参与省实验室建设。进一步推动省实验室科研仪器设备开放共享，深化检测服务和设备共享机制。</w:t>
      </w:r>
    </w:p>
    <w:p w14:paraId="28D18B7B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（七）加速省实验室科技攻关及成果转化。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推动省实验室发挥现有科研人才、场地和设备条件等优势，承担更多国家、省级重大科研任务以及横向项目。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推动“先进材料科技创新与成果转化产业园”“省实验室高强灌浆材料重大科技成果产业化基地”等科研中试基地建设，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重点推动“三好钢”“高端粉末钢”“30X不锈钢”“高强灌浆材料”“海缆保护装置”等技术成果落地产业化，加速省实验室科研成果形成新质生产力。</w:t>
      </w:r>
    </w:p>
    <w:p w14:paraId="2890249B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（八）优化重点实验室体系。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面向我市绿色能源与新型储能、装备制造、先进材料、现代农业和食品加工等重点支柱产业以及商业航天、低空经济、绿色智算、大健康等未来产业，布局建设重点实验室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" w:bidi="ar"/>
          <w:woUserID w:val="0"/>
        </w:rPr>
        <w:t>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2026年计划新增市级以上重点实验室3家。</w:t>
      </w:r>
    </w:p>
    <w:p w14:paraId="2317A32B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（九）扩容升级创新平台矩阵。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推动省级以上创新平台提质、增效、扩容，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2026年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计划新增市级以上工程技术研究中心6家。加快推动绿色氢能技术研究院建设。引导广东海洋大学阳江研究院、阳江职业技术学院等机构增加高质量科技成果供给，与企业深化产学研合作。</w:t>
      </w:r>
    </w:p>
    <w:p w14:paraId="06D95EE6">
      <w:pPr>
        <w:keepNext w:val="0"/>
        <w:keepLines w:val="0"/>
        <w:widowControl w:val="0"/>
        <w:tabs>
          <w:tab w:val="left" w:pos="603"/>
        </w:tabs>
        <w:spacing w:line="580" w:lineRule="exact"/>
        <w:ind w:firstLineChars="200"/>
        <w:jc w:val="both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三、构建区域创新格局，推动</w:t>
      </w: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高新技术产业</w:t>
      </w: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发展</w:t>
      </w:r>
    </w:p>
    <w:p w14:paraId="299BBBBE">
      <w:pPr>
        <w:widowControl w:val="0"/>
        <w:autoSpaceDE/>
        <w:spacing w:line="580" w:lineRule="exact"/>
        <w:ind w:firstLineChars="200"/>
        <w:rPr>
          <w:rFonts w:ascii="Times New Roman" w:hAnsi="Times New Roman" w:eastAsia="方正仿宋简体" w:cs="Times New Roman"/>
          <w:color w:val="auto"/>
          <w:spacing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u w:val="none"/>
          <w:lang w:bidi="ar"/>
        </w:rPr>
        <w:t>（十）提速高新区创建升级。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bidi="ar"/>
        </w:rPr>
        <w:t>强化向上对接，密切联系国家、省相关部门，动态掌握国家高新区创建政策与申报要求，邀请专家团队现场指导，全力争取上级对阳江高新区创建国家高新区的支持。深化短板整改，指导阳江高新区对标部级科技企业孵化器标准完善建设条件，着力提升技术合同登记成交额、优质企业数量等核心指标，增强园区创新能力。全力争取2026年省级促进产业有序转移专项资金项目，围绕绿色能源、先进材料等主导产业，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bidi="ar"/>
          <w:woUserID w:val="0"/>
        </w:rPr>
        <w:t>集聚科技创新资源，打造区域创新高地。</w:t>
      </w:r>
    </w:p>
    <w:p w14:paraId="153EA76B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u w:val="none"/>
          <w:lang w:bidi="ar"/>
        </w:rPr>
        <w:t>（十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u w:val="none"/>
          <w:lang w:eastAsia="zh-CN" w:bidi="ar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u w:val="none"/>
          <w:lang w:bidi="ar"/>
        </w:rPr>
        <w:t>）培育科技型企业梯队。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bidi="ar"/>
        </w:rPr>
        <w:t>精准培育高新技术企业，针对企业规模较小、核心技术薄弱、发明专利储备不足等痛点，提供精准政策解读与技术指导；联合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eastAsia="zh-CN" w:bidi="ar"/>
        </w:rPr>
        <w:t>金融机构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bidi="ar"/>
        </w:rPr>
        <w:t>在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lang w:bidi="ar"/>
          <w:woUserID w:val="0"/>
        </w:rPr>
        <w:t>阳春、阳西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lang w:bidi="ar"/>
        </w:rPr>
        <w:t>等地率先开展科技保险试点工作，推动高新技术企业数量稳步增长；优化科技型中小企业服务，联合行业协会、服务机构等多方力量，加大科技型中小企业评价入库政策宣传力度，提升企业知晓率与参与积极性。</w:t>
      </w:r>
    </w:p>
    <w:p w14:paraId="3359F825">
      <w:pPr>
        <w:keepNext w:val="0"/>
        <w:keepLines w:val="0"/>
        <w:widowControl w:val="0"/>
        <w:tabs>
          <w:tab w:val="left" w:pos="603"/>
        </w:tabs>
        <w:spacing w:line="580" w:lineRule="exact"/>
        <w:ind w:firstLineChars="200"/>
        <w:jc w:val="both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四</w:t>
      </w: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、聚焦关键技术攻关，强化科技项目精准赋能</w:t>
      </w:r>
    </w:p>
    <w:p w14:paraId="2D6179F9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（十二）推进“百千万工程”科技支撑项目。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严格对照省科技厅2026年省科技支撑“百千万工程”项目的工作要求和任务清单，高效完成专项项目的申报、立项等全流程工作，推动项目资金尽快下达并精准落地，加速培育我市新质生产力，为“百千万工程”提供坚实的科技支撑。</w:t>
      </w:r>
    </w:p>
    <w:p w14:paraId="11973F45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（十三）攻坚“卡脖子”与前沿技术。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适当布局低空经济、商业航天领域的前沿技术攻关。集中支持高端合金材料、海上风电技术与装备、智能制造技术与装备等领域的基础研究、应用基础研究及成果推广。集中支持我市中小企业、高校和科研机构在先进制造技术、新材料、人工智能、质量基础设施、绿色环保、节能降碳等方面开展技术创新。</w:t>
      </w:r>
    </w:p>
    <w:p w14:paraId="362D08EC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（十四）实施“揭榜挂帅”项目。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在合金材料、五金刀剪等领域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实施“揭榜挂帅”项目3个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，实行成果转化类“揭榜挂帅”项目，进一步推动科研成果在阳江转化落地。</w:t>
      </w:r>
    </w:p>
    <w:p w14:paraId="642DDF0E">
      <w:pPr>
        <w:keepNext w:val="0"/>
        <w:keepLines w:val="0"/>
        <w:widowControl w:val="0"/>
        <w:tabs>
          <w:tab w:val="left" w:pos="603"/>
        </w:tabs>
        <w:spacing w:line="580" w:lineRule="exact"/>
        <w:ind w:firstLineChars="200"/>
        <w:jc w:val="both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五、</w:t>
      </w: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深化“融湾”协同创新，拓展科技交流合作</w:t>
      </w:r>
    </w:p>
    <w:p w14:paraId="558F0DEF">
      <w:pPr>
        <w:widowControl w:val="0"/>
        <w:autoSpaceDE/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u w:val="none"/>
          <w:lang w:bidi="ar"/>
          <w:woUserID w:val="0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（十五）大力提升大湾区科学论坛绿能产业科技创新分论坛品牌效应。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聚焦我市现代产业体系建设中的核心环节与未来赛道，持续办好大湾区科学论坛科技创新分论坛。优化“绿能产业科创汇客厅”运营机制，将其打造成为常态化的科技创新合作枢纽，推进“深度融湾”。依托“绿能产业科创汇客厅”主动梳理、对接论坛中展示的前沿科研成果，推动论坛科技创新成果有组织转化。</w:t>
      </w:r>
    </w:p>
    <w:p w14:paraId="2097C90A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（十六）融入大湾区协同创新体系。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利用好粤港澳大湾区国际科技创新中心的溢出和辐射效应，主动融入大湾区协同创新体系建设，承接科技成果与产业转移。争创大湾区科技创新延伸区，鼓励国内科研团队或个人在阳江进行科技风险投资和科技成果转化。</w:t>
      </w:r>
    </w:p>
    <w:p w14:paraId="5A56333F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（十七）推动高水平科技交流合作。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充分发挥省实验室、广东海洋大学阳江校区等平台作用，多方位、全领域扩大科技对外交流活动，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计划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年内举办多场高水平学术论坛。鼓励和引导高校、科研院所与企业常态化开展产学研对接和科技成果交流，加速科技成果产出和转化应用。</w:t>
      </w:r>
    </w:p>
    <w:p w14:paraId="72090706">
      <w:pPr>
        <w:keepNext w:val="0"/>
        <w:keepLines w:val="0"/>
        <w:widowControl w:val="0"/>
        <w:tabs>
          <w:tab w:val="left" w:pos="603"/>
        </w:tabs>
        <w:spacing w:line="580" w:lineRule="exact"/>
        <w:ind w:firstLineChars="200"/>
        <w:jc w:val="both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六、</w:t>
      </w: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科技赋能乡村振兴，推动百县千镇万村高质量发展</w:t>
      </w:r>
    </w:p>
    <w:p w14:paraId="30E86C24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（十八）推进农村科技特派员帮扶。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推进农村科技特派员工作站建设，组织农村科技特派员团队精准对接当地科技需求，凝练帮扶项目，开展科技帮扶工作。积极为农村特派员团队争取工作经费，提供必要的条件保障。</w:t>
      </w:r>
    </w:p>
    <w:p w14:paraId="6193DFBC">
      <w:pPr>
        <w:widowControl w:val="0"/>
        <w:autoSpaceDE/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（十九）强化县域产学研协同。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推动结对帮扶高校与阳春市、阳西县按照“县域所需高校所能”原则，针对县域产业发展需求，整合双方优势，建立产学研协同创新机制，加快完成共建项目清单，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bidi="ar"/>
          <w:woUserID w:val="0"/>
        </w:rPr>
        <w:t>推动科技成果与产业、企业需求有效对接。</w:t>
      </w:r>
    </w:p>
    <w:p w14:paraId="71AF39A5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（二十）推动专业镇提质升级。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多措并举引导广东省专业镇提速建设、提质发展，根据当地产业特点和发展需求，着力做好产业创新规划、创新主体培育、创新平台建设、主导产业壮大、成果转化落地和区域协同发展等工作。鼓励专业镇精准对接珠三角开展协同创新合作，与科研院校建立起长期稳定的合作关系，开展技术项目合作，推动专业镇转型升级。</w:t>
      </w:r>
    </w:p>
    <w:p w14:paraId="2C495C14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（二十一）开展多渠道科普宣传。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推进科普基础设施建设，结合省实验室、高校院所、行业龙头企业的功能设施，建设多元化科普教育基地，支持高校、科研机构、企业等利用科技资源开展科普宣传工作，多渠道多形式多类型举办科普活动，以科普助力乡村振兴。</w:t>
      </w:r>
    </w:p>
    <w:p w14:paraId="5197C8E6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（二十二）布局社会发展领域技术攻关。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设立社会发展领域适用技术项目专题，推进全市社会发展领域的成果转化、关键技术、仪器设备、新型检验方法的研究与应用，加快我市创新体系建设。</w:t>
      </w:r>
    </w:p>
    <w:p w14:paraId="61562FDB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（二十三）布局农业领域应用示范推广项目。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推动高校院所、企事业单位开展优秀农业科研成果落地转化，支持农业科技成果到县镇示范推广不少于8项。</w:t>
      </w:r>
    </w:p>
    <w:p w14:paraId="4147FEA2">
      <w:pPr>
        <w:keepNext w:val="0"/>
        <w:keepLines w:val="0"/>
        <w:widowControl w:val="0"/>
        <w:tabs>
          <w:tab w:val="left" w:pos="603"/>
        </w:tabs>
        <w:spacing w:line="580" w:lineRule="exact"/>
        <w:ind w:firstLineChars="200"/>
        <w:jc w:val="both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  <w:woUserID w:val="0"/>
        </w:rPr>
        <w:t>七、</w:t>
      </w: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  <w:woUserID w:val="0"/>
        </w:rPr>
        <w:t>强化科技人才引育，</w:t>
      </w:r>
      <w:r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集聚产业创新核心动能</w:t>
      </w:r>
    </w:p>
    <w:p w14:paraId="15B5298C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（二十四）实施重点产业人才振兴计划。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开展2026年度阳江市合金材料与五金刀剪重点产业人才振兴计划项目，引进高水平的创新团队4个以上、产业领军人才8人以上，培养本土青年创新团队2个以上。配合市委人才办做好第二轮“扬帆计划”验收工作，谋划推进第三轮“扬帆计划”申报工作，争取将项目支持</w:t>
      </w:r>
      <w:r>
        <w:rPr>
          <w:rFonts w:hint="default" w:ascii="Times New Roman" w:hAnsi="Times New Roman" w:eastAsia="方正仿宋简体" w:cs="Times New Roman"/>
          <w:color w:val="auto"/>
          <w:spacing wpsCustomData:val="0" w:val="0"/>
          <w:kern w:val="2"/>
          <w:sz w:val="32"/>
          <w:szCs w:val="32"/>
          <w:u w:val="none"/>
          <w:lang w:val="en-US" w:eastAsia="zh-CN" w:bidi="ar"/>
        </w:rPr>
        <w:t>范围延伸至绿色能源与新型储能、先进装备制造等重点产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业领域。</w:t>
      </w:r>
    </w:p>
    <w:p w14:paraId="1DC19C0A">
      <w:pPr>
        <w:spacing w:line="58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（二十五）做好外国专家服务管理工作。</w:t>
      </w:r>
      <w:r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  <w:t>简化外国人来华工作许可办理流程，推进整合外国人来华“一件事”。与重点用人单位建立服务联系机制，有针对性地开展外国高端人才确认、外籍高层次人才永久居留推荐、国家和省外国专家项目等业务。</w:t>
      </w:r>
    </w:p>
    <w:p w14:paraId="17B6AE35">
      <w:pPr>
        <w:pStyle w:val="2"/>
        <w:rPr>
          <w:rFonts w:hint="default" w:ascii="Times New Roman" w:hAnsi="Times New Roman" w:eastAsia="方正仿宋简体" w:cs="Times New Roman"/>
          <w:color w:val="auto"/>
          <w:spacing w:val="0"/>
          <w:kern w:val="2"/>
          <w:sz w:val="32"/>
          <w:szCs w:val="32"/>
          <w:u w:val="none"/>
          <w:lang w:val="en-US" w:eastAsia="zh-CN" w:bidi="ar"/>
        </w:rPr>
      </w:pPr>
    </w:p>
    <w:p w14:paraId="2FF850E2">
      <w:pPr>
        <w:widowControl/>
        <w:spacing w:line="900" w:lineRule="exact"/>
        <w:ind w:firstLine="210" w:firstLineChars="100"/>
        <w:rPr>
          <w:rFonts w:hint="default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729C8">
    <w:pPr>
      <w:pStyle w:val="14"/>
      <w:jc w:val="center"/>
    </w:pPr>
  </w:p>
  <w:p w14:paraId="612377D4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4607560</wp:posOffset>
              </wp:positionH>
              <wp:positionV relativeFrom="paragraph">
                <wp:posOffset>89535</wp:posOffset>
              </wp:positionV>
              <wp:extent cx="9899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9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47E728">
                          <w:pPr>
                            <w:pStyle w:val="14"/>
                            <w:ind w:firstLine="560" w:firstLineChars="20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8pt;margin-top:7.05pt;height:144pt;width:77.95pt;mso-position-horizontal-relative:margin;z-index:251659264;mso-width-relative:page;mso-height-relative:page;" filled="f" stroked="f" coordsize="21600,21600" o:gfxdata="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k5nx9gAAAAKAQAADwAAAAAAAAABACAAAAAiAAAAZHJzL2Rvd25y&#10;ZXYueG1sUEsBAhQAFAAAAAgAh07iQKeYD/w3AgAAY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47E728">
                    <w:pPr>
                      <w:pStyle w:val="14"/>
                      <w:ind w:firstLine="560" w:firstLineChars="20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4ABD4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2A9F47">
                          <w:pPr>
                            <w:pStyle w:val="1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2A9F47">
                    <w:pPr>
                      <w:pStyle w:val="1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23B52"/>
    <w:rsid w:val="014D2265"/>
    <w:rsid w:val="01767AA1"/>
    <w:rsid w:val="05290F57"/>
    <w:rsid w:val="063876A4"/>
    <w:rsid w:val="07F7358F"/>
    <w:rsid w:val="089350A1"/>
    <w:rsid w:val="09907686"/>
    <w:rsid w:val="0A3B13FB"/>
    <w:rsid w:val="0D4C7ED9"/>
    <w:rsid w:val="0EB75826"/>
    <w:rsid w:val="0EEA1757"/>
    <w:rsid w:val="10B22E30"/>
    <w:rsid w:val="116457F1"/>
    <w:rsid w:val="120C7C36"/>
    <w:rsid w:val="12BF477E"/>
    <w:rsid w:val="197930E9"/>
    <w:rsid w:val="1985092B"/>
    <w:rsid w:val="1A1D0D58"/>
    <w:rsid w:val="1CC655B2"/>
    <w:rsid w:val="1F6D7F66"/>
    <w:rsid w:val="1FEE84AE"/>
    <w:rsid w:val="20745325"/>
    <w:rsid w:val="208A2D9A"/>
    <w:rsid w:val="23E041E8"/>
    <w:rsid w:val="23F52C20"/>
    <w:rsid w:val="24981CF4"/>
    <w:rsid w:val="24B81F00"/>
    <w:rsid w:val="260E5A46"/>
    <w:rsid w:val="264659B5"/>
    <w:rsid w:val="271A59ED"/>
    <w:rsid w:val="2BAA2138"/>
    <w:rsid w:val="2BDB094E"/>
    <w:rsid w:val="2C55425C"/>
    <w:rsid w:val="2CF0667B"/>
    <w:rsid w:val="2D2B2DCE"/>
    <w:rsid w:val="2D597811"/>
    <w:rsid w:val="2EEC2008"/>
    <w:rsid w:val="2F7E3ACA"/>
    <w:rsid w:val="30FA3624"/>
    <w:rsid w:val="31A36C0E"/>
    <w:rsid w:val="3307027A"/>
    <w:rsid w:val="35366BF5"/>
    <w:rsid w:val="3821593A"/>
    <w:rsid w:val="392C4597"/>
    <w:rsid w:val="397B107A"/>
    <w:rsid w:val="39DC7D6B"/>
    <w:rsid w:val="3B2A71FC"/>
    <w:rsid w:val="3B2E68B8"/>
    <w:rsid w:val="3B345984"/>
    <w:rsid w:val="3C0E4427"/>
    <w:rsid w:val="3D9F50BB"/>
    <w:rsid w:val="3F2A77CA"/>
    <w:rsid w:val="3F450160"/>
    <w:rsid w:val="40D432A3"/>
    <w:rsid w:val="41892982"/>
    <w:rsid w:val="429A4C67"/>
    <w:rsid w:val="42B06238"/>
    <w:rsid w:val="438A6A89"/>
    <w:rsid w:val="43B835F7"/>
    <w:rsid w:val="464343F3"/>
    <w:rsid w:val="4AB368C6"/>
    <w:rsid w:val="4C921F06"/>
    <w:rsid w:val="4CCC3C6F"/>
    <w:rsid w:val="4E467A51"/>
    <w:rsid w:val="4E5E2FEC"/>
    <w:rsid w:val="4EB32BB1"/>
    <w:rsid w:val="4EF0595D"/>
    <w:rsid w:val="4FDE8301"/>
    <w:rsid w:val="5185554B"/>
    <w:rsid w:val="53763624"/>
    <w:rsid w:val="54996B2C"/>
    <w:rsid w:val="555A2237"/>
    <w:rsid w:val="556F7038"/>
    <w:rsid w:val="55A849B1"/>
    <w:rsid w:val="55E519B6"/>
    <w:rsid w:val="57D70F71"/>
    <w:rsid w:val="583B7EFB"/>
    <w:rsid w:val="585F008D"/>
    <w:rsid w:val="58EB36CF"/>
    <w:rsid w:val="59D95C1D"/>
    <w:rsid w:val="5B279317"/>
    <w:rsid w:val="5C151CFF"/>
    <w:rsid w:val="5D126ADC"/>
    <w:rsid w:val="5DB073BD"/>
    <w:rsid w:val="600D5258"/>
    <w:rsid w:val="61B74A96"/>
    <w:rsid w:val="639C056B"/>
    <w:rsid w:val="63E5769E"/>
    <w:rsid w:val="68790CF7"/>
    <w:rsid w:val="687F5BE1"/>
    <w:rsid w:val="68A23436"/>
    <w:rsid w:val="68B27D65"/>
    <w:rsid w:val="6A097E59"/>
    <w:rsid w:val="6AA3378E"/>
    <w:rsid w:val="6D505D9E"/>
    <w:rsid w:val="6EF530A1"/>
    <w:rsid w:val="70694078"/>
    <w:rsid w:val="70D519F5"/>
    <w:rsid w:val="70FBF5DE"/>
    <w:rsid w:val="72D82ABE"/>
    <w:rsid w:val="73AF381F"/>
    <w:rsid w:val="741C69DA"/>
    <w:rsid w:val="77A85155"/>
    <w:rsid w:val="77AB3B0A"/>
    <w:rsid w:val="77DF30DC"/>
    <w:rsid w:val="78484242"/>
    <w:rsid w:val="78923B52"/>
    <w:rsid w:val="78C4753C"/>
    <w:rsid w:val="7C4411C4"/>
    <w:rsid w:val="7E990F72"/>
    <w:rsid w:val="7EE54EF7"/>
    <w:rsid w:val="7F8C0EB8"/>
    <w:rsid w:val="7FCC39AA"/>
    <w:rsid w:val="7FFB603E"/>
    <w:rsid w:val="B7F8CCD2"/>
    <w:rsid w:val="BDFB374C"/>
    <w:rsid w:val="DFFB3289"/>
    <w:rsid w:val="FD5A7C1E"/>
    <w:rsid w:val="FF4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5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6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2">
    <w:name w:val="heading 6"/>
    <w:basedOn w:val="3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Indent"/>
    <w:qFormat/>
    <w:uiPriority w:val="0"/>
    <w:pPr>
      <w:widowControl w:val="0"/>
      <w:spacing w:line="360" w:lineRule="auto"/>
      <w:ind w:firstLine="420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paragraph" w:styleId="1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7">
    <w:name w:val="Normal (Web)"/>
    <w:basedOn w:val="1"/>
    <w:qFormat/>
    <w:uiPriority w:val="0"/>
    <w:rPr>
      <w:sz w:val="24"/>
    </w:rPr>
  </w:style>
  <w:style w:type="paragraph" w:styleId="18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21">
    <w:name w:val="正文首行缩进 211"/>
    <w:basedOn w:val="1"/>
    <w:qFormat/>
    <w:uiPriority w:val="0"/>
    <w:pPr>
      <w:spacing w:line="360" w:lineRule="auto"/>
      <w:ind w:firstLine="420" w:firstLineChars="200"/>
    </w:pPr>
    <w:rPr>
      <w:rFonts w:hint="eastAsia" w:ascii="Times New Roman" w:hAnsi="Times New Roman" w:eastAsia="楷体_GB2312" w:cs="Times New Roman"/>
      <w:color w:val="000000"/>
      <w:sz w:val="28"/>
    </w:rPr>
  </w:style>
  <w:style w:type="character" w:customStyle="1" w:styleId="22">
    <w:name w:val="标题 2 Char"/>
    <w:link w:val="5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23">
    <w:name w:val="Body Text First Indent 21"/>
    <w:basedOn w:val="24"/>
    <w:qFormat/>
    <w:uiPriority w:val="0"/>
    <w:pPr>
      <w:ind w:firstLine="420" w:firstLineChars="200"/>
    </w:pPr>
    <w:rPr>
      <w:rFonts w:ascii="Times New Roman" w:eastAsia="宋体"/>
    </w:rPr>
  </w:style>
  <w:style w:type="paragraph" w:customStyle="1" w:styleId="24">
    <w:name w:val="Body Text Indent1"/>
    <w:basedOn w:val="1"/>
    <w:qFormat/>
    <w:uiPriority w:val="0"/>
    <w:pPr>
      <w:spacing w:line="360" w:lineRule="auto"/>
      <w:ind w:firstLine="630"/>
    </w:pPr>
    <w:rPr>
      <w:rFonts w:ascii="楷体_GB2312" w:eastAsia="楷体_GB2312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3859</Words>
  <Characters>3920</Characters>
  <Lines>0</Lines>
  <Paragraphs>0</Paragraphs>
  <TotalTime>9</TotalTime>
  <ScaleCrop>false</ScaleCrop>
  <LinksUpToDate>false</LinksUpToDate>
  <CharactersWithSpaces>4032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2026-01-31T01:34:00Z</dcterms:created>
  <dc:creator>仙</dc:creator>
  <cp:lastModifiedBy>柠檬仔</cp:lastModifiedBy>
  <cp:lastPrinted>2026-02-12T01:40:00Z</cp:lastPrinted>
  <dcterms:modified xsi:type="dcterms:W3CDTF">2026-03-10T09:24:51Z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B6238B33148501F256719D6924037E57_43</vt:lpwstr>
  </property>
  <property fmtid="{D5CDD505-2E9C-101B-9397-08002B2CF9AE}" pid="4" name="KSOTemplateDocerSaveRecord">
    <vt:lpwstr>eyJoZGlkIjoiZDc5Nzk3N2Q5OGJlYTg3ZTQ4NjhkODAzYmU2MWI1OWIiLCJ1c2VySWQiOiI0ODYzNzc3NjYifQ==</vt:lpwstr>
  </property>
</Properties>
</file>