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4"/>
          <w:szCs w:val="24"/>
        </w:rPr>
      </w:pPr>
    </w:p>
    <w:p/>
    <w:p>
      <w:pPr>
        <w:spacing w:line="360" w:lineRule="auto"/>
        <w:jc w:val="center"/>
        <w:rPr>
          <w:rFonts w:hint="eastAsia"/>
        </w:rPr>
      </w:pPr>
      <w:r>
        <w:rPr>
          <w:rFonts w:hint="eastAsia" w:ascii="方正小标宋简体" w:eastAsia="方正小标宋简体"/>
          <w:sz w:val="44"/>
          <w:szCs w:val="44"/>
          <w:lang w:val="en-US" w:eastAsia="zh-CN"/>
        </w:rPr>
        <w:t>2023年度</w:t>
      </w:r>
      <w:r>
        <w:rPr>
          <w:rFonts w:hint="eastAsia" w:ascii="方正小标宋简体" w:eastAsia="方正小标宋简体"/>
          <w:sz w:val="44"/>
          <w:szCs w:val="44"/>
        </w:rPr>
        <w:t>部门整体支出绩效自评报告</w:t>
      </w:r>
    </w:p>
    <w:p>
      <w:pPr>
        <w:rPr>
          <w:rFonts w:hint="eastAsia"/>
        </w:rPr>
      </w:pPr>
    </w:p>
    <w:p>
      <w:pPr>
        <w:rPr>
          <w:rFonts w:hint="eastAsia"/>
        </w:rPr>
      </w:pPr>
      <w:bookmarkStart w:id="29" w:name="_GoBack"/>
      <w:bookmarkEnd w:id="29"/>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ascii="方正小标宋简体" w:eastAsia="方正小标宋简体"/>
        </w:rPr>
      </w:pPr>
      <w:bookmarkStart w:id="0" w:name="_Toc28838"/>
      <w:bookmarkStart w:id="1" w:name="_Toc8021_WPSOffice_Level2"/>
      <w:r>
        <w:rPr>
          <w:rFonts w:hint="eastAsia" w:ascii="方正小标宋简体" w:eastAsia="方正小标宋简体"/>
        </w:rPr>
        <w:t>一、部门基本情况</w:t>
      </w:r>
      <w:bookmarkEnd w:id="0"/>
    </w:p>
    <w:bookmarkEnd w:id="1"/>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ascii="楷体_GB2312" w:eastAsia="楷体_GB2312"/>
          <w:b/>
          <w:bCs/>
          <w:szCs w:val="32"/>
        </w:rPr>
      </w:pPr>
      <w:bookmarkStart w:id="2" w:name="_Toc5988_WPSOffice_Level3"/>
      <w:bookmarkStart w:id="3" w:name="_Toc30104"/>
      <w:bookmarkStart w:id="4" w:name="_Toc23683"/>
      <w:r>
        <w:rPr>
          <w:rFonts w:hint="eastAsia" w:ascii="楷体_GB2312" w:eastAsia="楷体_GB2312"/>
          <w:b/>
          <w:bCs/>
          <w:szCs w:val="32"/>
        </w:rPr>
        <w:t>（一）部门整体概况</w:t>
      </w:r>
      <w:bookmarkEnd w:id="2"/>
      <w:bookmarkEnd w:id="3"/>
      <w:bookmarkEnd w:id="4"/>
      <w:bookmarkStart w:id="5" w:name="_Toc18779"/>
    </w:p>
    <w:bookmarkEnd w:id="5"/>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eastAsia="仿宋_GB2312" w:cs="仿宋_GB2312"/>
          <w:bCs/>
          <w:szCs w:val="32"/>
          <w:lang w:val="en-US" w:eastAsia="zh-CN"/>
        </w:rPr>
      </w:pPr>
      <w:bookmarkStart w:id="6" w:name="_Toc25996"/>
      <w:bookmarkStart w:id="7" w:name="_Toc14936_WPSOffice_Level2"/>
      <w:r>
        <w:rPr>
          <w:rFonts w:hint="eastAsia" w:ascii="仿宋_GB2312" w:hAnsi="仿宋_GB2312" w:eastAsia="仿宋_GB2312" w:cs="仿宋_GB2312"/>
          <w:b/>
          <w:bCs/>
          <w:sz w:val="32"/>
          <w:lang w:val="en-US" w:eastAsia="zh-CN"/>
        </w:rPr>
        <w:t>1.单位职能情况</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bCs/>
          <w:szCs w:val="32"/>
          <w:lang w:val="en-US" w:eastAsia="zh-CN"/>
        </w:rPr>
        <w:t>阳江市社会科学界联合会（简称阳江市社科联）是由阳江市委和阳江市政府直接领导下的学术性群众团体，是阳江市哲学社会科学理论宣传</w:t>
      </w:r>
      <w:r>
        <w:rPr>
          <w:rFonts w:hint="eastAsia" w:ascii="仿宋_GB2312" w:hAnsi="仿宋_GB2312" w:cs="仿宋_GB2312"/>
          <w:bCs/>
          <w:szCs w:val="32"/>
          <w:lang w:val="en-US" w:eastAsia="zh-CN"/>
        </w:rPr>
        <w:t>、</w:t>
      </w:r>
      <w:r>
        <w:rPr>
          <w:rFonts w:hint="eastAsia" w:ascii="仿宋_GB2312" w:hAnsi="仿宋_GB2312" w:eastAsia="仿宋_GB2312" w:cs="仿宋_GB2312"/>
          <w:bCs/>
          <w:szCs w:val="32"/>
          <w:lang w:val="en-US" w:eastAsia="zh-CN"/>
        </w:rPr>
        <w:t>学术交流的组织者和协调者，是市委市政府联系我市广大社会科学工作者的桥梁和纽带。</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Cs/>
          <w:szCs w:val="32"/>
          <w:lang w:val="en-US" w:eastAsia="zh-CN"/>
        </w:rPr>
        <w:t>其主要职责如下：1、</w:t>
      </w:r>
      <w:r>
        <w:rPr>
          <w:rFonts w:hint="eastAsia" w:ascii="仿宋_GB2312" w:hAnsi="仿宋_GB2312" w:eastAsia="仿宋_GB2312" w:cs="仿宋_GB2312"/>
          <w:kern w:val="0"/>
          <w:sz w:val="32"/>
          <w:szCs w:val="32"/>
          <w:lang w:val="en-US" w:eastAsia="zh-CN" w:bidi="ar"/>
        </w:rPr>
        <w:t>组织开展社科课题规划和哲学社会科学优秀成果评选工作；2、组织开展各种理论学术研究活动和学术交流活动；3、组织开展社会科学的宣传普及和咨询服务工作；4、负责指导和协调全市各级社科学会（研究会、协会）的工作；5、编印社会科学刊物《阳江新论》；6、完成市委和市政府交给的其他任务。</w:t>
      </w:r>
    </w:p>
    <w:p>
      <w:pPr>
        <w:ind w:firstLine="924" w:firstLineChars="300"/>
        <w:rPr>
          <w:rFonts w:hint="eastAsia" w:ascii="仿宋_GB2312" w:hAnsi="仿宋_GB2312" w:eastAsia="仿宋_GB2312" w:cs="仿宋_GB2312"/>
          <w:kern w:val="0"/>
          <w:sz w:val="32"/>
          <w:szCs w:val="32"/>
          <w:shd w:val="clear" w:color="auto" w:fill="FFFFFF"/>
          <w:lang w:val="en-US" w:eastAsia="zh-CN" w:bidi="ar"/>
        </w:rPr>
      </w:pPr>
      <w:r>
        <w:rPr>
          <w:rFonts w:hint="eastAsia" w:ascii="宋体" w:hAnsi="宋体"/>
          <w:b/>
          <w:bCs/>
          <w:sz w:val="32"/>
          <w:lang w:val="en-US" w:eastAsia="zh-CN"/>
        </w:rPr>
        <w:t>2.内设机构设置情况</w:t>
      </w:r>
      <w:r>
        <w:rPr>
          <w:rFonts w:hint="eastAsia" w:ascii="宋体" w:hAnsi="宋体"/>
          <w:sz w:val="32"/>
          <w:lang w:val="en-US" w:eastAsia="zh-CN"/>
        </w:rPr>
        <w:t>。</w:t>
      </w:r>
      <w:r>
        <w:rPr>
          <w:rFonts w:hint="eastAsia" w:ascii="仿宋_GB2312" w:hAnsi="仿宋_GB2312" w:eastAsia="仿宋_GB2312" w:cs="仿宋_GB2312"/>
          <w:kern w:val="0"/>
          <w:sz w:val="32"/>
          <w:szCs w:val="32"/>
          <w:shd w:val="clear" w:color="auto" w:fill="FFFFFF"/>
          <w:lang w:val="en-US" w:eastAsia="zh-CN" w:bidi="ar"/>
        </w:rPr>
        <w:t>阳江市社科联内设2个部（室），分别是：</w:t>
      </w:r>
    </w:p>
    <w:p>
      <w:pPr>
        <w:ind w:firstLine="616"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（1）办公室。负责机关的文秘档案、人事保卫、劳动工资、离退休、计划生育、行政管理、财务管理工作。</w:t>
      </w:r>
    </w:p>
    <w:p>
      <w:pPr>
        <w:ind w:firstLine="616"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（2）学术学会工作部。负责开展组织学术交流活动，《阳江新论》杂志编辑、</w:t>
      </w:r>
      <w:r>
        <w:rPr>
          <w:rFonts w:hint="eastAsia" w:ascii="仿宋_GB2312" w:hAnsi="仿宋_GB2312" w:eastAsia="仿宋_GB2312" w:cs="仿宋_GB2312"/>
          <w:color w:val="000000"/>
          <w:kern w:val="0"/>
          <w:sz w:val="32"/>
          <w:szCs w:val="32"/>
          <w:shd w:val="clear" w:color="auto" w:fill="FFFFFF"/>
          <w:lang w:val="en-US" w:eastAsia="zh-CN" w:bidi="ar"/>
        </w:rPr>
        <w:t>社科规划课题研究、社科普及，</w:t>
      </w:r>
      <w:r>
        <w:rPr>
          <w:rFonts w:hint="eastAsia" w:ascii="仿宋_GB2312" w:hAnsi="仿宋_GB2312" w:eastAsia="仿宋_GB2312" w:cs="仿宋_GB2312"/>
          <w:kern w:val="0"/>
          <w:sz w:val="32"/>
          <w:szCs w:val="32"/>
          <w:shd w:val="clear" w:color="auto" w:fill="FFFFFF"/>
          <w:lang w:val="en-US" w:eastAsia="zh-CN" w:bidi="ar"/>
        </w:rPr>
        <w:t>协调、管理、指导、联系社科类社会组织。</w:t>
      </w:r>
    </w:p>
    <w:p>
      <w:pPr>
        <w:ind w:firstLine="616" w:firstLineChars="200"/>
        <w:rPr>
          <w:rFonts w:hint="eastAsia" w:ascii="楷体_GB2312" w:hAnsi="楷体_GB2312" w:eastAsia="仿宋_GB2312" w:cs="楷体_GB2312"/>
          <w:kern w:val="0"/>
          <w:sz w:val="32"/>
          <w:szCs w:val="32"/>
          <w:lang w:val="en-US" w:eastAsia="zh-CN" w:bidi="ar"/>
        </w:rPr>
      </w:pPr>
      <w:r>
        <w:rPr>
          <w:rFonts w:hint="eastAsia" w:ascii="宋体" w:hAnsi="宋体"/>
          <w:b/>
          <w:bCs/>
          <w:sz w:val="32"/>
          <w:lang w:val="en-US" w:eastAsia="zh-CN"/>
        </w:rPr>
        <w:t>3.人员编制情况</w:t>
      </w:r>
      <w:r>
        <w:rPr>
          <w:rFonts w:hint="eastAsia" w:ascii="宋体" w:hAnsi="宋体"/>
          <w:sz w:val="32"/>
          <w:lang w:val="en-US" w:eastAsia="zh-CN"/>
        </w:rPr>
        <w:t>。</w:t>
      </w:r>
      <w:r>
        <w:rPr>
          <w:rFonts w:hint="eastAsia" w:ascii="仿宋_GB2312" w:hAnsi="仿宋_GB2312" w:eastAsia="仿宋_GB2312" w:cs="仿宋_GB2312"/>
          <w:bCs/>
          <w:szCs w:val="32"/>
          <w:lang w:bidi="ar"/>
        </w:rPr>
        <w:t>机关行政编制</w:t>
      </w:r>
      <w:r>
        <w:rPr>
          <w:rFonts w:hint="eastAsia" w:ascii="仿宋_GB2312" w:hAnsi="仿宋_GB2312" w:cs="仿宋_GB2312"/>
          <w:bCs/>
          <w:szCs w:val="32"/>
          <w:lang w:val="en-US" w:eastAsia="zh-CN" w:bidi="ar"/>
        </w:rPr>
        <w:t>5</w:t>
      </w:r>
      <w:r>
        <w:rPr>
          <w:rFonts w:hint="eastAsia" w:ascii="仿宋_GB2312" w:hAnsi="仿宋_GB2312" w:eastAsia="仿宋_GB2312" w:cs="仿宋_GB2312"/>
          <w:bCs/>
          <w:szCs w:val="32"/>
          <w:lang w:bidi="ar"/>
        </w:rPr>
        <w:t>名，工勤编制</w:t>
      </w:r>
      <w:r>
        <w:rPr>
          <w:rFonts w:hint="eastAsia" w:ascii="仿宋_GB2312" w:hAnsi="仿宋_GB2312" w:eastAsia="仿宋_GB2312" w:cs="仿宋_GB2312"/>
          <w:bCs/>
          <w:szCs w:val="32"/>
          <w:lang w:val="en-US" w:eastAsia="zh-CN" w:bidi="ar"/>
        </w:rPr>
        <w:t>1</w:t>
      </w:r>
      <w:r>
        <w:rPr>
          <w:rFonts w:hint="eastAsia" w:ascii="仿宋_GB2312" w:hAnsi="仿宋_GB2312" w:eastAsia="仿宋_GB2312" w:cs="仿宋_GB2312"/>
          <w:bCs/>
          <w:szCs w:val="32"/>
          <w:lang w:bidi="ar"/>
        </w:rPr>
        <w:t>名</w:t>
      </w:r>
      <w:r>
        <w:rPr>
          <w:rFonts w:hint="eastAsia" w:ascii="仿宋_GB2312" w:hAnsi="仿宋_GB2312" w:cs="仿宋_GB2312"/>
          <w:bCs/>
          <w:szCs w:val="32"/>
          <w:lang w:eastAsia="zh-CN" w:bidi="ar"/>
        </w:rPr>
        <w:t>。</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ascii="楷体_GB2312" w:eastAsia="楷体_GB2312"/>
          <w:b/>
          <w:bCs/>
          <w:szCs w:val="32"/>
        </w:rPr>
      </w:pPr>
      <w:r>
        <w:rPr>
          <w:rFonts w:hint="eastAsia" w:ascii="楷体_GB2312" w:eastAsia="楷体_GB2312"/>
          <w:b/>
          <w:bCs/>
          <w:szCs w:val="32"/>
          <w:lang w:eastAsia="zh-CN"/>
        </w:rPr>
        <w:t>（</w:t>
      </w:r>
      <w:r>
        <w:rPr>
          <w:rFonts w:hint="eastAsia" w:ascii="楷体_GB2312" w:eastAsia="楷体_GB2312"/>
          <w:b/>
          <w:bCs/>
          <w:szCs w:val="32"/>
        </w:rPr>
        <w:t>二）年度总体工作和重点工作任务</w:t>
      </w:r>
      <w:bookmarkEnd w:id="6"/>
      <w:bookmarkEnd w:id="7"/>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jc w:val="both"/>
        <w:textAlignment w:val="auto"/>
        <w:rPr>
          <w:rFonts w:hint="eastAsia" w:ascii="仿宋_GB2312" w:hAnsi="仿宋_GB2312" w:eastAsia="仿宋_GB2312" w:cs="仿宋_GB2312"/>
          <w:color w:val="000000"/>
          <w:sz w:val="32"/>
          <w:szCs w:val="32"/>
          <w:lang w:val="en-US" w:eastAsia="zh-CN"/>
        </w:rPr>
      </w:pPr>
      <w:bookmarkStart w:id="8" w:name="_Toc28424_WPSOffice_Level2"/>
      <w:bookmarkStart w:id="9" w:name="_Toc8086"/>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、聚焦主题教育，深入推进全面从严治党</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一是扎实开展习近平新时代中国特色社会主义思想主题教育</w:t>
      </w:r>
      <w:r>
        <w:rPr>
          <w:rFonts w:hint="eastAsia" w:ascii="仿宋_GB2312" w:hAnsi="仿宋_GB2312" w:eastAsia="仿宋_GB2312" w:cs="仿宋_GB2312"/>
          <w:color w:val="000000"/>
          <w:sz w:val="32"/>
          <w:szCs w:val="32"/>
          <w:lang w:val="en-US" w:eastAsia="zh-CN"/>
        </w:rPr>
        <w:t>。坚持把思想建设作为党的基础性建设，持之以恒用党的创新理论凝心铸魂，聚焦“学思想、强党性、重实践、建新功”的总要求，把学习贯彻习近平新时代中国特色社会主义思想主题教育同全面贯彻落实党的二十大精神、同贯彻落实省委“1310”具体部署和市委“433”工作安排有机结合，结合中央和省、市主题教育工作会议精神，研究制定党组主题教育工作方案，一体推进理论学习、调查研究、检视整改、推动发展各项任务落实。班子成员充分发挥示范带动作用，党组书记带头讲授专题党课，党组班子带头学习研讨，严肃规范举办为期7天的主题教育读书班，带动党支部通过“三会一课”、专题培训等方式推动主题教育走深走实。撰写调研报告2篇，解决实际问题3个。</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lang w:val="en-US" w:eastAsia="zh-CN"/>
        </w:rPr>
        <w:t>坚持“第一议题制度”</w:t>
      </w:r>
      <w:r>
        <w:rPr>
          <w:rFonts w:hint="eastAsia" w:ascii="仿宋_GB2312" w:hAnsi="仿宋_GB2312" w:eastAsia="仿宋_GB2312" w:cs="仿宋_GB2312"/>
          <w:b w:val="0"/>
          <w:bCs w:val="0"/>
          <w:sz w:val="32"/>
          <w:szCs w:val="32"/>
          <w:lang w:val="en-US" w:eastAsia="zh-CN"/>
        </w:rPr>
        <w:t>。今年1月，根据市委批示成立市社科联党组，切实加强党对我市社科工作的全面领导。坚持把党中央重大决策部署、习近平总书记重要讲话和重要指示批示精神作为会议和学习的第一议题传达部署，确保党中央决策部署和省委、市委要求落到实处，将其转化为当前社科工作的具体思路和务实举措，真正使政治理论学习抓在平常，落在实处。牢固树立政治意识，把党的政治建设摆在首位，在深入学习贯彻习近平新时代中国特色社会主义思想上作表率，在始终同党中央保持高度一致上作表率，在坚决贯彻落实党中央决策部署上作表率，激发党员干部学习的内生动力。2023年以来，开展“第一议题”学习34次</w:t>
      </w:r>
      <w:r>
        <w:rPr>
          <w:rFonts w:hint="eastAsia" w:ascii="仿宋_GB2312" w:hAnsi="仿宋_GB2312" w:eastAsia="仿宋_GB2312" w:cs="仿宋_GB2312"/>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lang w:val="en-US" w:eastAsia="zh-CN"/>
        </w:rPr>
        <w:t>坚持</w:t>
      </w:r>
      <w:r>
        <w:rPr>
          <w:rFonts w:hint="eastAsia" w:ascii="仿宋_GB2312" w:hAnsi="仿宋_GB2312" w:eastAsia="仿宋_GB2312" w:cs="仿宋_GB2312"/>
          <w:b/>
          <w:bCs/>
          <w:sz w:val="32"/>
          <w:szCs w:val="32"/>
          <w:lang w:eastAsia="zh-CN"/>
        </w:rPr>
        <w:t>加强理论学习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始终把政治理论学习作为加强领导班子和领导干部思想政治建设，提高干部素质的首要任务</w:t>
      </w:r>
      <w:r>
        <w:rPr>
          <w:rFonts w:hint="eastAsia" w:ascii="仿宋_GB2312" w:hAnsi="仿宋_GB2312" w:eastAsia="仿宋_GB2312" w:cs="仿宋_GB2312"/>
          <w:sz w:val="32"/>
          <w:szCs w:val="32"/>
          <w:lang w:eastAsia="zh-CN"/>
        </w:rPr>
        <w:t>，通过中心组学习，书记讲党课等形式开展党员</w:t>
      </w:r>
      <w:r>
        <w:rPr>
          <w:rFonts w:hint="eastAsia" w:ascii="仿宋_GB2312" w:hAnsi="仿宋_GB2312" w:eastAsia="仿宋_GB2312" w:cs="仿宋_GB2312"/>
          <w:sz w:val="32"/>
          <w:szCs w:val="32"/>
        </w:rPr>
        <w:t>干部职工的理论学习，</w:t>
      </w:r>
      <w:r>
        <w:rPr>
          <w:rFonts w:hint="eastAsia" w:ascii="仿宋_GB2312" w:hAnsi="仿宋_GB2312" w:eastAsia="仿宋_GB2312" w:cs="仿宋_GB2312"/>
          <w:b w:val="0"/>
          <w:bCs w:val="0"/>
          <w:color w:val="000000"/>
          <w:sz w:val="32"/>
          <w:szCs w:val="32"/>
          <w:lang w:val="en-US" w:eastAsia="zh-CN"/>
        </w:rPr>
        <w:t>2023年共举行中心组学习会13次，党组（党支部）学习会14次，重点</w:t>
      </w:r>
      <w:r>
        <w:rPr>
          <w:rFonts w:hint="eastAsia" w:ascii="仿宋_GB2312" w:hAnsi="仿宋_GB2312" w:eastAsia="仿宋_GB2312" w:cs="仿宋_GB2312"/>
          <w:sz w:val="32"/>
          <w:szCs w:val="32"/>
          <w:lang w:val="en-US" w:eastAsia="zh-CN"/>
        </w:rPr>
        <w:t>组织学习了党的二十大精神、《习近平著作选读》第一卷第二卷等习近平新时代中国特色社会主义思想的最新理论成果，</w:t>
      </w:r>
      <w:r>
        <w:rPr>
          <w:rFonts w:hint="eastAsia" w:ascii="仿宋_GB2312" w:hAnsi="仿宋_GB2312" w:eastAsia="仿宋_GB2312" w:cs="仿宋_GB2312"/>
          <w:sz w:val="32"/>
          <w:szCs w:val="32"/>
        </w:rPr>
        <w:t>不断加深对习近平新时代中国特色社会主义思想的认识和理解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为建设一</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高素质的党员</w:t>
      </w:r>
      <w:r>
        <w:rPr>
          <w:rFonts w:hint="eastAsia" w:ascii="仿宋_GB2312" w:hAnsi="仿宋_GB2312" w:eastAsia="仿宋_GB2312" w:cs="仿宋_GB2312"/>
          <w:sz w:val="32"/>
          <w:szCs w:val="32"/>
          <w:lang w:val="en-US" w:eastAsia="zh-CN"/>
        </w:rPr>
        <w:t>干部</w:t>
      </w:r>
      <w:r>
        <w:rPr>
          <w:rFonts w:hint="eastAsia" w:ascii="仿宋_GB2312" w:hAnsi="仿宋_GB2312" w:eastAsia="仿宋_GB2312" w:cs="仿宋_GB2312"/>
          <w:sz w:val="32"/>
          <w:szCs w:val="32"/>
        </w:rPr>
        <w:t>队伍提供</w:t>
      </w:r>
      <w:r>
        <w:rPr>
          <w:rFonts w:hint="eastAsia" w:ascii="仿宋_GB2312" w:hAnsi="仿宋_GB2312" w:eastAsia="仿宋_GB2312" w:cs="仿宋_GB2312"/>
          <w:sz w:val="32"/>
          <w:szCs w:val="32"/>
          <w:lang w:val="en-US" w:eastAsia="zh-CN"/>
        </w:rPr>
        <w:t>坚强的</w:t>
      </w:r>
      <w:r>
        <w:rPr>
          <w:rFonts w:hint="eastAsia" w:ascii="仿宋_GB2312" w:hAnsi="仿宋_GB2312" w:eastAsia="仿宋_GB2312" w:cs="仿宋_GB2312"/>
          <w:sz w:val="32"/>
          <w:szCs w:val="32"/>
        </w:rPr>
        <w:t>思想保证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推动社科工作行稳致远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四是加强党风廉政建设</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sz w:val="32"/>
          <w:szCs w:val="32"/>
        </w:rPr>
        <w:t>市委第6巡察组向市社科联党组反馈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color w:val="000000"/>
          <w:kern w:val="0"/>
          <w:sz w:val="32"/>
          <w:szCs w:val="32"/>
        </w:rPr>
        <w:t>的13个具体问题</w:t>
      </w:r>
      <w:r>
        <w:rPr>
          <w:rFonts w:hint="eastAsia" w:ascii="仿宋_GB2312" w:hAnsi="仿宋_GB2312" w:eastAsia="仿宋_GB2312" w:cs="仿宋_GB2312"/>
          <w:color w:val="000000"/>
          <w:kern w:val="0"/>
          <w:sz w:val="32"/>
          <w:szCs w:val="32"/>
          <w:lang w:eastAsia="zh-CN"/>
        </w:rPr>
        <w:t>认真开展整改</w:t>
      </w:r>
      <w:r>
        <w:rPr>
          <w:rFonts w:hint="eastAsia" w:ascii="仿宋_GB2312" w:hAnsi="仿宋_GB2312" w:eastAsia="仿宋_GB2312" w:cs="仿宋_GB2312"/>
          <w:color w:val="000000"/>
          <w:kern w:val="0"/>
          <w:sz w:val="32"/>
          <w:szCs w:val="32"/>
        </w:rPr>
        <w:t>，已完成整改1</w:t>
      </w:r>
      <w:r>
        <w:rPr>
          <w:rFonts w:hint="eastAsia" w:ascii="仿宋_GB2312" w:hAnsi="仿宋_GB2312" w:eastAsia="仿宋_GB2312" w:cs="仿宋_GB2312"/>
          <w:color w:val="000000"/>
          <w:kern w:val="0"/>
          <w:sz w:val="32"/>
          <w:szCs w:val="32"/>
          <w:lang w:val="en"/>
        </w:rPr>
        <w:t>1</w:t>
      </w:r>
      <w:r>
        <w:rPr>
          <w:rFonts w:hint="eastAsia" w:ascii="仿宋_GB2312" w:hAnsi="仿宋_GB2312" w:eastAsia="仿宋_GB2312" w:cs="仿宋_GB2312"/>
          <w:color w:val="000000"/>
          <w:kern w:val="0"/>
          <w:sz w:val="32"/>
          <w:szCs w:val="32"/>
        </w:rPr>
        <w:t>个，基本完成整改</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000000"/>
          <w:sz w:val="32"/>
          <w:szCs w:val="32"/>
          <w:lang w:val="en-US" w:eastAsia="zh-CN"/>
        </w:rPr>
        <w:t>强化廉政教育，深入开展党风廉政宣传教育月活动，组织干部职工参观廉政教育基地、观看专题警示教育片，开展违纪案件专题警示教育，引导干部职工以案为鉴、以案为戒。深入开展主题党日活动、纪律教育月活动，积极实施谈话提醒、抓早抓小工作。2023年，共开展主题党日活动12次，开展谈话提醒25人次。</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、聚焦智库建设，发挥“思想库”“智囊团”作用</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一是组织开展社科规划课题研究</w:t>
      </w:r>
      <w:r>
        <w:rPr>
          <w:rFonts w:hint="eastAsia" w:ascii="仿宋_GB2312" w:hAnsi="仿宋_GB2312" w:eastAsia="仿宋_GB2312" w:cs="仿宋_GB2312"/>
          <w:sz w:val="32"/>
          <w:szCs w:val="32"/>
        </w:rPr>
        <w:t>。围绕省委“1310”具体部署和市委“433”工作安排，制定2023年度全市哲学社会科学规划，开展应用对策研究，立项课题46项，其中重点课题6项，一般课题14项，地方历史文化课题5项，青年课题1项，立项不资助课题20项。同时，开展2022年度课题结题工作，组织专家评审组对提交结题报告的46项课题进行评审，评选出了一批有价值、有分量的高质量研究成果，为我市党委政府决策和经济社会发展提供理论支撑和智力支持。我市广东海洋大学阳江校区周婷</w:t>
      </w:r>
      <w:r>
        <w:rPr>
          <w:rFonts w:hint="eastAsia" w:ascii="仿宋_GB2312" w:hAnsi="仿宋_GB2312" w:eastAsia="仿宋_GB2312" w:cs="仿宋_GB2312"/>
          <w:sz w:val="32"/>
          <w:szCs w:val="32"/>
          <w:lang w:val="en-US" w:eastAsia="zh-CN"/>
        </w:rPr>
        <w:t>副教授</w:t>
      </w:r>
      <w:r>
        <w:rPr>
          <w:rFonts w:hint="eastAsia" w:ascii="仿宋_GB2312" w:hAnsi="仿宋_GB2312" w:eastAsia="仿宋_GB2312" w:cs="仿宋_GB2312"/>
          <w:sz w:val="32"/>
          <w:szCs w:val="32"/>
        </w:rPr>
        <w:t>《双碳目标下构建广东省海上风电现代产业体系路径研究——以阳江市为例》项目获省级社科课题立项。</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是组织策划学习研讨座谈会</w:t>
      </w:r>
      <w:r>
        <w:rPr>
          <w:rFonts w:hint="eastAsia" w:ascii="仿宋_GB2312" w:hAnsi="仿宋_GB2312" w:eastAsia="仿宋_GB2312" w:cs="仿宋_GB2312"/>
          <w:sz w:val="32"/>
          <w:szCs w:val="32"/>
        </w:rPr>
        <w:t>。5月17日，市社科联召开全市社科理论界学习贯彻习近平总书记视察广东重要讲话、重要指示精神研讨座谈会。与会专家学者就习近平总书记视察广东重要讲话、重要指示精神的重大意义、时代背景、丰富内涵、实践要求等进行学习研究阐释，进一步深化了对习近平总书记视察广东重要讲话、重要指示精神的理解和认识，统一了思想，明确了方向。</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是组织举办高水平学术年会</w:t>
      </w:r>
      <w:r>
        <w:rPr>
          <w:rFonts w:hint="eastAsia" w:ascii="仿宋_GB2312" w:hAnsi="仿宋_GB2312" w:eastAsia="仿宋_GB2312" w:cs="仿宋_GB2312"/>
          <w:sz w:val="32"/>
          <w:szCs w:val="32"/>
        </w:rPr>
        <w:t xml:space="preserve">。11月11日， </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广东海洋大学阳江校区</w:t>
      </w:r>
      <w:r>
        <w:rPr>
          <w:rFonts w:hint="eastAsia" w:ascii="仿宋_GB2312" w:hAnsi="仿宋_GB2312" w:eastAsia="仿宋_GB2312" w:cs="仿宋_GB2312"/>
          <w:sz w:val="32"/>
          <w:szCs w:val="32"/>
          <w:lang w:eastAsia="zh-CN"/>
        </w:rPr>
        <w:t>联合举</w:t>
      </w:r>
      <w:r>
        <w:rPr>
          <w:rFonts w:hint="eastAsia" w:ascii="仿宋_GB2312" w:hAnsi="仿宋_GB2312" w:eastAsia="仿宋_GB2312" w:cs="仿宋_GB2312"/>
          <w:sz w:val="32"/>
          <w:szCs w:val="32"/>
        </w:rPr>
        <w:t>办2023广东社会科学学术年会阳江分会之“广东后发地区产业高质量发展”学术研讨会，邀请了中山大学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华南理工大学等</w:t>
      </w:r>
      <w:r>
        <w:rPr>
          <w:rFonts w:hint="eastAsia" w:ascii="仿宋_GB2312" w:hAnsi="仿宋_GB2312" w:eastAsia="仿宋_GB2312" w:cs="仿宋_GB2312"/>
          <w:sz w:val="32"/>
          <w:szCs w:val="32"/>
          <w:lang w:val="en-US" w:eastAsia="zh-CN"/>
        </w:rPr>
        <w:t>5位</w:t>
      </w:r>
      <w:r>
        <w:rPr>
          <w:rFonts w:hint="eastAsia" w:ascii="仿宋_GB2312" w:hAnsi="仿宋_GB2312" w:eastAsia="仿宋_GB2312" w:cs="仿宋_GB2312"/>
          <w:sz w:val="32"/>
          <w:szCs w:val="32"/>
        </w:rPr>
        <w:t>知名专家学者莅会作主旨演讲，得到了省内外专家学者的广泛关注和支持，共有150余人参加，走出了一条校地共建、学用结合的学术研讨新路子，得到了省社科联的高度评价和充分肯定。</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四是组织推进新型智库建设</w:t>
      </w:r>
      <w:r>
        <w:rPr>
          <w:rFonts w:hint="eastAsia" w:ascii="仿宋_GB2312" w:hAnsi="仿宋_GB2312" w:eastAsia="仿宋_GB2312" w:cs="仿宋_GB2312"/>
          <w:sz w:val="32"/>
          <w:szCs w:val="32"/>
        </w:rPr>
        <w:t>。发挥阳江市社科联作为“广东智库联盟”成员单位的优势，加强与省、市学术研究单位的交流与合作，调整优化市社科专家库，吸收一批中青年专家，入库专家达80多人。以社科规划为抓手，与市委政研室、市委党校、市府办研究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阳江市职业技术学院、广东海洋大学阳江校区等单位加强学术资源整合，协同开展重大课题科研攻关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联合市府办研究室开展的关于加快阳江港建设的专项委托课题研究成果得到市委、市政府领导的充分肯定。</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聚焦</w:t>
      </w:r>
      <w:r>
        <w:rPr>
          <w:rFonts w:hint="eastAsia" w:ascii="仿宋_GB2312" w:hAnsi="仿宋_GB2312" w:eastAsia="仿宋_GB2312" w:cs="仿宋_GB2312"/>
          <w:sz w:val="32"/>
          <w:szCs w:val="32"/>
        </w:rPr>
        <w:t>惠民服务，</w:t>
      </w:r>
      <w:r>
        <w:rPr>
          <w:rFonts w:hint="eastAsia" w:ascii="仿宋_GB2312" w:hAnsi="仿宋_GB2312" w:eastAsia="仿宋_GB2312" w:cs="仿宋_GB2312"/>
          <w:sz w:val="32"/>
          <w:szCs w:val="32"/>
          <w:lang w:val="en-US" w:eastAsia="zh-CN"/>
        </w:rPr>
        <w:t>践行</w:t>
      </w:r>
      <w:r>
        <w:rPr>
          <w:rFonts w:hint="eastAsia" w:ascii="仿宋_GB2312" w:hAnsi="仿宋_GB2312" w:eastAsia="仿宋_GB2312" w:cs="仿宋_GB2312"/>
          <w:sz w:val="32"/>
          <w:szCs w:val="32"/>
        </w:rPr>
        <w:t>以人民为中心的发展思想</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一是以基地为依托，发挥以点带面示范作用</w:t>
      </w:r>
      <w:r>
        <w:rPr>
          <w:rFonts w:hint="eastAsia" w:ascii="仿宋_GB2312" w:hAnsi="仿宋_GB2312" w:eastAsia="仿宋_GB2312" w:cs="仿宋_GB2312"/>
          <w:sz w:val="32"/>
          <w:szCs w:val="32"/>
        </w:rPr>
        <w:t>。积极申报广东省社科普及标准基地，</w:t>
      </w:r>
      <w:r>
        <w:rPr>
          <w:rFonts w:hint="eastAsia" w:ascii="仿宋_GB2312" w:hAnsi="仿宋_GB2312" w:eastAsia="仿宋_GB2312" w:cs="仿宋_GB2312"/>
          <w:sz w:val="32"/>
          <w:szCs w:val="32"/>
          <w:lang w:val="en-US" w:eastAsia="zh-CN"/>
        </w:rPr>
        <w:t>命名广东海洋大学商学院、阳春潭簕红色展馆、阳江市江城区城东消防救援站、阳江市阳东区东城消防救援站、李惟扬故居文化展馆和阳西县图书馆为</w:t>
      </w:r>
      <w:r>
        <w:rPr>
          <w:rFonts w:hint="eastAsia" w:ascii="仿宋_GB2312" w:hAnsi="仿宋_GB2312" w:eastAsia="仿宋_GB2312" w:cs="仿宋_GB2312"/>
          <w:sz w:val="32"/>
          <w:szCs w:val="32"/>
        </w:rPr>
        <w:t>第七批阳江市社科普及示范基地，目前全市共有省级社科普及基地19个，其中省级社科普及示范基地2个，是除广州、深圳外最多的地市，市级社科普及示范基地41个。</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二是以活动为载体，丰富人民精神文化生活</w:t>
      </w:r>
      <w:r>
        <w:rPr>
          <w:rFonts w:hint="eastAsia" w:ascii="仿宋_GB2312" w:hAnsi="仿宋_GB2312" w:eastAsia="仿宋_GB2312" w:cs="仿宋_GB2312"/>
          <w:sz w:val="32"/>
          <w:szCs w:val="32"/>
        </w:rPr>
        <w:t>。今年2月，协助省社科联在阳西县塘口镇举办首场“学习宣传贯彻党的二十大精神，推进百县千镇万村高质量发展”广东省社科普及展演活动，全面贯彻落实省委省政府推进百县千镇万村高质量发展战略部署，助力广东乡村振兴和农业农村现代化建设。同时在阳西县塘口镇举办阳江社科图片展，展现阳江社科风采。</w:t>
      </w:r>
      <w:r>
        <w:rPr>
          <w:rFonts w:hint="eastAsia" w:ascii="仿宋_GB2312" w:hAnsi="仿宋_GB2312" w:eastAsia="仿宋_GB2312" w:cs="仿宋_GB2312"/>
          <w:sz w:val="32"/>
          <w:szCs w:val="32"/>
          <w:lang w:val="en-US" w:eastAsia="zh-CN"/>
        </w:rPr>
        <w:t>12月，组织</w:t>
      </w:r>
      <w:r>
        <w:rPr>
          <w:rFonts w:hint="eastAsia" w:ascii="仿宋_GB2312" w:hAnsi="仿宋_GB2312" w:eastAsia="仿宋_GB2312" w:cs="仿宋_GB2312"/>
          <w:sz w:val="32"/>
          <w:szCs w:val="32"/>
        </w:rPr>
        <w:t>举办“践行二十大，书画进校园”活动暨阳江书画传承与发展学术座谈会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阳江话传承与发展展演活动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三是以人才为支撑，强化社科服务队伍建设</w:t>
      </w:r>
      <w:r>
        <w:rPr>
          <w:rFonts w:hint="eastAsia" w:ascii="仿宋_GB2312" w:hAnsi="仿宋_GB2312" w:eastAsia="仿宋_GB2312" w:cs="仿宋_GB2312"/>
          <w:sz w:val="32"/>
          <w:szCs w:val="32"/>
        </w:rPr>
        <w:t>。打造一支专业化、服务型社科普及工作人才队伍。如市演讲协会、市朗诵文艺协会拥有一大批专业化、高素质人才，为开展演讲、朗诵活动提供了充足的人才支撑。</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聚焦</w:t>
      </w:r>
      <w:r>
        <w:rPr>
          <w:rFonts w:hint="eastAsia" w:ascii="仿宋_GB2312" w:hAnsi="仿宋_GB2312" w:eastAsia="仿宋_GB2312" w:cs="仿宋_GB2312"/>
          <w:sz w:val="32"/>
          <w:szCs w:val="32"/>
        </w:rPr>
        <w:t>改革创新，激发社科事业发展动力活力</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扎实推进市社科联改革工作，</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b w:val="0"/>
          <w:bCs w:val="0"/>
          <w:color w:val="auto"/>
          <w:kern w:val="0"/>
          <w:sz w:val="32"/>
          <w:szCs w:val="32"/>
          <w:lang w:eastAsia="zh-CN"/>
        </w:rPr>
        <w:t>市委办公室印发《阳江市社会科学界联合会深化改革方案》</w:t>
      </w:r>
      <w:r>
        <w:rPr>
          <w:rFonts w:hint="eastAsia" w:ascii="仿宋_GB2312" w:hAnsi="仿宋_GB2312" w:eastAsia="仿宋_GB2312" w:cs="仿宋_GB2312"/>
          <w:sz w:val="32"/>
          <w:szCs w:val="32"/>
        </w:rPr>
        <w:t>，加强市社科联改革工作顶层设计，明确路线图，深化体制改革，激发我市社科事业发展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动力活力。扩大社科对外宣传，与南方日报经营有限公司合作共建“南方+阳江社科”专栏，宣传推介阳江社科工作，展示阳江社科事业发展良好态势和形象，为讲好阳江故事，传播好阳江声音贡献社科力量。</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、聚焦安全防范，守好意识形态安全“南大门”</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终坚持马克思主义的指导地位，严格落实意识形态工作责任制，全方位加强社科界意识形态阵地建设和管理。先后印发了《中共阳江市社科联党组意识形态责任制实施方案》《阳江市社科联意识形态分析研判制度》等文件和制度，确保在社科规划、社团管理、学术研究、基地建设等方面坚持正确的政治方向和学术导向。</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ascii="楷体_GB2312" w:eastAsia="楷体_GB2312"/>
          <w:b/>
          <w:bCs/>
          <w:szCs w:val="32"/>
        </w:rPr>
      </w:pPr>
      <w:r>
        <w:rPr>
          <w:rFonts w:hint="eastAsia" w:ascii="楷体_GB2312" w:eastAsia="楷体_GB2312"/>
          <w:b/>
          <w:bCs/>
          <w:szCs w:val="32"/>
        </w:rPr>
        <w:t>（三）</w:t>
      </w:r>
      <w:bookmarkEnd w:id="8"/>
      <w:bookmarkEnd w:id="9"/>
      <w:r>
        <w:rPr>
          <w:rFonts w:hint="eastAsia" w:ascii="楷体_GB2312" w:eastAsia="楷体_GB2312"/>
          <w:b/>
          <w:bCs/>
          <w:szCs w:val="32"/>
        </w:rPr>
        <w:t>部门整体支出情况</w:t>
      </w:r>
    </w:p>
    <w:p>
      <w:pPr>
        <w:ind w:firstLine="52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2023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年本部门</w:t>
      </w:r>
      <w:bookmarkStart w:id="10" w:name="PO_part3A1Amount1"/>
      <w:r>
        <w:rPr>
          <w:rFonts w:hint="eastAsia" w:ascii="仿宋_GB2312" w:hAnsi="仿宋_GB2312" w:cs="仿宋_GB2312"/>
          <w:bCs/>
          <w:sz w:val="32"/>
          <w:szCs w:val="32"/>
          <w:lang w:bidi="ar"/>
        </w:rPr>
        <w:t>一般公共预算财政拨款收入</w:t>
      </w:r>
      <w:r>
        <w:rPr>
          <w:rFonts w:hint="eastAsia" w:ascii="仿宋_GB2312" w:hAnsi="仿宋_GB2312" w:cs="仿宋_GB2312"/>
          <w:sz w:val="32"/>
          <w:szCs w:val="32"/>
          <w:lang w:val="en-US" w:eastAsia="zh-CN"/>
        </w:rPr>
        <w:t>195.5</w:t>
      </w:r>
      <w:r>
        <w:rPr>
          <w:rFonts w:ascii="仿宋_GB2312" w:hAnsi="仿宋_GB2312" w:eastAsia="仿宋_GB2312" w:cs="仿宋_GB2312"/>
          <w:sz w:val="32"/>
          <w:szCs w:val="32"/>
        </w:rPr>
        <w:t xml:space="preserve"> </w:t>
      </w:r>
      <w:bookmarkEnd w:id="10"/>
      <w:r>
        <w:rPr>
          <w:rFonts w:hint="eastAsia" w:ascii="仿宋_GB2312" w:hAnsi="仿宋_GB2312" w:eastAsia="仿宋_GB2312" w:cs="仿宋_GB2312"/>
          <w:sz w:val="32"/>
          <w:szCs w:val="32"/>
        </w:rPr>
        <w:t>万元，</w:t>
      </w:r>
      <w:r>
        <w:rPr>
          <w:rFonts w:hint="eastAsia" w:ascii="仿宋_GB2312" w:hAnsi="仿宋_GB2312" w:cs="仿宋_GB2312"/>
          <w:bCs/>
          <w:sz w:val="32"/>
          <w:szCs w:val="32"/>
          <w:lang w:val="en-US" w:eastAsia="zh-CN" w:bidi="ar"/>
        </w:rPr>
        <w:t>2023</w:t>
      </w:r>
      <w:r>
        <w:rPr>
          <w:rFonts w:hint="eastAsia" w:ascii="仿宋_GB2312" w:hAnsi="仿宋_GB2312" w:cs="仿宋_GB2312"/>
          <w:bCs/>
          <w:sz w:val="32"/>
          <w:szCs w:val="32"/>
          <w:lang w:eastAsia="zh-CN" w:bidi="ar"/>
        </w:rPr>
        <w:t xml:space="preserve"> 年度“三公”经费财政拨款支出决算为</w:t>
      </w:r>
      <w:r>
        <w:rPr>
          <w:rFonts w:hint="eastAsia" w:ascii="仿宋_GB2312" w:hAnsi="仿宋_GB2312" w:cs="仿宋_GB2312"/>
          <w:bCs/>
          <w:sz w:val="32"/>
          <w:szCs w:val="32"/>
          <w:lang w:val="en-US" w:eastAsia="zh-CN" w:bidi="ar"/>
        </w:rPr>
        <w:t>1.4</w:t>
      </w:r>
      <w:r>
        <w:rPr>
          <w:rFonts w:hint="eastAsia" w:ascii="仿宋_GB2312" w:hAnsi="仿宋_GB2312" w:cs="仿宋_GB2312"/>
          <w:bCs/>
          <w:sz w:val="32"/>
          <w:szCs w:val="32"/>
          <w:lang w:eastAsia="zh-CN" w:bidi="ar"/>
        </w:rPr>
        <w:t>万元，</w:t>
      </w:r>
      <w:r>
        <w:rPr>
          <w:rFonts w:hint="eastAsia" w:ascii="仿宋_GB2312" w:hAnsi="仿宋_GB2312" w:cs="仿宋_GB2312"/>
          <w:bCs/>
          <w:sz w:val="32"/>
          <w:szCs w:val="32"/>
          <w:lang w:val="en-US" w:eastAsia="zh-CN" w:bidi="ar"/>
        </w:rPr>
        <w:t>其中</w:t>
      </w:r>
      <w:r>
        <w:rPr>
          <w:rFonts w:hint="eastAsia" w:ascii="仿宋_GB2312" w:hAnsi="仿宋_GB2312" w:cs="仿宋_GB2312"/>
          <w:bCs/>
          <w:sz w:val="32"/>
          <w:szCs w:val="32"/>
          <w:lang w:eastAsia="zh-CN" w:bidi="ar"/>
        </w:rPr>
        <w:t>因公出国（境）费0万元，占0% ；公务用车购置及运行费支出</w:t>
      </w:r>
      <w:r>
        <w:rPr>
          <w:rFonts w:hint="eastAsia" w:ascii="仿宋_GB2312" w:hAnsi="仿宋_GB2312" w:cs="仿宋_GB2312"/>
          <w:bCs/>
          <w:sz w:val="32"/>
          <w:szCs w:val="32"/>
          <w:lang w:val="en-US" w:eastAsia="zh-CN" w:bidi="ar"/>
        </w:rPr>
        <w:t>1.2</w:t>
      </w:r>
      <w:r>
        <w:rPr>
          <w:rFonts w:hint="eastAsia" w:ascii="仿宋_GB2312" w:hAnsi="仿宋_GB2312" w:cs="仿宋_GB2312"/>
          <w:bCs/>
          <w:sz w:val="32"/>
          <w:szCs w:val="32"/>
          <w:lang w:eastAsia="zh-CN" w:bidi="ar"/>
        </w:rPr>
        <w:t>万元，占</w:t>
      </w:r>
      <w:r>
        <w:rPr>
          <w:rFonts w:hint="eastAsia" w:ascii="仿宋_GB2312" w:hAnsi="仿宋_GB2312" w:cs="仿宋_GB2312"/>
          <w:bCs/>
          <w:sz w:val="32"/>
          <w:szCs w:val="32"/>
          <w:lang w:val="en-US" w:eastAsia="zh-CN" w:bidi="ar"/>
        </w:rPr>
        <w:t>85.71</w:t>
      </w:r>
      <w:r>
        <w:rPr>
          <w:rFonts w:hint="eastAsia" w:ascii="仿宋_GB2312" w:hAnsi="仿宋_GB2312" w:cs="仿宋_GB2312"/>
          <w:bCs/>
          <w:sz w:val="32"/>
          <w:szCs w:val="32"/>
          <w:lang w:eastAsia="zh-CN" w:bidi="ar"/>
        </w:rPr>
        <w:t>% ；公务接待费支出</w:t>
      </w:r>
      <w:r>
        <w:rPr>
          <w:rFonts w:hint="eastAsia" w:ascii="仿宋_GB2312" w:hAnsi="仿宋_GB2312" w:cs="仿宋_GB2312"/>
          <w:bCs/>
          <w:sz w:val="32"/>
          <w:szCs w:val="32"/>
          <w:lang w:val="en-US" w:eastAsia="zh-CN" w:bidi="ar"/>
        </w:rPr>
        <w:t>0.2</w:t>
      </w:r>
      <w:r>
        <w:rPr>
          <w:rFonts w:hint="eastAsia" w:ascii="仿宋_GB2312" w:hAnsi="仿宋_GB2312" w:cs="仿宋_GB2312"/>
          <w:bCs/>
          <w:sz w:val="32"/>
          <w:szCs w:val="32"/>
          <w:lang w:eastAsia="zh-CN" w:bidi="ar"/>
        </w:rPr>
        <w:t>万元，占</w:t>
      </w:r>
      <w:r>
        <w:rPr>
          <w:rFonts w:hint="eastAsia" w:ascii="仿宋_GB2312" w:hAnsi="仿宋_GB2312" w:cs="仿宋_GB2312"/>
          <w:bCs/>
          <w:sz w:val="32"/>
          <w:szCs w:val="32"/>
          <w:lang w:val="en-US" w:eastAsia="zh-CN" w:bidi="ar"/>
        </w:rPr>
        <w:t>14.29</w:t>
      </w:r>
      <w:r>
        <w:rPr>
          <w:rFonts w:hint="eastAsia" w:ascii="仿宋_GB2312" w:hAnsi="仿宋_GB2312" w:cs="仿宋_GB2312"/>
          <w:bCs/>
          <w:sz w:val="32"/>
          <w:szCs w:val="32"/>
          <w:lang w:eastAsia="zh-CN" w:bidi="ar"/>
        </w:rPr>
        <w:t>% ；项目支出</w:t>
      </w:r>
      <w:r>
        <w:rPr>
          <w:rFonts w:hint="eastAsia" w:ascii="仿宋_GB2312" w:hAnsi="仿宋_GB2312" w:cs="仿宋_GB2312"/>
          <w:bCs/>
          <w:sz w:val="32"/>
          <w:szCs w:val="32"/>
          <w:lang w:val="en-US" w:eastAsia="zh-CN" w:bidi="ar"/>
        </w:rPr>
        <w:t>40万元，日常公用经费支出为8.4万元。</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楷体_GB2312" w:eastAsia="楷体_GB2312"/>
          <w:b/>
          <w:bCs/>
          <w:szCs w:val="32"/>
        </w:rPr>
      </w:pPr>
      <w:r>
        <w:rPr>
          <w:rFonts w:hint="eastAsia" w:ascii="楷体_GB2312" w:eastAsia="楷体_GB2312"/>
          <w:b/>
          <w:bCs/>
          <w:szCs w:val="32"/>
        </w:rPr>
        <w:t>（四）部门整体支出绩效目标</w:t>
      </w:r>
    </w:p>
    <w:p>
      <w:pPr>
        <w:ind w:firstLine="616" w:firstLineChars="200"/>
        <w:rPr>
          <w:rFonts w:hint="eastAsia" w:ascii="仿宋_GB2312" w:hAnsi="华文仿宋" w:cs="仿宋_GB2312"/>
          <w:szCs w:val="32"/>
        </w:rPr>
      </w:pPr>
      <w:bookmarkStart w:id="11" w:name="_Toc22180"/>
      <w:bookmarkStart w:id="12" w:name="_Toc4514_WPSOffice_Level1"/>
      <w:r>
        <w:rPr>
          <w:rFonts w:hint="eastAsia" w:ascii="仿宋_GB2312" w:hAnsi="华文仿宋" w:cs="仿宋_GB2312"/>
          <w:szCs w:val="32"/>
        </w:rPr>
        <w:t>我</w:t>
      </w:r>
      <w:r>
        <w:rPr>
          <w:rFonts w:hint="eastAsia" w:ascii="仿宋_GB2312" w:hAnsi="华文仿宋" w:cs="仿宋_GB2312"/>
          <w:szCs w:val="32"/>
          <w:lang w:eastAsia="zh-CN"/>
        </w:rPr>
        <w:t>会</w:t>
      </w:r>
      <w:r>
        <w:rPr>
          <w:rFonts w:hint="eastAsia" w:ascii="仿宋_GB2312" w:hAnsi="华文仿宋" w:cs="仿宋_GB2312"/>
          <w:szCs w:val="32"/>
          <w:lang w:val="en-US" w:eastAsia="zh-CN"/>
        </w:rPr>
        <w:t>紧紧</w:t>
      </w:r>
      <w:r>
        <w:rPr>
          <w:rFonts w:hint="eastAsia" w:ascii="仿宋_GB2312" w:hAnsi="华文仿宋" w:cs="仿宋_GB2312"/>
          <w:szCs w:val="32"/>
        </w:rPr>
        <w:t>围绕</w:t>
      </w:r>
      <w:r>
        <w:rPr>
          <w:rFonts w:hint="eastAsia" w:ascii="仿宋_GB2312" w:hAnsi="华文仿宋" w:cs="仿宋_GB2312"/>
          <w:szCs w:val="32"/>
          <w:lang w:val="en-US" w:eastAsia="zh-CN"/>
        </w:rPr>
        <w:t>部门职能和年度重点工作任务，按照</w:t>
      </w:r>
      <w:r>
        <w:rPr>
          <w:rFonts w:hint="eastAsia" w:ascii="仿宋_GB2312" w:hAnsi="华文仿宋" w:cs="仿宋_GB2312"/>
          <w:szCs w:val="32"/>
        </w:rPr>
        <w:t>市委、市政府的工作</w:t>
      </w:r>
      <w:r>
        <w:rPr>
          <w:rFonts w:hint="eastAsia" w:ascii="仿宋_GB2312" w:hAnsi="华文仿宋" w:cs="仿宋_GB2312"/>
          <w:szCs w:val="32"/>
          <w:lang w:val="en-US" w:eastAsia="zh-CN"/>
        </w:rPr>
        <w:t>部署，</w:t>
      </w:r>
      <w:r>
        <w:rPr>
          <w:rFonts w:hint="eastAsia" w:ascii="仿宋_GB2312" w:hAnsi="华文仿宋" w:cs="仿宋_GB2312"/>
          <w:szCs w:val="32"/>
          <w:lang w:eastAsia="zh-CN"/>
        </w:rPr>
        <w:t>较好完成</w:t>
      </w:r>
      <w:r>
        <w:rPr>
          <w:rFonts w:hint="eastAsia" w:ascii="仿宋_GB2312" w:hAnsi="华文仿宋" w:cs="仿宋_GB2312"/>
          <w:szCs w:val="32"/>
        </w:rPr>
        <w:t>社科工作，充分发挥社团自身特点和优势，促进社团不断向前发展</w:t>
      </w:r>
      <w:r>
        <w:rPr>
          <w:rFonts w:hint="eastAsia" w:ascii="仿宋_GB2312" w:hAnsi="华文仿宋" w:cs="仿宋_GB2312"/>
          <w:szCs w:val="32"/>
          <w:lang w:eastAsia="zh-CN"/>
        </w:rPr>
        <w:t>；</w:t>
      </w:r>
      <w:r>
        <w:rPr>
          <w:rFonts w:hint="eastAsia" w:ascii="仿宋_GB2312" w:hAnsi="华文仿宋" w:cs="仿宋_GB2312"/>
          <w:szCs w:val="32"/>
        </w:rPr>
        <w:t>编辑、设计、印刷《阳江新论》刊物出版，促进全市社会科学及资源共享，提高社会科学普及能力</w:t>
      </w:r>
      <w:r>
        <w:rPr>
          <w:rFonts w:hint="eastAsia" w:ascii="仿宋_GB2312" w:hAnsi="华文仿宋" w:cs="仿宋_GB2312"/>
          <w:szCs w:val="32"/>
          <w:lang w:eastAsia="zh-CN"/>
        </w:rPr>
        <w:t>；</w:t>
      </w:r>
      <w:r>
        <w:rPr>
          <w:rFonts w:hint="eastAsia" w:ascii="仿宋_GB2312" w:hAnsi="华文仿宋" w:cs="仿宋_GB2312"/>
          <w:szCs w:val="32"/>
        </w:rPr>
        <w:t>组织开展社科课题规划和哲学社会科学优秀成果评选工作，积极组织开展课题研究，推出一批有较高水平的研究成果。</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方正小标宋简体" w:eastAsia="方正小标宋简体"/>
        </w:rPr>
      </w:pPr>
      <w:r>
        <w:rPr>
          <w:rFonts w:hint="eastAsia" w:ascii="方正小标宋简体" w:eastAsia="方正小标宋简体"/>
        </w:rPr>
        <w:t>二、绩效自评结论</w:t>
      </w:r>
      <w:bookmarkEnd w:id="11"/>
      <w:bookmarkEnd w:id="12"/>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hint="eastAsia" w:ascii="仿宋_GB2312" w:hAnsi="华文仿宋" w:cs="仿宋_GB2312"/>
          <w:szCs w:val="32"/>
        </w:rPr>
      </w:pPr>
      <w:bookmarkStart w:id="13" w:name="_Toc2998_WPSOffice_Level1"/>
      <w:bookmarkStart w:id="14" w:name="_Toc2072"/>
      <w:r>
        <w:rPr>
          <w:rFonts w:hint="eastAsia" w:ascii="仿宋_GB2312" w:hAnsi="华文仿宋" w:cs="仿宋_GB2312"/>
          <w:szCs w:val="32"/>
        </w:rPr>
        <w:t>根据《</w:t>
      </w:r>
      <w:r>
        <w:rPr>
          <w:rFonts w:hint="eastAsia" w:ascii="仿宋_GB2312" w:hAnsi="华文仿宋" w:cs="仿宋_GB2312"/>
          <w:szCs w:val="32"/>
          <w:lang w:val="en-US" w:eastAsia="zh-CN"/>
        </w:rPr>
        <w:t>部门整体支出</w:t>
      </w:r>
      <w:r>
        <w:rPr>
          <w:rFonts w:hint="eastAsia" w:ascii="仿宋_GB2312" w:hAnsi="华文仿宋" w:cs="仿宋_GB2312"/>
          <w:szCs w:val="32"/>
        </w:rPr>
        <w:t>绩效自评指标</w:t>
      </w:r>
      <w:r>
        <w:rPr>
          <w:rFonts w:hint="eastAsia" w:ascii="仿宋_GB2312" w:hAnsi="华文仿宋" w:cs="仿宋_GB2312"/>
          <w:szCs w:val="32"/>
          <w:lang w:val="en-US" w:eastAsia="zh-CN"/>
        </w:rPr>
        <w:t>评</w:t>
      </w:r>
      <w:r>
        <w:rPr>
          <w:rFonts w:hint="eastAsia" w:ascii="仿宋_GB2312" w:hAnsi="华文仿宋" w:cs="仿宋_GB2312"/>
          <w:szCs w:val="32"/>
        </w:rPr>
        <w:t>分表》，</w:t>
      </w:r>
      <w:r>
        <w:rPr>
          <w:rFonts w:hint="eastAsia" w:ascii="仿宋_GB2312" w:hAnsi="华文仿宋" w:cs="仿宋_GB2312"/>
          <w:szCs w:val="32"/>
          <w:lang w:val="en-US" w:eastAsia="zh-CN"/>
        </w:rPr>
        <w:t>我会市级部门整体</w:t>
      </w:r>
      <w:r>
        <w:rPr>
          <w:rFonts w:hint="eastAsia" w:ascii="仿宋_GB2312" w:hAnsi="华文仿宋" w:cs="仿宋_GB2312"/>
          <w:szCs w:val="32"/>
        </w:rPr>
        <w:t>支出绩效指标自评得分100分。</w:t>
      </w:r>
      <w:r>
        <w:rPr>
          <w:rFonts w:hint="eastAsia" w:ascii="仿宋_GB2312" w:hAnsi="华文仿宋" w:cs="仿宋_GB2312"/>
          <w:szCs w:val="32"/>
          <w:lang w:val="en-US" w:eastAsia="zh-CN"/>
        </w:rPr>
        <w:t>我会</w:t>
      </w:r>
      <w:r>
        <w:rPr>
          <w:rFonts w:hint="eastAsia" w:ascii="仿宋_GB2312" w:hAnsi="华文仿宋" w:cs="仿宋_GB2312"/>
          <w:szCs w:val="32"/>
        </w:rPr>
        <w:t>严格按照工作</w:t>
      </w:r>
      <w:r>
        <w:rPr>
          <w:rFonts w:hint="eastAsia" w:ascii="仿宋_GB2312" w:hAnsi="华文仿宋" w:cs="仿宋_GB2312"/>
          <w:szCs w:val="32"/>
          <w:lang w:val="en-US" w:eastAsia="zh-CN"/>
        </w:rPr>
        <w:t>任务</w:t>
      </w:r>
      <w:r>
        <w:rPr>
          <w:rFonts w:hint="eastAsia" w:ascii="仿宋_GB2312" w:hAnsi="华文仿宋" w:cs="仿宋_GB2312"/>
          <w:szCs w:val="32"/>
        </w:rPr>
        <w:t>的</w:t>
      </w:r>
      <w:r>
        <w:rPr>
          <w:rFonts w:hint="eastAsia" w:ascii="仿宋_GB2312" w:hAnsi="华文仿宋" w:cs="仿宋_GB2312"/>
          <w:szCs w:val="32"/>
          <w:lang w:val="en-US" w:eastAsia="zh-CN"/>
        </w:rPr>
        <w:t>部署</w:t>
      </w:r>
      <w:r>
        <w:rPr>
          <w:rFonts w:hint="eastAsia" w:ascii="仿宋_GB2312" w:hAnsi="华文仿宋" w:cs="仿宋_GB2312"/>
          <w:szCs w:val="32"/>
        </w:rPr>
        <w:t>，全面、按时完成各项任务工作，有效促进部门职责及项目工作的各项绩效目标的实现</w:t>
      </w:r>
      <w:r>
        <w:rPr>
          <w:rFonts w:hint="eastAsia" w:ascii="仿宋_GB2312" w:hAnsi="华文仿宋" w:cs="仿宋_GB2312"/>
          <w:szCs w:val="32"/>
          <w:lang w:eastAsia="zh-CN"/>
        </w:rPr>
        <w:t>，</w:t>
      </w:r>
      <w:r>
        <w:rPr>
          <w:rFonts w:hint="eastAsia" w:ascii="仿宋_GB2312" w:hAnsi="华文仿宋" w:cs="仿宋_GB2312"/>
          <w:szCs w:val="32"/>
        </w:rPr>
        <w:t>资金使用严格执行财政部门支出管理的有关规定，确保按进度完成预算执行目标，保障各项工作顺利开展，有效提高资金使用效益。</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方正小标宋简体" w:eastAsia="方正小标宋简体"/>
          <w:highlight w:val="none"/>
        </w:rPr>
      </w:pPr>
      <w:r>
        <w:rPr>
          <w:rFonts w:hint="eastAsia" w:ascii="方正小标宋简体" w:eastAsia="方正小标宋简体"/>
          <w:highlight w:val="none"/>
        </w:rPr>
        <w:t>三、绩效自评分析</w:t>
      </w:r>
      <w:bookmarkEnd w:id="13"/>
      <w:bookmarkEnd w:id="14"/>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hint="eastAsia" w:ascii="楷体_GB2312" w:eastAsia="楷体_GB2312"/>
          <w:b/>
          <w:bCs/>
          <w:szCs w:val="32"/>
          <w:lang w:eastAsia="zh-CN"/>
        </w:rPr>
      </w:pPr>
      <w:bookmarkStart w:id="15" w:name="_Toc27392_WPSOffice_Level2"/>
      <w:bookmarkStart w:id="16" w:name="_Toc26765_WPSOffice_Level3"/>
      <w:bookmarkStart w:id="17" w:name="_Toc19924"/>
      <w:bookmarkStart w:id="18" w:name="_Toc22677"/>
      <w:r>
        <w:rPr>
          <w:rFonts w:hint="eastAsia" w:ascii="楷体_GB2312" w:eastAsia="楷体_GB2312"/>
          <w:b/>
          <w:bCs/>
          <w:szCs w:val="32"/>
        </w:rPr>
        <w:t>（一）</w:t>
      </w:r>
      <w:bookmarkEnd w:id="15"/>
      <w:bookmarkEnd w:id="16"/>
      <w:bookmarkEnd w:id="17"/>
      <w:bookmarkEnd w:id="18"/>
      <w:r>
        <w:rPr>
          <w:rFonts w:hint="eastAsia" w:ascii="楷体_GB2312" w:eastAsia="楷体_GB2312"/>
          <w:b/>
          <w:bCs/>
          <w:szCs w:val="32"/>
          <w:lang w:eastAsia="zh-CN"/>
        </w:rPr>
        <w:t>履职效能</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bookmarkStart w:id="19" w:name="_Toc4521"/>
      <w:r>
        <w:rPr>
          <w:rFonts w:hint="eastAsia" w:cs="仿宋_GB2312"/>
          <w:b/>
          <w:bCs/>
          <w:szCs w:val="32"/>
        </w:rPr>
        <w:t>1</w:t>
      </w:r>
      <w:r>
        <w:rPr>
          <w:rFonts w:hint="eastAsia" w:ascii="仿宋_GB2312" w:hAnsi="仿宋_GB2312" w:cs="仿宋_GB2312"/>
          <w:b/>
          <w:bCs/>
          <w:szCs w:val="32"/>
        </w:rPr>
        <w:t>.</w:t>
      </w:r>
      <w:bookmarkEnd w:id="19"/>
      <w:r>
        <w:rPr>
          <w:rFonts w:hint="eastAsia" w:ascii="仿宋_GB2312" w:hAnsi="仿宋_GB2312" w:cs="仿宋_GB2312"/>
          <w:b/>
          <w:bCs/>
          <w:szCs w:val="32"/>
          <w:lang w:eastAsia="zh-CN"/>
        </w:rPr>
        <w:t>整体效能。</w:t>
      </w:r>
      <w:r>
        <w:rPr>
          <w:rFonts w:hint="eastAsia" w:ascii="仿宋_GB2312" w:hAnsi="仿宋_GB2312" w:eastAsia="仿宋_GB2312" w:cs="仿宋_GB2312"/>
          <w:kern w:val="2"/>
          <w:sz w:val="32"/>
          <w:szCs w:val="24"/>
          <w:lang w:val="en-US" w:eastAsia="zh-CN" w:bidi="ar-SA"/>
        </w:rPr>
        <w:t>2023年本部门的绩效目标制定、目标完成、预决算编制等均按照市财政局下达的相关文件指标进行了编制，均按照相关要求严格执行预算范围内开支，并完成所有预定目标。严格执行有关财务管理办法，按照专款专用原则，根据各项目进展和完成情况，合理规划、科学分配专项资金，项目资金做到了专款专用，无截留、无挪用等现象。</w:t>
      </w:r>
      <w:r>
        <w:rPr>
          <w:rFonts w:hint="eastAsia" w:ascii="仿宋_GB2312" w:hAnsi="仿宋_GB2312" w:eastAsia="仿宋_GB2312" w:cs="仿宋_GB2312"/>
          <w:szCs w:val="32"/>
          <w:lang w:val="en-US" w:eastAsia="zh-CN"/>
        </w:rPr>
        <w:t>部门预算资金支出率100%。</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b w:val="0"/>
          <w:bCs w:val="0"/>
          <w:sz w:val="32"/>
          <w:szCs w:val="32"/>
          <w:lang w:val="en-US" w:eastAsia="zh-CN"/>
        </w:rPr>
      </w:pPr>
      <w:bookmarkStart w:id="20" w:name="_Toc8156"/>
      <w:r>
        <w:rPr>
          <w:rFonts w:hint="default" w:ascii="Times New Roman" w:hAnsi="Times New Roman" w:cs="Times New Roman"/>
          <w:b/>
          <w:bCs/>
          <w:szCs w:val="32"/>
        </w:rPr>
        <w:t>2.</w:t>
      </w:r>
      <w:bookmarkEnd w:id="20"/>
      <w:r>
        <w:rPr>
          <w:rFonts w:hint="default" w:ascii="Times New Roman" w:hAnsi="Times New Roman" w:cs="Times New Roman"/>
          <w:b/>
          <w:bCs/>
          <w:szCs w:val="32"/>
          <w:lang w:eastAsia="zh-CN"/>
        </w:rPr>
        <w:t>专项效能</w:t>
      </w:r>
      <w:r>
        <w:rPr>
          <w:rFonts w:hint="eastAsia" w:cs="Times New Roman"/>
          <w:b/>
          <w:bCs/>
          <w:szCs w:val="32"/>
          <w:lang w:eastAsia="zh-CN"/>
        </w:rPr>
        <w:t>。</w:t>
      </w:r>
      <w:r>
        <w:rPr>
          <w:rFonts w:hint="eastAsia" w:ascii="宋体" w:hAnsi="宋体" w:cs="仿宋_GB2312"/>
          <w:sz w:val="32"/>
          <w:szCs w:val="32"/>
          <w:lang w:eastAsia="zh-CN" w:bidi="ar"/>
        </w:rPr>
        <w:t>本单位项目主要是</w:t>
      </w:r>
      <w:r>
        <w:rPr>
          <w:rFonts w:hint="eastAsia" w:ascii="宋体" w:hAnsi="宋体" w:cs="仿宋_GB2312"/>
          <w:sz w:val="32"/>
          <w:szCs w:val="32"/>
          <w:lang w:val="en-US" w:eastAsia="zh-CN" w:bidi="ar"/>
        </w:rPr>
        <w:t>出版《阳江新论》刊物，</w:t>
      </w:r>
      <w:r>
        <w:rPr>
          <w:rFonts w:hint="eastAsia" w:ascii="仿宋_GB2312" w:hAnsi="仿宋_GB2312" w:eastAsia="仿宋_GB2312" w:cs="仿宋_GB2312"/>
          <w:b w:val="0"/>
          <w:bCs w:val="0"/>
          <w:sz w:val="32"/>
          <w:szCs w:val="32"/>
        </w:rPr>
        <w:t>组织开展社科规划课题研究</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sz w:val="32"/>
          <w:szCs w:val="32"/>
          <w:lang w:val="en-US" w:eastAsia="zh-CN"/>
        </w:rPr>
        <w:t>推进社科普及工作基地创建工作，</w:t>
      </w:r>
      <w:r>
        <w:rPr>
          <w:rFonts w:hint="eastAsia" w:ascii="仿宋_GB2312" w:hAnsi="仿宋_GB2312" w:eastAsia="仿宋_GB2312" w:cs="仿宋_GB2312"/>
          <w:sz w:val="32"/>
          <w:szCs w:val="32"/>
        </w:rPr>
        <w:t>做好社团的服务工作，坚持和社团合作举办学术研讨活动或社科普及活动，</w:t>
      </w:r>
      <w:r>
        <w:rPr>
          <w:rFonts w:hint="eastAsia" w:ascii="仿宋_GB2312" w:hAnsi="仿宋_GB2312" w:eastAsia="仿宋_GB2312" w:cs="仿宋_GB2312"/>
          <w:sz w:val="32"/>
          <w:szCs w:val="32"/>
          <w:lang w:val="en-US" w:eastAsia="zh-CN"/>
        </w:rPr>
        <w:t>推动社会科学信息资源共享。</w:t>
      </w:r>
      <w:r>
        <w:rPr>
          <w:rFonts w:hint="eastAsia" w:ascii="仿宋_GB2312" w:hAnsi="仿宋_GB2312" w:eastAsia="仿宋_GB2312" w:cs="仿宋_GB2312"/>
          <w:sz w:val="32"/>
          <w:szCs w:val="32"/>
        </w:rPr>
        <w:t>围绕省委“1310”具体部署和市委“433”工作安排，制定2023年度全市哲学社会科学规划，开展应用对策研究，立项课题46项，其中重点课题6项，一般课题14项，地方历史文化课题5项，青年课题1项，立项不资助课题20项。同时，开展2022年度课题结题工作，组织专家评审组对提交结题报告的46项课题进行评审，评选出了一批有价值、有分量的高质量研究成果，为我市党委政府决策和经济社会发展提供理论支撑和智力支持。我市广东海洋大学阳江校区周婷</w:t>
      </w:r>
      <w:r>
        <w:rPr>
          <w:rFonts w:hint="eastAsia" w:ascii="仿宋_GB2312" w:hAnsi="仿宋_GB2312" w:eastAsia="仿宋_GB2312" w:cs="仿宋_GB2312"/>
          <w:sz w:val="32"/>
          <w:szCs w:val="32"/>
          <w:lang w:val="en-US" w:eastAsia="zh-CN"/>
        </w:rPr>
        <w:t>副教授</w:t>
      </w:r>
      <w:r>
        <w:rPr>
          <w:rFonts w:hint="eastAsia" w:ascii="仿宋_GB2312" w:hAnsi="仿宋_GB2312" w:eastAsia="仿宋_GB2312" w:cs="仿宋_GB2312"/>
          <w:sz w:val="32"/>
          <w:szCs w:val="32"/>
        </w:rPr>
        <w:t xml:space="preserve">《双碳目标下构建广东省海上风电现代产业体系路径研究——以阳江市为例》项目获省级社科课题立项。5月17日，市社科联召开全市社科理论界学习贯彻习近平总书记视察广东重要讲话、重要指示精神研讨座谈会。与会专家学者就习近平总书记视察广东重要讲话、重要指示精神的重大意义、时代背景、丰富内涵、实践要求等进行学习研究阐释，进一步深化了对习近平总书记视察广东重要讲话、重要指示精神的理解和认识，统一了思想，明确了方向。11月11日， </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广东海洋大学阳江校区</w:t>
      </w:r>
      <w:r>
        <w:rPr>
          <w:rFonts w:hint="eastAsia" w:ascii="仿宋_GB2312" w:hAnsi="仿宋_GB2312" w:eastAsia="仿宋_GB2312" w:cs="仿宋_GB2312"/>
          <w:sz w:val="32"/>
          <w:szCs w:val="32"/>
          <w:lang w:eastAsia="zh-CN"/>
        </w:rPr>
        <w:t>联合举</w:t>
      </w:r>
      <w:r>
        <w:rPr>
          <w:rFonts w:hint="eastAsia" w:ascii="仿宋_GB2312" w:hAnsi="仿宋_GB2312" w:eastAsia="仿宋_GB2312" w:cs="仿宋_GB2312"/>
          <w:sz w:val="32"/>
          <w:szCs w:val="32"/>
        </w:rPr>
        <w:t>办2023广东社会科学学术年会阳江分会之“广东后发地区产业高质量发展”学术研讨会，邀请了中山大学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华南理工大学等</w:t>
      </w:r>
      <w:r>
        <w:rPr>
          <w:rFonts w:hint="eastAsia" w:ascii="仿宋_GB2312" w:hAnsi="仿宋_GB2312" w:eastAsia="仿宋_GB2312" w:cs="仿宋_GB2312"/>
          <w:sz w:val="32"/>
          <w:szCs w:val="32"/>
          <w:lang w:val="en-US" w:eastAsia="zh-CN"/>
        </w:rPr>
        <w:t>5位</w:t>
      </w:r>
      <w:r>
        <w:rPr>
          <w:rFonts w:hint="eastAsia" w:ascii="仿宋_GB2312" w:hAnsi="仿宋_GB2312" w:eastAsia="仿宋_GB2312" w:cs="仿宋_GB2312"/>
          <w:sz w:val="32"/>
          <w:szCs w:val="32"/>
        </w:rPr>
        <w:t>知名专家学者莅会作主旨演讲，得到了省内外专家学者的广泛关注和支持，共有150余人参加，走出了一条校地共建、学用结合的学术研讨新路子，得到了省社科联的高度评价和充分肯定。发挥阳江市社科联作为“广东智库联盟”成员单位的优势，加强与省、市学术研究单位的交流与合作，调整优化市社科专家库，吸收一批中青年专家，入库专家达80多人。以社科规划为抓手，与市委政研室、市委党校、市府办研究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阳江市职业技术学院、广东海洋大学阳江校区等单位加强学术资源整合，协同开展重大课题科研攻关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联合市府办研究室开展的关于加快阳江港建设的专项委托课题研究成果得到市委、市政府领导的充分肯定。</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hint="eastAsia" w:ascii="楷体_GB2312" w:eastAsia="楷体_GB2312"/>
          <w:b/>
          <w:bCs/>
          <w:szCs w:val="32"/>
          <w:lang w:eastAsia="zh-CN"/>
        </w:rPr>
      </w:pPr>
      <w:bookmarkStart w:id="21" w:name="_Toc13662"/>
      <w:bookmarkStart w:id="22" w:name="_Toc19200_WPSOffice_Level2"/>
      <w:bookmarkStart w:id="23" w:name="_Toc5828_WPSOffice_Level3"/>
      <w:bookmarkStart w:id="24" w:name="_Toc32482"/>
      <w:r>
        <w:rPr>
          <w:rFonts w:hint="eastAsia" w:ascii="楷体_GB2312" w:eastAsia="楷体_GB2312"/>
          <w:b/>
          <w:bCs/>
          <w:szCs w:val="32"/>
        </w:rPr>
        <w:t>（二）</w:t>
      </w:r>
      <w:bookmarkEnd w:id="21"/>
      <w:bookmarkEnd w:id="22"/>
      <w:bookmarkEnd w:id="23"/>
      <w:bookmarkEnd w:id="24"/>
      <w:r>
        <w:rPr>
          <w:rFonts w:hint="eastAsia" w:ascii="楷体_GB2312" w:eastAsia="楷体_GB2312"/>
          <w:b/>
          <w:bCs/>
          <w:szCs w:val="32"/>
          <w:lang w:eastAsia="zh-CN"/>
        </w:rPr>
        <w:t>管理效率</w:t>
      </w:r>
    </w:p>
    <w:p>
      <w:pPr>
        <w:ind w:firstLine="616" w:firstLineChars="200"/>
        <w:rPr>
          <w:rFonts w:hint="eastAsia" w:ascii="仿宋_GB2312" w:hAnsi="仿宋_GB2312" w:eastAsia="仿宋_GB2312" w:cs="仿宋_GB2312"/>
        </w:rPr>
      </w:pPr>
      <w:r>
        <w:rPr>
          <w:rFonts w:hint="eastAsia" w:cs="仿宋_GB2312"/>
          <w:b/>
          <w:bCs/>
          <w:szCs w:val="32"/>
        </w:rPr>
        <w:t>1</w:t>
      </w:r>
      <w:r>
        <w:rPr>
          <w:rFonts w:hint="eastAsia" w:ascii="仿宋_GB2312" w:hAnsi="仿宋_GB2312" w:cs="仿宋_GB2312"/>
          <w:b/>
          <w:bCs/>
          <w:szCs w:val="32"/>
        </w:rPr>
        <w:t>.</w:t>
      </w:r>
      <w:r>
        <w:rPr>
          <w:rFonts w:hint="eastAsia" w:ascii="仿宋_GB2312" w:hAnsi="仿宋_GB2312" w:cs="仿宋_GB2312"/>
          <w:b/>
          <w:bCs/>
          <w:szCs w:val="32"/>
          <w:lang w:eastAsia="zh-CN"/>
        </w:rPr>
        <w:t>预算编制</w:t>
      </w:r>
      <w:r>
        <w:rPr>
          <w:rFonts w:hint="eastAsia" w:ascii="仿宋_GB2312" w:hAnsi="仿宋_GB2312" w:cs="仿宋_GB2312"/>
          <w:b/>
          <w:bCs/>
          <w:szCs w:val="32"/>
        </w:rPr>
        <w:t>。</w:t>
      </w:r>
      <w:r>
        <w:rPr>
          <w:rFonts w:hint="eastAsia" w:ascii="仿宋_GB2312" w:hAnsi="仿宋_GB2312" w:eastAsia="仿宋_GB2312" w:cs="仿宋_GB2312"/>
          <w:kern w:val="2"/>
          <w:sz w:val="32"/>
          <w:szCs w:val="24"/>
          <w:lang w:val="en-US" w:eastAsia="zh-CN" w:bidi="ar-SA"/>
        </w:rPr>
        <w:t>2023</w:t>
      </w:r>
      <w:r>
        <w:rPr>
          <w:rFonts w:hint="eastAsia" w:ascii="仿宋_GB2312" w:hAnsi="仿宋_GB2312" w:eastAsia="仿宋_GB2312" w:cs="仿宋_GB2312"/>
          <w:sz w:val="32"/>
          <w:szCs w:val="32"/>
          <w:lang w:val="en-US" w:eastAsia="zh-CN" w:bidi="ar"/>
        </w:rPr>
        <w:t>年本单位预算编制符合职责、符合市委市政府的方针政策，符合财政部门印发的预算编制方案、通知和有关制度要求，资金根据年度工作重点，在不同项目、不同用途之间合理分配，专项资金编制细化程度合理，功能分类和经济分类编制准确，未出现因年中调剂导致本部门预决算差异过大问题，没有产生项目调剂的事项。</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eastAsia="仿宋_GB2312" w:cs="仿宋_GB2312"/>
          <w:lang w:val="en-US" w:eastAsia="zh-CN"/>
        </w:rPr>
      </w:pPr>
      <w:bookmarkStart w:id="25" w:name="_Toc3319"/>
      <w:r>
        <w:rPr>
          <w:rFonts w:hint="eastAsia" w:cs="仿宋_GB2312"/>
          <w:b/>
          <w:bCs/>
          <w:szCs w:val="32"/>
        </w:rPr>
        <w:t>2</w:t>
      </w:r>
      <w:r>
        <w:rPr>
          <w:rFonts w:hint="eastAsia" w:ascii="仿宋_GB2312" w:hAnsi="仿宋_GB2312" w:cs="仿宋_GB2312"/>
          <w:b/>
          <w:bCs/>
          <w:szCs w:val="32"/>
        </w:rPr>
        <w:t>.</w:t>
      </w:r>
      <w:r>
        <w:rPr>
          <w:rFonts w:hint="eastAsia" w:ascii="仿宋_GB2312" w:hAnsi="仿宋_GB2312" w:cs="仿宋_GB2312"/>
          <w:b/>
          <w:bCs/>
          <w:szCs w:val="32"/>
          <w:lang w:eastAsia="zh-CN"/>
        </w:rPr>
        <w:t>预算执行</w:t>
      </w:r>
      <w:r>
        <w:rPr>
          <w:rFonts w:hint="eastAsia" w:ascii="仿宋_GB2312" w:hAnsi="仿宋_GB2312" w:cs="仿宋_GB2312"/>
          <w:b/>
          <w:bCs/>
          <w:szCs w:val="32"/>
        </w:rPr>
        <w:t>。</w:t>
      </w:r>
      <w:bookmarkEnd w:id="25"/>
      <w:bookmarkStart w:id="26" w:name="_Toc29827"/>
      <w:r>
        <w:rPr>
          <w:rFonts w:hint="eastAsia" w:ascii="仿宋_GB2312" w:hAnsi="仿宋_GB2312" w:eastAsia="仿宋_GB2312" w:cs="仿宋_GB2312"/>
          <w:sz w:val="32"/>
          <w:szCs w:val="32"/>
          <w:lang w:val="en-US" w:eastAsia="zh-CN" w:bidi="ar"/>
        </w:rPr>
        <w:t>本单位按照市财政下达预算数合理调整预算安排，并按要求做好项目库工作，符合项目库入库管理、评审管理等要求，项目支出预算细化到具体用款单位和具体执行项目。2023年预算执行情况较好，</w:t>
      </w:r>
      <w:r>
        <w:rPr>
          <w:rFonts w:hint="eastAsia" w:ascii="仿宋_GB2312" w:hAnsi="仿宋_GB2312" w:eastAsia="仿宋_GB2312" w:cs="仿宋_GB2312"/>
          <w:lang w:val="en-US" w:eastAsia="zh-CN"/>
        </w:rPr>
        <w:t>预算安排的项目均按计划完成。</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宋体" w:hAnsi="宋体" w:cs="仿宋_GB2312"/>
          <w:sz w:val="32"/>
          <w:szCs w:val="32"/>
          <w:lang w:val="en-US" w:eastAsia="zh-CN" w:bidi="ar"/>
        </w:rPr>
      </w:pPr>
      <w:r>
        <w:rPr>
          <w:rFonts w:hint="eastAsia" w:cs="仿宋_GB2312"/>
          <w:b/>
          <w:bCs/>
          <w:szCs w:val="32"/>
        </w:rPr>
        <w:t>3</w:t>
      </w:r>
      <w:r>
        <w:rPr>
          <w:rFonts w:hint="eastAsia" w:ascii="仿宋_GB2312" w:hAnsi="仿宋_GB2312" w:cs="仿宋_GB2312"/>
          <w:b/>
          <w:bCs/>
          <w:szCs w:val="32"/>
        </w:rPr>
        <w:t>.</w:t>
      </w:r>
      <w:r>
        <w:rPr>
          <w:rFonts w:hint="eastAsia" w:ascii="仿宋_GB2312" w:hAnsi="仿宋_GB2312" w:cs="仿宋_GB2312"/>
          <w:b/>
          <w:bCs/>
          <w:szCs w:val="32"/>
          <w:lang w:eastAsia="zh-CN"/>
        </w:rPr>
        <w:t>信息公开</w:t>
      </w:r>
      <w:r>
        <w:rPr>
          <w:rFonts w:hint="eastAsia" w:ascii="仿宋_GB2312" w:hAnsi="仿宋_GB2312" w:cs="仿宋_GB2312"/>
          <w:b/>
          <w:bCs/>
          <w:szCs w:val="32"/>
        </w:rPr>
        <w:t>。</w:t>
      </w:r>
      <w:bookmarkEnd w:id="26"/>
      <w:bookmarkStart w:id="27" w:name="_Toc3788"/>
      <w:r>
        <w:rPr>
          <w:rFonts w:hint="eastAsia" w:ascii="宋体" w:hAnsi="宋体" w:cs="仿宋_GB2312"/>
          <w:sz w:val="32"/>
          <w:szCs w:val="32"/>
          <w:lang w:val="en-US" w:eastAsia="zh-CN" w:bidi="ar"/>
        </w:rPr>
        <w:t>本单位已按规定内容、在规定时限和范围内公开部门预算，由市机关事务管理局统一进行公开决算。</w:t>
      </w:r>
    </w:p>
    <w:p>
      <w:pPr>
        <w:ind w:firstLine="616" w:firstLineChars="200"/>
        <w:rPr>
          <w:rFonts w:hint="eastAsia" w:ascii="宋体" w:hAnsi="宋体" w:cs="仿宋_GB2312"/>
          <w:sz w:val="32"/>
          <w:szCs w:val="32"/>
          <w:lang w:bidi="ar"/>
        </w:rPr>
      </w:pPr>
      <w:r>
        <w:rPr>
          <w:rFonts w:hint="eastAsia" w:cs="仿宋_GB2312"/>
          <w:b/>
          <w:bCs/>
          <w:szCs w:val="32"/>
        </w:rPr>
        <w:t>4</w:t>
      </w:r>
      <w:r>
        <w:rPr>
          <w:rFonts w:hint="eastAsia" w:ascii="仿宋_GB2312" w:hAnsi="仿宋_GB2312" w:cs="仿宋_GB2312"/>
          <w:b/>
          <w:bCs/>
          <w:szCs w:val="32"/>
        </w:rPr>
        <w:t>.</w:t>
      </w:r>
      <w:r>
        <w:rPr>
          <w:rFonts w:hint="eastAsia" w:ascii="仿宋_GB2312" w:hAnsi="仿宋_GB2312" w:cs="仿宋_GB2312"/>
          <w:b/>
          <w:bCs/>
          <w:szCs w:val="32"/>
          <w:lang w:eastAsia="zh-CN"/>
        </w:rPr>
        <w:t>绩效</w:t>
      </w:r>
      <w:r>
        <w:rPr>
          <w:rFonts w:hint="eastAsia" w:ascii="仿宋_GB2312" w:hAnsi="仿宋_GB2312" w:cs="仿宋_GB2312"/>
          <w:b/>
          <w:bCs/>
          <w:szCs w:val="32"/>
        </w:rPr>
        <w:t>管理。</w:t>
      </w:r>
      <w:bookmarkEnd w:id="27"/>
      <w:r>
        <w:rPr>
          <w:rFonts w:hint="eastAsia" w:ascii="宋体" w:hAnsi="宋体"/>
          <w:sz w:val="32"/>
          <w:lang w:val="en-US" w:eastAsia="zh-CN"/>
        </w:rPr>
        <w:t>本单位2023年整体绩效目标与2023年度工作任务相符，分解成了具体工作任务并形成相应的绩效指标。整体绩效目标与本年度部门预算资金相配，覆盖全面，内容完整准确。绩效目标设有明确的指示名称、指标预期值，指标值与指示名称相匹配，反映了绩效目标，取值有依据、不存在明显偏高或偏低的情形，指标值测算能提供相关依据和符合客观实际情况。</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宋体" w:hAnsi="宋体" w:eastAsia="仿宋_GB2312" w:cs="Times New Roman"/>
          <w:kern w:val="2"/>
          <w:sz w:val="32"/>
          <w:szCs w:val="24"/>
          <w:lang w:val="en-US" w:eastAsia="zh-CN" w:bidi="ar-SA"/>
        </w:rPr>
      </w:pPr>
      <w:r>
        <w:rPr>
          <w:rFonts w:hint="default" w:ascii="Times New Roman" w:hAnsi="Times New Roman" w:cs="Times New Roman"/>
          <w:b/>
          <w:bCs/>
          <w:szCs w:val="32"/>
          <w:lang w:val="en-US" w:eastAsia="zh-CN"/>
        </w:rPr>
        <w:t>5.采购管理。</w:t>
      </w:r>
      <w:r>
        <w:rPr>
          <w:rFonts w:hint="eastAsia" w:ascii="宋体" w:hAnsi="宋体" w:cs="仿宋_GB2312"/>
          <w:sz w:val="32"/>
          <w:szCs w:val="32"/>
          <w:lang w:val="en-US" w:eastAsia="zh-CN" w:bidi="ar"/>
        </w:rPr>
        <w:t>本单位</w:t>
      </w:r>
      <w:r>
        <w:rPr>
          <w:rFonts w:hint="eastAsia" w:ascii="宋体" w:hAnsi="宋体" w:eastAsia="仿宋_GB2312" w:cs="Times New Roman"/>
          <w:kern w:val="2"/>
          <w:sz w:val="32"/>
          <w:szCs w:val="24"/>
          <w:lang w:val="en-US" w:eastAsia="zh-CN" w:bidi="ar-SA"/>
        </w:rPr>
        <w:t>严格按政府采购要求，</w:t>
      </w:r>
      <w:r>
        <w:rPr>
          <w:rFonts w:hint="eastAsia" w:ascii="宋体" w:hAnsi="宋体" w:cs="Times New Roman"/>
          <w:kern w:val="2"/>
          <w:sz w:val="32"/>
          <w:szCs w:val="24"/>
          <w:lang w:val="en-US" w:eastAsia="zh-CN" w:bidi="ar-SA"/>
        </w:rPr>
        <w:t>制定政府采购制度，</w:t>
      </w:r>
      <w:r>
        <w:rPr>
          <w:rFonts w:hint="eastAsia" w:ascii="宋体" w:hAnsi="宋体" w:eastAsia="仿宋_GB2312" w:cs="Times New Roman"/>
          <w:kern w:val="2"/>
          <w:sz w:val="32"/>
          <w:szCs w:val="24"/>
          <w:lang w:val="en-US" w:eastAsia="zh-CN" w:bidi="ar-SA"/>
        </w:rPr>
        <w:t>对有关物品项目在政府采购网上进行采购。</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r>
        <w:rPr>
          <w:rFonts w:hint="default" w:ascii="Times New Roman" w:hAnsi="Times New Roman" w:cs="Times New Roman"/>
          <w:b/>
          <w:bCs/>
          <w:szCs w:val="32"/>
          <w:lang w:val="en-US" w:eastAsia="zh-CN"/>
        </w:rPr>
        <w:t>6.资产管理。</w:t>
      </w:r>
      <w:r>
        <w:rPr>
          <w:rFonts w:hint="eastAsia" w:ascii="宋体" w:hAnsi="宋体" w:cs="仿宋_GB2312"/>
          <w:sz w:val="32"/>
          <w:szCs w:val="32"/>
          <w:lang w:val="en-US" w:eastAsia="zh-CN" w:bidi="ar"/>
        </w:rPr>
        <w:t>本单位</w:t>
      </w:r>
      <w:r>
        <w:rPr>
          <w:rFonts w:hint="eastAsia" w:ascii="仿宋_GB2312" w:hAnsi="仿宋_GB2312" w:cs="仿宋_GB2312"/>
          <w:szCs w:val="32"/>
          <w:lang w:bidi="ar"/>
        </w:rPr>
        <w:t>认真落实执行资产管理有关要求，合理配置、使用和管理本单位资产，办公室负责对全</w:t>
      </w:r>
      <w:r>
        <w:rPr>
          <w:rFonts w:hint="eastAsia" w:ascii="仿宋_GB2312" w:hAnsi="仿宋_GB2312" w:cs="仿宋_GB2312"/>
          <w:szCs w:val="32"/>
          <w:lang w:eastAsia="zh-CN" w:bidi="ar"/>
        </w:rPr>
        <w:t>单位</w:t>
      </w:r>
      <w:r>
        <w:rPr>
          <w:rFonts w:hint="eastAsia" w:ascii="仿宋_GB2312" w:hAnsi="仿宋_GB2312" w:cs="仿宋_GB2312"/>
          <w:szCs w:val="32"/>
          <w:lang w:bidi="ar"/>
        </w:rPr>
        <w:t>资产管理进行指导和监督，对纳入政府采购范围的资产进行统一购置，并按规定对所管资产进行管理。</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r>
        <w:rPr>
          <w:rFonts w:hint="default" w:ascii="Times New Roman" w:hAnsi="Times New Roman" w:cs="Times New Roman"/>
          <w:b/>
          <w:bCs/>
          <w:szCs w:val="32"/>
          <w:lang w:val="en-US" w:eastAsia="zh-CN"/>
        </w:rPr>
        <w:t>7.运行成本。</w:t>
      </w:r>
      <w:r>
        <w:rPr>
          <w:rFonts w:hint="eastAsia" w:ascii="仿宋_GB2312" w:hAnsi="仿宋_GB2312" w:cs="仿宋_GB2312"/>
          <w:szCs w:val="32"/>
          <w:lang w:val="en-US" w:eastAsia="zh-CN" w:bidi="ar"/>
        </w:rPr>
        <w:t>2023</w:t>
      </w:r>
      <w:r>
        <w:rPr>
          <w:rFonts w:hint="eastAsia" w:ascii="仿宋_GB2312" w:hAnsi="仿宋_GB2312" w:eastAsia="仿宋_GB2312" w:cs="仿宋_GB2312"/>
          <w:szCs w:val="32"/>
          <w:lang w:val="en-US" w:eastAsia="zh-CN" w:bidi="ar"/>
        </w:rPr>
        <w:t>年度均能严格按照财务管理有关规定规范</w:t>
      </w:r>
      <w:r>
        <w:rPr>
          <w:rFonts w:hint="eastAsia" w:ascii="仿宋_GB2312" w:hAnsi="仿宋_GB2312" w:cs="仿宋_GB2312"/>
          <w:szCs w:val="32"/>
          <w:lang w:val="en-US" w:eastAsia="zh-CN" w:bidi="ar"/>
        </w:rPr>
        <w:t>“</w:t>
      </w:r>
      <w:r>
        <w:rPr>
          <w:rFonts w:hint="eastAsia" w:ascii="仿宋_GB2312" w:hAnsi="仿宋_GB2312" w:eastAsia="仿宋_GB2312" w:cs="仿宋_GB2312"/>
          <w:szCs w:val="32"/>
          <w:lang w:val="en-US" w:eastAsia="zh-CN" w:bidi="ar"/>
        </w:rPr>
        <w:t>三公”经费及公用经费的支出，厉行节约的要求，从严控制“三公”经费以及公用经费开支。</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方正小标宋简体" w:eastAsia="方正小标宋简体"/>
        </w:rPr>
      </w:pPr>
      <w:bookmarkStart w:id="28" w:name="_Toc18975"/>
      <w:r>
        <w:rPr>
          <w:rFonts w:hint="eastAsia" w:ascii="方正小标宋简体" w:eastAsia="方正小标宋简体"/>
        </w:rPr>
        <w:t>四、存在的问题、原因分析及改进措施</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hint="eastAsia" w:ascii="宋体" w:hAnsi="宋体" w:eastAsia="方正仿宋简体" w:cs="宋体"/>
          <w:color w:val="000000"/>
          <w:sz w:val="34"/>
          <w:szCs w:val="34"/>
          <w:u w:val="none" w:color="auto"/>
          <w:lang w:val="en-US" w:eastAsia="zh-CN"/>
        </w:rPr>
      </w:pPr>
      <w:r>
        <w:rPr>
          <w:rFonts w:hint="eastAsia" w:ascii="仿宋_GB2312" w:hAnsi="仿宋_GB2312" w:cs="仿宋_GB2312"/>
          <w:szCs w:val="32"/>
          <w:lang w:val="en-US" w:eastAsia="zh-CN" w:bidi="ar"/>
        </w:rPr>
        <w:t>本单位部门预算编制、分配符合本部门职责、符合市委市政府方针政策和工作要求；</w:t>
      </w:r>
      <w:r>
        <w:rPr>
          <w:rFonts w:hint="eastAsia" w:ascii="仿宋_GB2312" w:hAnsi="仿宋_GB2312" w:eastAsia="仿宋_GB2312" w:cs="仿宋_GB2312"/>
          <w:sz w:val="32"/>
          <w:szCs w:val="32"/>
          <w:lang w:val="en-US" w:eastAsia="zh-CN" w:bidi="ar"/>
        </w:rPr>
        <w:t>部门预算资金能根据年度工作重点，在不同项目、不同用途之间合理分配，暂不存在问题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下一步，将进一步强化财务监督管理，</w:t>
      </w:r>
      <w:r>
        <w:rPr>
          <w:rFonts w:hint="eastAsia" w:ascii="仿宋_GB2312" w:hAnsi="仿宋_GB2312" w:eastAsia="仿宋_GB2312" w:cs="仿宋_GB2312"/>
          <w:color w:val="000000"/>
          <w:sz w:val="32"/>
          <w:szCs w:val="32"/>
          <w:u w:val="none" w:color="auto"/>
          <w:lang w:val="en-US" w:eastAsia="zh-CN"/>
        </w:rPr>
        <w:t>业务管理监督工作力进一步加强，</w:t>
      </w:r>
      <w:r>
        <w:rPr>
          <w:rFonts w:hint="eastAsia" w:ascii="仿宋_GB2312" w:hAnsi="仿宋_GB2312" w:eastAsia="仿宋_GB2312" w:cs="仿宋_GB2312"/>
          <w:sz w:val="32"/>
          <w:szCs w:val="32"/>
        </w:rPr>
        <w:t>着力整合全市社科资源，推动理论创新、学术繁荣，推动阳江哲学社会科学工作更上一层楼。</w:t>
      </w:r>
    </w:p>
    <w:bookmarkEnd w:id="28"/>
    <w:p/>
    <w:sectPr>
      <w:headerReference r:id="rId3" w:type="default"/>
      <w:footerReference r:id="rId4" w:type="default"/>
      <w:pgSz w:w="11906" w:h="16838"/>
      <w:pgMar w:top="1701" w:right="1588" w:bottom="1644" w:left="1701" w:header="851" w:footer="992" w:gutter="0"/>
      <w:cols w:space="425" w:num="1"/>
      <w:docGrid w:type="linesAndChars" w:linePitch="562"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ZDg4YzEyYWEzNmZlMmQxZDQ5NGUyYzIzMTFjNDIifQ=="/>
  </w:docVars>
  <w:rsids>
    <w:rsidRoot w:val="00DA04CD"/>
    <w:rsid w:val="00000560"/>
    <w:rsid w:val="00007A67"/>
    <w:rsid w:val="00022542"/>
    <w:rsid w:val="000258AA"/>
    <w:rsid w:val="000D1E99"/>
    <w:rsid w:val="0012286D"/>
    <w:rsid w:val="00132593"/>
    <w:rsid w:val="00145B76"/>
    <w:rsid w:val="00170E39"/>
    <w:rsid w:val="001834A3"/>
    <w:rsid w:val="00195019"/>
    <w:rsid w:val="001B111B"/>
    <w:rsid w:val="001B4856"/>
    <w:rsid w:val="001D33F5"/>
    <w:rsid w:val="001E1FDF"/>
    <w:rsid w:val="001F07DA"/>
    <w:rsid w:val="001F096B"/>
    <w:rsid w:val="0023428B"/>
    <w:rsid w:val="00235EDE"/>
    <w:rsid w:val="00267E35"/>
    <w:rsid w:val="002A7F8F"/>
    <w:rsid w:val="002C4D92"/>
    <w:rsid w:val="002D7EDF"/>
    <w:rsid w:val="002E516E"/>
    <w:rsid w:val="002E5CB6"/>
    <w:rsid w:val="002F1311"/>
    <w:rsid w:val="00314DC0"/>
    <w:rsid w:val="00331AA1"/>
    <w:rsid w:val="00347820"/>
    <w:rsid w:val="00347914"/>
    <w:rsid w:val="00395359"/>
    <w:rsid w:val="003B7E05"/>
    <w:rsid w:val="003D4D40"/>
    <w:rsid w:val="004078CE"/>
    <w:rsid w:val="00410146"/>
    <w:rsid w:val="00413B2F"/>
    <w:rsid w:val="00421D22"/>
    <w:rsid w:val="0043014F"/>
    <w:rsid w:val="004531CF"/>
    <w:rsid w:val="004749F5"/>
    <w:rsid w:val="00486009"/>
    <w:rsid w:val="004B2E77"/>
    <w:rsid w:val="004D35D6"/>
    <w:rsid w:val="004D736E"/>
    <w:rsid w:val="00510F6B"/>
    <w:rsid w:val="00537F7E"/>
    <w:rsid w:val="00566EB1"/>
    <w:rsid w:val="00572A0D"/>
    <w:rsid w:val="00574D73"/>
    <w:rsid w:val="005B06B5"/>
    <w:rsid w:val="005B07DD"/>
    <w:rsid w:val="005B6EB7"/>
    <w:rsid w:val="005C28C3"/>
    <w:rsid w:val="005D4C3F"/>
    <w:rsid w:val="005E6FE2"/>
    <w:rsid w:val="00606F30"/>
    <w:rsid w:val="00620700"/>
    <w:rsid w:val="0062264E"/>
    <w:rsid w:val="006265B7"/>
    <w:rsid w:val="006317C3"/>
    <w:rsid w:val="00665117"/>
    <w:rsid w:val="00675A9A"/>
    <w:rsid w:val="006B0F8D"/>
    <w:rsid w:val="006D4795"/>
    <w:rsid w:val="00736CB1"/>
    <w:rsid w:val="0074594E"/>
    <w:rsid w:val="0075049C"/>
    <w:rsid w:val="00754811"/>
    <w:rsid w:val="007705F1"/>
    <w:rsid w:val="00781B6C"/>
    <w:rsid w:val="0078264B"/>
    <w:rsid w:val="007A1F56"/>
    <w:rsid w:val="007A7399"/>
    <w:rsid w:val="00804DCB"/>
    <w:rsid w:val="00816A2A"/>
    <w:rsid w:val="008428B2"/>
    <w:rsid w:val="0084340E"/>
    <w:rsid w:val="0086235A"/>
    <w:rsid w:val="00876A57"/>
    <w:rsid w:val="00880F2C"/>
    <w:rsid w:val="008B525A"/>
    <w:rsid w:val="008C30AE"/>
    <w:rsid w:val="008E75C3"/>
    <w:rsid w:val="0090022C"/>
    <w:rsid w:val="00982492"/>
    <w:rsid w:val="009D75F0"/>
    <w:rsid w:val="00A66BD5"/>
    <w:rsid w:val="00A813BE"/>
    <w:rsid w:val="00A8644D"/>
    <w:rsid w:val="00A91495"/>
    <w:rsid w:val="00AC5B70"/>
    <w:rsid w:val="00AF7207"/>
    <w:rsid w:val="00B05F42"/>
    <w:rsid w:val="00B12D08"/>
    <w:rsid w:val="00B32B1B"/>
    <w:rsid w:val="00B55F8F"/>
    <w:rsid w:val="00B857D8"/>
    <w:rsid w:val="00B953DC"/>
    <w:rsid w:val="00BA5204"/>
    <w:rsid w:val="00BF3EFE"/>
    <w:rsid w:val="00BF4502"/>
    <w:rsid w:val="00C005AF"/>
    <w:rsid w:val="00C10A76"/>
    <w:rsid w:val="00C112EA"/>
    <w:rsid w:val="00C13943"/>
    <w:rsid w:val="00C65605"/>
    <w:rsid w:val="00C8769E"/>
    <w:rsid w:val="00CD5F4B"/>
    <w:rsid w:val="00D24C0F"/>
    <w:rsid w:val="00D41CC7"/>
    <w:rsid w:val="00D45282"/>
    <w:rsid w:val="00D67E60"/>
    <w:rsid w:val="00D73EB4"/>
    <w:rsid w:val="00D74AD4"/>
    <w:rsid w:val="00D82FAA"/>
    <w:rsid w:val="00DA04CD"/>
    <w:rsid w:val="00DA43A7"/>
    <w:rsid w:val="00DA5CEB"/>
    <w:rsid w:val="00DC37C4"/>
    <w:rsid w:val="00DC4199"/>
    <w:rsid w:val="00DD51B5"/>
    <w:rsid w:val="00DE17BB"/>
    <w:rsid w:val="00DF7A41"/>
    <w:rsid w:val="00E03302"/>
    <w:rsid w:val="00E21FA4"/>
    <w:rsid w:val="00E23CAC"/>
    <w:rsid w:val="00E3272E"/>
    <w:rsid w:val="00E71A39"/>
    <w:rsid w:val="00E82D5B"/>
    <w:rsid w:val="00EA4E69"/>
    <w:rsid w:val="00EC4520"/>
    <w:rsid w:val="00ED3E32"/>
    <w:rsid w:val="00ED5CA9"/>
    <w:rsid w:val="00EF1D42"/>
    <w:rsid w:val="00F04107"/>
    <w:rsid w:val="00F14CD1"/>
    <w:rsid w:val="00F43167"/>
    <w:rsid w:val="00F43EA4"/>
    <w:rsid w:val="00F57915"/>
    <w:rsid w:val="00FF40BF"/>
    <w:rsid w:val="01125C56"/>
    <w:rsid w:val="03A662AF"/>
    <w:rsid w:val="0CAD24F6"/>
    <w:rsid w:val="0F933AE0"/>
    <w:rsid w:val="10A67D57"/>
    <w:rsid w:val="1BBD409D"/>
    <w:rsid w:val="1DF83068"/>
    <w:rsid w:val="238E494F"/>
    <w:rsid w:val="244F4FEC"/>
    <w:rsid w:val="279F4671"/>
    <w:rsid w:val="2BC055EE"/>
    <w:rsid w:val="2CA36A90"/>
    <w:rsid w:val="2F3945C8"/>
    <w:rsid w:val="31BD2380"/>
    <w:rsid w:val="36C05943"/>
    <w:rsid w:val="39FA6443"/>
    <w:rsid w:val="3B3F1DAA"/>
    <w:rsid w:val="3DFC546C"/>
    <w:rsid w:val="40694DC0"/>
    <w:rsid w:val="40E203D3"/>
    <w:rsid w:val="414478E0"/>
    <w:rsid w:val="4597570B"/>
    <w:rsid w:val="46FA5F9B"/>
    <w:rsid w:val="483E2094"/>
    <w:rsid w:val="4B4A046A"/>
    <w:rsid w:val="50DF1954"/>
    <w:rsid w:val="5163582E"/>
    <w:rsid w:val="54576514"/>
    <w:rsid w:val="578D647B"/>
    <w:rsid w:val="58AA1B0C"/>
    <w:rsid w:val="59A42175"/>
    <w:rsid w:val="619F5BD5"/>
    <w:rsid w:val="64437109"/>
    <w:rsid w:val="657704D8"/>
    <w:rsid w:val="6C5924C2"/>
    <w:rsid w:val="6E0C7681"/>
    <w:rsid w:val="6E796721"/>
    <w:rsid w:val="700C488E"/>
    <w:rsid w:val="717107DF"/>
    <w:rsid w:val="74425807"/>
    <w:rsid w:val="76BE1C0E"/>
    <w:rsid w:val="78621EF3"/>
    <w:rsid w:val="7DAF7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ascii="Times New Roman" w:hAnsi="Times New Roman"/>
      <w:lang w:val="zh-CN"/>
    </w:rPr>
  </w:style>
  <w:style w:type="paragraph" w:styleId="3">
    <w:name w:val="Body Text Indent"/>
    <w:basedOn w:val="1"/>
    <w:unhideWhenUsed/>
    <w:qFormat/>
    <w:uiPriority w:val="99"/>
    <w:pPr>
      <w:spacing w:after="120"/>
      <w:ind w:left="420" w:leftChars="200"/>
    </w:pPr>
  </w:style>
  <w:style w:type="paragraph" w:styleId="4">
    <w:name w:val="Normal Indent"/>
    <w:basedOn w:val="1"/>
    <w:qFormat/>
    <w:uiPriority w:val="0"/>
    <w:pPr>
      <w:ind w:firstLine="420" w:firstLineChars="200"/>
    </w:pPr>
  </w:style>
  <w:style w:type="paragraph" w:styleId="5">
    <w:name w:val="Balloon Text"/>
    <w:basedOn w:val="1"/>
    <w:semiHidden/>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leftChars="200"/>
    </w:pPr>
  </w:style>
  <w:style w:type="paragraph" w:customStyle="1" w:styleId="11">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2">
    <w:name w:val="正文首行缩进 21"/>
    <w:basedOn w:val="1"/>
    <w:autoRedefine/>
    <w:qFormat/>
    <w:uiPriority w:val="0"/>
    <w:pPr>
      <w:spacing w:line="360" w:lineRule="auto"/>
      <w:ind w:firstLine="420" w:firstLineChars="200"/>
      <w:textAlignment w:val="baseline"/>
    </w:pPr>
    <w:rPr>
      <w:rFonts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5612</Words>
  <Characters>5766</Characters>
  <Lines>21</Lines>
  <Paragraphs>10</Paragraphs>
  <TotalTime>4</TotalTime>
  <ScaleCrop>false</ScaleCrop>
  <LinksUpToDate>false</LinksUpToDate>
  <CharactersWithSpaces>5819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2020-07-14T08:14:00Z</dcterms:created>
  <dc:creator>shx</dc:creator>
  <cp:lastModifiedBy>Administrator</cp:lastModifiedBy>
  <cp:lastPrinted>2024-05-15T02:28:00Z</cp:lastPrinted>
  <dcterms:modified xsi:type="dcterms:W3CDTF">2024-06-21T01:44:03Z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5AA8361A4CDB4BE99A6552A92B48E346_13</vt:lpwstr>
  </property>
</Properties>
</file>