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0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8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81" w:type="dxa"/>
          </w:tcPr>
          <w:p>
            <w:pPr>
              <w:jc w:val="distribute"/>
              <w:rPr>
                <w:rFonts w:hint="eastAsia" w:ascii="方正小标宋简体" w:hAnsi="方正小标宋简体" w:eastAsia="方正小标宋简体" w:cs="方正小标宋简体"/>
                <w:b/>
                <w:bCs/>
                <w:color w:val="C00000"/>
                <w:sz w:val="72"/>
                <w:szCs w:val="72"/>
                <w:vertAlign w:val="baseline"/>
                <w:lang w:val="en-US" w:eastAsia="zh-CN"/>
              </w:rPr>
            </w:pPr>
            <w:r>
              <w:rPr>
                <w:rFonts w:hint="eastAsia" w:ascii="方正小标宋简体" w:hAnsi="方正小标宋简体" w:eastAsia="方正小标宋简体" w:cs="方正小标宋简体"/>
                <w:b/>
                <w:bCs/>
                <w:color w:val="C00000"/>
                <w:sz w:val="56"/>
                <w:szCs w:val="56"/>
                <w:vertAlign w:val="baseline"/>
                <w:lang w:val="en-US" w:eastAsia="zh-CN"/>
              </w:rPr>
              <w:t>阳江市医疗保障局</w:t>
            </w:r>
          </w:p>
        </w:tc>
        <w:tc>
          <w:tcPr>
            <w:tcW w:w="1920" w:type="dxa"/>
            <w:vMerge w:val="restart"/>
            <w:vAlign w:val="center"/>
          </w:tcPr>
          <w:p>
            <w:pPr>
              <w:jc w:val="center"/>
              <w:rPr>
                <w:rFonts w:hint="eastAsia" w:ascii="方正小标宋简体" w:hAnsi="方正小标宋简体" w:eastAsia="方正小标宋简体" w:cs="方正小标宋简体"/>
                <w:color w:val="C00000"/>
                <w:sz w:val="84"/>
                <w:szCs w:val="84"/>
                <w:vertAlign w:val="baseline"/>
                <w:lang w:val="en-US" w:eastAsia="zh-CN"/>
              </w:rPr>
            </w:pPr>
            <w:r>
              <w:rPr>
                <w:rFonts w:hint="eastAsia" w:ascii="方正小标宋简体" w:hAnsi="方正小标宋简体" w:eastAsia="方正小标宋简体" w:cs="方正小标宋简体"/>
                <w:b/>
                <w:bCs/>
                <w:color w:val="C00000"/>
                <w:sz w:val="84"/>
                <w:szCs w:val="84"/>
                <w:vertAlign w:val="baseline"/>
                <w:lang w:val="en-US"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81" w:type="dxa"/>
          </w:tcPr>
          <w:p>
            <w:pPr>
              <w:jc w:val="distribute"/>
              <w:rPr>
                <w:rFonts w:hint="eastAsia" w:ascii="方正小标宋简体" w:hAnsi="方正小标宋简体" w:eastAsia="方正小标宋简体" w:cs="方正小标宋简体"/>
                <w:b/>
                <w:bCs/>
                <w:color w:val="C00000"/>
                <w:sz w:val="72"/>
                <w:szCs w:val="72"/>
                <w:vertAlign w:val="baseline"/>
                <w:lang w:val="en-US" w:eastAsia="zh-CN"/>
              </w:rPr>
            </w:pPr>
            <w:r>
              <w:rPr>
                <w:rFonts w:hint="eastAsia" w:ascii="方正小标宋简体" w:hAnsi="方正小标宋简体" w:eastAsia="方正小标宋简体" w:cs="方正小标宋简体"/>
                <w:b/>
                <w:bCs/>
                <w:color w:val="C00000"/>
                <w:sz w:val="56"/>
                <w:szCs w:val="56"/>
                <w:lang w:val="en-US" w:eastAsia="zh-CN"/>
              </w:rPr>
              <w:t>阳江市财政局</w:t>
            </w:r>
          </w:p>
        </w:tc>
        <w:tc>
          <w:tcPr>
            <w:tcW w:w="1920" w:type="dxa"/>
            <w:vMerge w:val="continue"/>
          </w:tcPr>
          <w:p>
            <w:pPr>
              <w:jc w:val="left"/>
              <w:rPr>
                <w:rFonts w:hint="eastAsia" w:ascii="方正小标宋简体" w:hAnsi="方正小标宋简体" w:eastAsia="方正小标宋简体" w:cs="方正小标宋简体"/>
                <w:color w:val="C00000"/>
                <w:sz w:val="36"/>
                <w:szCs w:val="36"/>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81" w:type="dxa"/>
          </w:tcPr>
          <w:p>
            <w:pPr>
              <w:jc w:val="distribute"/>
              <w:rPr>
                <w:rFonts w:hint="eastAsia" w:ascii="方正小标宋简体" w:hAnsi="方正小标宋简体" w:eastAsia="方正小标宋简体" w:cs="方正小标宋简体"/>
                <w:b/>
                <w:bCs/>
                <w:color w:val="C00000"/>
                <w:sz w:val="72"/>
                <w:szCs w:val="72"/>
                <w:lang w:val="en-US" w:eastAsia="zh-CN"/>
              </w:rPr>
            </w:pPr>
            <w:r>
              <w:rPr>
                <w:rFonts w:hint="eastAsia" w:ascii="方正小标宋简体" w:hAnsi="方正小标宋简体" w:eastAsia="方正小标宋简体" w:cs="方正小标宋简体"/>
                <w:b/>
                <w:bCs/>
                <w:color w:val="C00000"/>
                <w:sz w:val="56"/>
                <w:szCs w:val="56"/>
                <w:lang w:val="en-US" w:eastAsia="zh-CN"/>
              </w:rPr>
              <w:t>国家税务总局阳江市税务局</w:t>
            </w:r>
          </w:p>
        </w:tc>
        <w:tc>
          <w:tcPr>
            <w:tcW w:w="1920" w:type="dxa"/>
            <w:vMerge w:val="continue"/>
          </w:tcPr>
          <w:p>
            <w:pPr>
              <w:jc w:val="left"/>
              <w:rPr>
                <w:rFonts w:hint="eastAsia" w:ascii="方正小标宋简体" w:hAnsi="方正小标宋简体" w:eastAsia="方正小标宋简体" w:cs="方正小标宋简体"/>
                <w:color w:val="C00000"/>
                <w:sz w:val="36"/>
                <w:szCs w:val="3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color w:val="C00000"/>
          <w:sz w:val="36"/>
          <w:szCs w:val="36"/>
          <w:u w:val="thick"/>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color w:val="C00000"/>
          <w:sz w:val="36"/>
          <w:szCs w:val="36"/>
          <w:u w:val="thick"/>
          <w:lang w:val="en-US" w:eastAsia="zh-CN"/>
        </w:rPr>
      </w:pPr>
      <w:r>
        <w:rPr>
          <w:rFonts w:hint="eastAsia" w:ascii="仿宋" w:hAnsi="仿宋" w:eastAsia="仿宋" w:cs="仿宋"/>
          <w:b w:val="0"/>
          <w:bCs w:val="0"/>
          <w:sz w:val="32"/>
          <w:szCs w:val="32"/>
        </w:rPr>
        <w:t>阳医保</w:t>
      </w:r>
      <w:r>
        <w:rPr>
          <w:rFonts w:hint="eastAsia" w:ascii="仿宋" w:hAnsi="仿宋" w:eastAsia="仿宋" w:cs="仿宋"/>
          <w:b w:val="0"/>
          <w:bCs w:val="0"/>
          <w:sz w:val="32"/>
          <w:szCs w:val="32"/>
          <w:lang w:val="en-US" w:eastAsia="zh-CN"/>
        </w:rPr>
        <w:t>通</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color w:val="C00000"/>
          <w:sz w:val="36"/>
          <w:szCs w:val="36"/>
          <w:u w:val="thick"/>
          <w:lang w:val="en-US" w:eastAsia="zh-CN"/>
        </w:rPr>
      </w:pPr>
      <w:r>
        <w:rPr>
          <w:rFonts w:hint="eastAsia" w:ascii="黑体" w:hAnsi="黑体" w:eastAsia="黑体" w:cs="黑体"/>
          <w:color w:val="C00000"/>
          <w:sz w:val="36"/>
          <w:szCs w:val="36"/>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阳江市医疗保障局 阳江市财政局 国家税务总局</w:t>
      </w:r>
    </w:p>
    <w:p>
      <w:pPr>
        <w:keepNext w:val="0"/>
        <w:keepLines w:val="0"/>
        <w:pageBreakBefore w:val="0"/>
        <w:widowControl w:val="0"/>
        <w:kinsoku/>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阳江市税务局</w:t>
      </w:r>
      <w:r>
        <w:rPr>
          <w:rFonts w:hint="eastAsia" w:ascii="方正小标宋简体" w:hAnsi="方正小标宋简体" w:eastAsia="方正小标宋简体" w:cs="方正小标宋简体"/>
          <w:b w:val="0"/>
          <w:bCs/>
          <w:sz w:val="44"/>
          <w:szCs w:val="44"/>
        </w:rPr>
        <w:t>关于阶段性降低职工基本</w:t>
      </w:r>
    </w:p>
    <w:p>
      <w:pPr>
        <w:keepNext w:val="0"/>
        <w:keepLines w:val="0"/>
        <w:pageBreakBefore w:val="0"/>
        <w:widowControl w:val="0"/>
        <w:kinsoku/>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医疗保险缴费费率的通知</w:t>
      </w:r>
    </w:p>
    <w:p>
      <w:pPr>
        <w:keepNext w:val="0"/>
        <w:keepLines w:val="0"/>
        <w:pageBreakBefore w:val="0"/>
        <w:widowControl w:val="0"/>
        <w:kinsoku/>
        <w:overflowPunct/>
        <w:topLinePunct w:val="0"/>
        <w:bidi w:val="0"/>
        <w:snapToGrid/>
        <w:spacing w:line="560" w:lineRule="exact"/>
        <w:textAlignment w:val="auto"/>
        <w:rPr>
          <w:rFonts w:ascii="仿宋" w:hAnsi="仿宋" w:eastAsia="仿宋"/>
          <w:sz w:val="32"/>
          <w:szCs w:val="32"/>
        </w:rPr>
      </w:pPr>
    </w:p>
    <w:p>
      <w:pPr>
        <w:keepNext w:val="0"/>
        <w:keepLines w:val="0"/>
        <w:pageBreakBefore w:val="0"/>
        <w:widowControl w:val="0"/>
        <w:kinsoku/>
        <w:overflowPunct/>
        <w:topLinePunct w:val="0"/>
        <w:bidi w:val="0"/>
        <w:snapToGrid/>
        <w:spacing w:line="560" w:lineRule="exact"/>
        <w:textAlignment w:val="auto"/>
        <w:rPr>
          <w:rFonts w:hint="eastAsia" w:ascii="仿宋" w:hAnsi="仿宋" w:eastAsia="仿宋"/>
          <w:sz w:val="32"/>
          <w:szCs w:val="32"/>
          <w:lang w:eastAsia="zh-CN"/>
        </w:rPr>
      </w:pPr>
      <w:r>
        <w:rPr>
          <w:rFonts w:hint="eastAsia" w:ascii="仿宋" w:hAnsi="仿宋" w:eastAsia="仿宋"/>
          <w:sz w:val="32"/>
          <w:szCs w:val="32"/>
        </w:rPr>
        <w:t>各县（市、区）医疗保障局、财政局</w:t>
      </w:r>
      <w:r>
        <w:rPr>
          <w:rFonts w:hint="eastAsia" w:ascii="仿宋" w:hAnsi="仿宋" w:eastAsia="仿宋"/>
          <w:sz w:val="32"/>
          <w:szCs w:val="32"/>
          <w:lang w:eastAsia="zh-CN"/>
        </w:rPr>
        <w:t>，</w:t>
      </w:r>
      <w:r>
        <w:rPr>
          <w:rFonts w:hint="eastAsia" w:ascii="仿宋" w:hAnsi="仿宋" w:eastAsia="仿宋"/>
          <w:sz w:val="32"/>
          <w:szCs w:val="32"/>
          <w:lang w:val="en-US" w:eastAsia="zh-CN"/>
        </w:rPr>
        <w:t>国家税务总局</w:t>
      </w:r>
      <w:r>
        <w:rPr>
          <w:rFonts w:hint="eastAsia" w:ascii="仿宋" w:hAnsi="仿宋" w:eastAsia="仿宋"/>
          <w:sz w:val="32"/>
          <w:szCs w:val="32"/>
        </w:rPr>
        <w:t>各县（市、区）税务局</w:t>
      </w:r>
      <w:r>
        <w:rPr>
          <w:rFonts w:hint="eastAsia" w:ascii="仿宋" w:hAnsi="仿宋" w:eastAsia="仿宋"/>
          <w:sz w:val="32"/>
          <w:szCs w:val="32"/>
          <w:lang w:eastAsia="zh-CN"/>
        </w:rPr>
        <w:t>：</w:t>
      </w:r>
    </w:p>
    <w:p>
      <w:pPr>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 w:hAnsi="仿宋" w:eastAsia="仿宋"/>
          <w:sz w:val="32"/>
          <w:szCs w:val="32"/>
        </w:rPr>
      </w:pPr>
      <w:r>
        <w:rPr>
          <w:rFonts w:hint="eastAsia" w:ascii="仿宋" w:hAnsi="仿宋" w:eastAsia="仿宋"/>
          <w:sz w:val="32"/>
          <w:szCs w:val="32"/>
        </w:rPr>
        <w:t>为贯彻落实《广东省人民政府办公厅关于印发广东省降低制造业成本推动制造业高质量发展若干措施的通知》（粤办函〔2023〕302号）精神，降低</w:t>
      </w:r>
      <w:r>
        <w:rPr>
          <w:rFonts w:hint="eastAsia" w:ascii="仿宋" w:hAnsi="仿宋" w:eastAsia="仿宋"/>
          <w:sz w:val="32"/>
          <w:szCs w:val="32"/>
          <w:lang w:val="en-US" w:eastAsia="zh-CN"/>
        </w:rPr>
        <w:t>企业</w:t>
      </w:r>
      <w:r>
        <w:rPr>
          <w:rFonts w:hint="eastAsia" w:ascii="仿宋" w:hAnsi="仿宋" w:eastAsia="仿宋"/>
          <w:sz w:val="32"/>
          <w:szCs w:val="32"/>
        </w:rPr>
        <w:t>缴纳职工基本医疗保险成本，助推</w:t>
      </w:r>
      <w:r>
        <w:rPr>
          <w:rFonts w:hint="eastAsia" w:ascii="仿宋" w:hAnsi="仿宋" w:eastAsia="仿宋"/>
          <w:sz w:val="32"/>
          <w:szCs w:val="32"/>
          <w:lang w:val="en-US" w:eastAsia="zh-CN"/>
        </w:rPr>
        <w:t>我市经济</w:t>
      </w:r>
      <w:r>
        <w:rPr>
          <w:rFonts w:hint="eastAsia" w:ascii="仿宋" w:hAnsi="仿宋" w:eastAsia="仿宋"/>
          <w:sz w:val="32"/>
          <w:szCs w:val="32"/>
        </w:rPr>
        <w:t>高质量发展，经市</w:t>
      </w:r>
      <w:r>
        <w:rPr>
          <w:rFonts w:hint="eastAsia" w:ascii="仿宋" w:hAnsi="仿宋" w:eastAsia="仿宋"/>
          <w:sz w:val="32"/>
          <w:szCs w:val="32"/>
          <w:lang w:val="en-US" w:eastAsia="zh-CN"/>
        </w:rPr>
        <w:t>人民</w:t>
      </w:r>
      <w:r>
        <w:rPr>
          <w:rFonts w:hint="eastAsia" w:ascii="仿宋" w:hAnsi="仿宋" w:eastAsia="仿宋"/>
          <w:sz w:val="32"/>
          <w:szCs w:val="32"/>
        </w:rPr>
        <w:t>政府同意，</w:t>
      </w:r>
      <w:r>
        <w:rPr>
          <w:rFonts w:hint="eastAsia" w:ascii="仿宋" w:hAnsi="仿宋" w:eastAsia="仿宋"/>
          <w:sz w:val="32"/>
          <w:szCs w:val="32"/>
          <w:lang w:val="en-US" w:eastAsia="zh-CN"/>
        </w:rPr>
        <w:t>现</w:t>
      </w:r>
      <w:r>
        <w:rPr>
          <w:rFonts w:hint="eastAsia" w:ascii="仿宋" w:hAnsi="仿宋" w:eastAsia="仿宋"/>
          <w:sz w:val="32"/>
          <w:szCs w:val="32"/>
        </w:rPr>
        <w:t>就我市阶段性降低职工基本医疗保险</w:t>
      </w:r>
      <w:r>
        <w:rPr>
          <w:rFonts w:hint="eastAsia" w:ascii="仿宋" w:hAnsi="仿宋" w:eastAsia="仿宋"/>
          <w:sz w:val="32"/>
          <w:szCs w:val="32"/>
          <w:lang w:val="en-US" w:eastAsia="zh-CN"/>
        </w:rPr>
        <w:t>缴费费率有关问题</w:t>
      </w:r>
      <w:r>
        <w:rPr>
          <w:rFonts w:hint="eastAsia" w:ascii="仿宋" w:hAnsi="仿宋" w:eastAsia="仿宋"/>
          <w:sz w:val="32"/>
          <w:szCs w:val="32"/>
        </w:rPr>
        <w:t>通知如下：</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一、阶段性降费执行时间</w:t>
      </w:r>
    </w:p>
    <w:p>
      <w:pPr>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自2024年4月1日起，至2025年12月31日止，国家、省另有相关政策安排时，按国家、省规定执行。</w:t>
      </w:r>
    </w:p>
    <w:p>
      <w:pPr>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二、阶段性降费执行标准</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阶段性降低职工基本医疗保险单位缴费率1个百分点，即单位缴纳职工基本医疗保险费率由5%下调至4%，个人缴费费率2%及生育保险费率1%不作调整。</w:t>
      </w:r>
    </w:p>
    <w:p>
      <w:pPr>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三、阶段性降费实施对象范围</w:t>
      </w:r>
    </w:p>
    <w:p>
      <w:pPr>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（一）本市行政区域内的</w:t>
      </w:r>
      <w:r>
        <w:rPr>
          <w:rFonts w:hint="default" w:ascii="仿宋" w:hAnsi="仿宋" w:eastAsia="仿宋" w:cs="仿宋"/>
          <w:sz w:val="32"/>
          <w:szCs w:val="32"/>
          <w:lang w:val="en-US" w:eastAsia="zh-CN"/>
        </w:rPr>
        <w:t>企业</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民办非企业单位、律师事务所、会计师事务所等组织</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（二）有雇工的个体工商户；</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 w:hAnsi="仿宋" w:eastAsia="仿宋"/>
          <w:sz w:val="32"/>
          <w:szCs w:val="32"/>
          <w:lang w:val="en-US" w:eastAsia="zh-CN"/>
        </w:rPr>
      </w:pPr>
      <w:r>
        <w:rPr>
          <w:rFonts w:hint="eastAsia" w:ascii="仿宋" w:hAnsi="仿宋" w:eastAsia="仿宋" w:cs="仿宋"/>
          <w:sz w:val="32"/>
          <w:szCs w:val="32"/>
          <w:lang w:val="en-US" w:eastAsia="zh-CN"/>
        </w:rPr>
        <w:t>（三）灵活就业人员，包括：无雇工的个体工商户；未在用人单位参加职工医保的非全日制从业人员；依托电子商务、网络约车、网络送餐、快递物流等新业态平台实现就业，且未与新业态平台企业建立劳动关系的新型就业形态从业人员；国家、省、市规定的其他灵活就业人员。</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四、职工基本医疗保险待遇保持不变</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在阶段性降费政策执行期间，职工应享受的基本医疗保险保障范围、待遇水平等保持不变。</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（一）各有关单位要提高政治站位，强化责任意识，加强政策宣传和指引，确保及时将阶段性降费的优惠政策落到实处。</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sz w:val="32"/>
          <w:szCs w:val="32"/>
          <w:lang w:val="en-US" w:eastAsia="zh-CN"/>
        </w:rPr>
      </w:pPr>
      <w:r>
        <w:rPr>
          <w:rFonts w:hint="eastAsia" w:ascii="仿宋" w:hAnsi="仿宋" w:eastAsia="仿宋" w:cs="仿宋"/>
          <w:sz w:val="32"/>
          <w:szCs w:val="32"/>
          <w:lang w:val="en-US" w:eastAsia="zh-CN"/>
        </w:rPr>
        <w:t>（二）全面推行“免申即享”经办模式。符合规定的用人单位和灵活就业人员无需提出申请即可享受职工基本医疗保险阶段性降费政策。</w:t>
      </w:r>
    </w:p>
    <w:p>
      <w:pPr>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sz w:val="32"/>
          <w:szCs w:val="32"/>
          <w:lang w:val="en-US" w:eastAsia="zh-CN"/>
        </w:rPr>
        <w:t>（三）各级医保、财政、税务部门要密切监测阶段性降费政策对职工医保基金的影响，保障基金的可持续运行，</w:t>
      </w:r>
      <w:r>
        <w:rPr>
          <w:rFonts w:hint="eastAsia" w:ascii="仿宋" w:hAnsi="仿宋" w:eastAsia="仿宋" w:cs="仿宋"/>
          <w:sz w:val="32"/>
          <w:szCs w:val="32"/>
          <w:lang w:val="en-US" w:eastAsia="zh-CN"/>
        </w:rPr>
        <w:t>在政策</w:t>
      </w:r>
      <w:r>
        <w:rPr>
          <w:rFonts w:hint="eastAsia" w:ascii="仿宋" w:hAnsi="仿宋" w:eastAsia="仿宋" w:cs="仿宋"/>
          <w:sz w:val="32"/>
          <w:szCs w:val="32"/>
        </w:rPr>
        <w:t>执行期间，</w:t>
      </w:r>
      <w:r>
        <w:rPr>
          <w:rFonts w:hint="eastAsia" w:ascii="仿宋" w:hAnsi="仿宋" w:eastAsia="仿宋" w:cs="仿宋"/>
          <w:sz w:val="32"/>
          <w:szCs w:val="32"/>
          <w:lang w:val="en-US" w:eastAsia="zh-CN"/>
        </w:rPr>
        <w:t>我市职工基本医疗保险基金</w:t>
      </w:r>
      <w:r>
        <w:rPr>
          <w:rFonts w:hint="eastAsia" w:ascii="仿宋" w:hAnsi="仿宋" w:eastAsia="仿宋" w:cs="仿宋"/>
          <w:sz w:val="32"/>
          <w:szCs w:val="32"/>
        </w:rPr>
        <w:t>可支付月数小于6个月时停止执行</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（四）执行中遇到的问题，请及时向市医保局、财政局、税务局反映。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ascii="仿宋" w:hAnsi="仿宋" w:eastAsia="仿宋"/>
          <w:sz w:val="32"/>
          <w:szCs w:val="32"/>
        </w:rPr>
      </w:pPr>
      <w:r>
        <w:rPr>
          <w:rFonts w:hint="eastAsia" w:ascii="仿宋" w:hAnsi="仿宋" w:eastAsia="仿宋"/>
          <w:sz w:val="32"/>
          <w:szCs w:val="32"/>
        </w:rPr>
        <w:t xml:space="preserve">阳江市医疗保障局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阳江市财政局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jc w:val="center"/>
        <w:textAlignment w:val="auto"/>
        <w:outlineLvl w:val="9"/>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国家税务总局阳江市税务局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outlineLvl w:val="9"/>
        <w:rPr>
          <w:rFonts w:ascii="仿宋" w:hAnsi="仿宋" w:eastAsia="仿宋"/>
          <w:sz w:val="32"/>
          <w:szCs w:val="32"/>
        </w:rPr>
        <w:sectPr>
          <w:footerReference r:id="rId3" w:type="default"/>
          <w:pgSz w:w="11906" w:h="16838"/>
          <w:pgMar w:top="2098" w:right="1474" w:bottom="1984" w:left="1587" w:header="851" w:footer="992" w:gutter="0"/>
          <w:pgNumType w:fmt="decimal"/>
          <w:cols w:space="425" w:num="1"/>
          <w:docGrid w:type="lines" w:linePitch="312" w:charSpace="0"/>
        </w:sectPr>
      </w:pPr>
      <w:r>
        <w:rPr>
          <w:rFonts w:ascii="仿宋" w:hAnsi="仿宋" w:eastAsia="仿宋"/>
          <w:sz w:val="32"/>
          <w:szCs w:val="32"/>
        </w:rPr>
        <w:t>202</w:t>
      </w:r>
      <w:r>
        <w:rPr>
          <w:rFonts w:hint="eastAsia" w:ascii="仿宋" w:hAnsi="仿宋" w:eastAsia="仿宋"/>
          <w:sz w:val="32"/>
          <w:szCs w:val="32"/>
          <w:lang w:val="en-US" w:eastAsia="zh-CN"/>
        </w:rPr>
        <w:t>4</w:t>
      </w:r>
      <w:r>
        <w:rPr>
          <w:rFonts w:ascii="仿宋" w:hAnsi="仿宋" w:eastAsia="仿宋"/>
          <w:sz w:val="32"/>
          <w:szCs w:val="32"/>
        </w:rPr>
        <w:t>年</w:t>
      </w:r>
      <w:r>
        <w:rPr>
          <w:rFonts w:hint="eastAsia" w:ascii="仿宋" w:hAnsi="仿宋" w:eastAsia="仿宋"/>
          <w:sz w:val="32"/>
          <w:szCs w:val="32"/>
          <w:lang w:val="en-US" w:eastAsia="zh-CN"/>
        </w:rPr>
        <w:t>3</w:t>
      </w:r>
      <w:r>
        <w:rPr>
          <w:rFonts w:ascii="仿宋" w:hAnsi="仿宋" w:eastAsia="仿宋"/>
          <w:sz w:val="32"/>
          <w:szCs w:val="32"/>
        </w:rPr>
        <w:t>月</w:t>
      </w:r>
      <w:r>
        <w:rPr>
          <w:rFonts w:hint="eastAsia" w:ascii="仿宋" w:hAnsi="仿宋" w:eastAsia="仿宋"/>
          <w:sz w:val="32"/>
          <w:szCs w:val="32"/>
          <w:lang w:val="en-US" w:eastAsia="zh-CN"/>
        </w:rPr>
        <w:t>6</w:t>
      </w:r>
      <w:r>
        <w:rPr>
          <w:rFonts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仿宋"/>
          <w:sz w:val="32"/>
          <w:szCs w:val="32"/>
          <w:lang w:val="en-US" w:eastAsia="zh-CN"/>
        </w:rPr>
      </w:pPr>
      <w:r>
        <w:rPr>
          <w:rFonts w:hint="eastAsia" w:asciiTheme="minorEastAsia" w:hAnsiTheme="minorEastAsia" w:eastAsiaTheme="minorEastAsia" w:cstheme="minorEastAsia"/>
          <w:b/>
          <w:bCs/>
          <w:sz w:val="32"/>
          <w:szCs w:val="32"/>
          <w:lang w:val="en-US" w:eastAsia="zh-CN"/>
        </w:rPr>
        <w:t>部门规范性文件统一编号：</w:t>
      </w:r>
      <w:r>
        <w:rPr>
          <w:rFonts w:hint="eastAsia" w:ascii="仿宋" w:hAnsi="仿宋" w:eastAsia="仿宋" w:cs="仿宋"/>
          <w:sz w:val="32"/>
          <w:szCs w:val="32"/>
          <w:lang w:val="en-US" w:eastAsia="zh-CN"/>
        </w:rPr>
        <w:t>阳部规〔2024〕5号</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eastAsia"/>
        </w:rPr>
      </w:pPr>
    </w:p>
    <w:p>
      <w:pPr>
        <w:pStyle w:val="2"/>
        <w:keepNext w:val="0"/>
        <w:keepLines w:val="0"/>
        <w:pageBreakBefore w:val="0"/>
        <w:widowControl w:val="0"/>
        <w:kinsoku/>
        <w:wordWrap/>
        <w:overflowPunct/>
        <w:topLinePunct w:val="0"/>
        <w:bidi w:val="0"/>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eastAsia"/>
        </w:rPr>
      </w:pPr>
    </w:p>
    <w:tbl>
      <w:tblPr>
        <w:tblStyle w:val="8"/>
        <w:tblW w:w="8856" w:type="dxa"/>
        <w:tblInd w:w="0"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56"/>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抄送：市工业和信息化局。</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56" w:type="dxa"/>
            <w:tcBorders>
              <w:bottom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阳江市医疗保障局办公室                  2024年3月6日印发</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仿宋" w:hAnsi="仿宋" w:eastAsia="仿宋"/>
          <w:sz w:val="32"/>
          <w:szCs w:val="32"/>
          <w:lang w:val="en-US" w:eastAsia="zh-CN"/>
        </w:rPr>
      </w:pPr>
      <w:r>
        <w:rPr>
          <w:rFonts w:hint="eastAsia" w:ascii="仿宋" w:hAnsi="仿宋" w:eastAsia="仿宋" w:cs="仿宋"/>
          <w:sz w:val="28"/>
          <w:szCs w:val="28"/>
          <w:lang w:val="en-US" w:eastAsia="zh-CN"/>
        </w:rPr>
        <w:t>校对：黄小芳</w:t>
      </w:r>
    </w:p>
    <w:sectPr>
      <w:footerReference r:id="rId4" w:type="default"/>
      <w:pgSz w:w="11906" w:h="16838"/>
      <w:pgMar w:top="2098" w:right="1474"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3DC65B-B33E-4EAC-BEB6-E5C25B8271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panose1 w:val="02000000000000000000"/>
    <w:charset w:val="86"/>
    <w:family w:val="script"/>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embedRegular r:id="rId2" w:fontKey="{0FED4482-4773-48F8-BC9A-272A0E480ACF}"/>
  </w:font>
  <w:font w:name="仿宋">
    <w:panose1 w:val="02010609060101010101"/>
    <w:charset w:val="86"/>
    <w:family w:val="auto"/>
    <w:pitch w:val="default"/>
    <w:sig w:usb0="800002BF" w:usb1="38CF7CFA" w:usb2="00000016" w:usb3="00000000" w:csb0="00040001" w:csb1="00000000"/>
    <w:embedRegular r:id="rId3" w:fontKey="{4417AB93-C12F-473B-A6DF-527B4C2A425E}"/>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ZjNjMjAwZmZiZGU5N2JhMjMxMTNkYTVlZDBkZDAifQ=="/>
  </w:docVars>
  <w:rsids>
    <w:rsidRoot w:val="151D5171"/>
    <w:rsid w:val="00015F18"/>
    <w:rsid w:val="000504D8"/>
    <w:rsid w:val="001A0559"/>
    <w:rsid w:val="001F23B5"/>
    <w:rsid w:val="00230DC3"/>
    <w:rsid w:val="00322F78"/>
    <w:rsid w:val="004A1E5E"/>
    <w:rsid w:val="00524279"/>
    <w:rsid w:val="005A2626"/>
    <w:rsid w:val="00617F1E"/>
    <w:rsid w:val="00697D89"/>
    <w:rsid w:val="006D2943"/>
    <w:rsid w:val="0091404C"/>
    <w:rsid w:val="00970F32"/>
    <w:rsid w:val="00A47CC1"/>
    <w:rsid w:val="00B00407"/>
    <w:rsid w:val="032E1D93"/>
    <w:rsid w:val="039B7076"/>
    <w:rsid w:val="059933D3"/>
    <w:rsid w:val="060A536C"/>
    <w:rsid w:val="065005FC"/>
    <w:rsid w:val="06F30B7B"/>
    <w:rsid w:val="071C216A"/>
    <w:rsid w:val="087B41C0"/>
    <w:rsid w:val="08961FA6"/>
    <w:rsid w:val="0ACC42A2"/>
    <w:rsid w:val="0B306489"/>
    <w:rsid w:val="0B835884"/>
    <w:rsid w:val="0BC43004"/>
    <w:rsid w:val="0BD0199A"/>
    <w:rsid w:val="0C3703FE"/>
    <w:rsid w:val="0C4D0E9F"/>
    <w:rsid w:val="0C6173C5"/>
    <w:rsid w:val="10FD68AB"/>
    <w:rsid w:val="111E021B"/>
    <w:rsid w:val="117C6EC9"/>
    <w:rsid w:val="121F339C"/>
    <w:rsid w:val="13886947"/>
    <w:rsid w:val="14B3705B"/>
    <w:rsid w:val="15174795"/>
    <w:rsid w:val="151D5171"/>
    <w:rsid w:val="153B70EC"/>
    <w:rsid w:val="15C64145"/>
    <w:rsid w:val="171C4DC0"/>
    <w:rsid w:val="178869AC"/>
    <w:rsid w:val="17973B81"/>
    <w:rsid w:val="17D47A3A"/>
    <w:rsid w:val="18FA1A3F"/>
    <w:rsid w:val="19652943"/>
    <w:rsid w:val="19D73D5D"/>
    <w:rsid w:val="1A714CAC"/>
    <w:rsid w:val="1BCB0D26"/>
    <w:rsid w:val="1C5C0413"/>
    <w:rsid w:val="1D2908AC"/>
    <w:rsid w:val="1EA07843"/>
    <w:rsid w:val="1EE7678E"/>
    <w:rsid w:val="1F343F9D"/>
    <w:rsid w:val="1F953961"/>
    <w:rsid w:val="2000527E"/>
    <w:rsid w:val="21265800"/>
    <w:rsid w:val="2186472E"/>
    <w:rsid w:val="21FD0A0A"/>
    <w:rsid w:val="225C6BB3"/>
    <w:rsid w:val="22FB2BBE"/>
    <w:rsid w:val="24813766"/>
    <w:rsid w:val="254B06A0"/>
    <w:rsid w:val="25823764"/>
    <w:rsid w:val="261C4494"/>
    <w:rsid w:val="262A5C29"/>
    <w:rsid w:val="271B6D97"/>
    <w:rsid w:val="27C8608E"/>
    <w:rsid w:val="27E8355E"/>
    <w:rsid w:val="27F60BC7"/>
    <w:rsid w:val="28170D8A"/>
    <w:rsid w:val="28510681"/>
    <w:rsid w:val="2939535D"/>
    <w:rsid w:val="299A51B1"/>
    <w:rsid w:val="2A62755A"/>
    <w:rsid w:val="2B410962"/>
    <w:rsid w:val="2B657D7F"/>
    <w:rsid w:val="2C211A01"/>
    <w:rsid w:val="2CA06869"/>
    <w:rsid w:val="2E767DD0"/>
    <w:rsid w:val="2E951C23"/>
    <w:rsid w:val="2EB500CF"/>
    <w:rsid w:val="2F0258E8"/>
    <w:rsid w:val="2F212101"/>
    <w:rsid w:val="2FEA2F0D"/>
    <w:rsid w:val="30F65D53"/>
    <w:rsid w:val="333527F9"/>
    <w:rsid w:val="34A86545"/>
    <w:rsid w:val="34FA0097"/>
    <w:rsid w:val="36012450"/>
    <w:rsid w:val="36A42288"/>
    <w:rsid w:val="36EB062B"/>
    <w:rsid w:val="377D27D0"/>
    <w:rsid w:val="37D9434B"/>
    <w:rsid w:val="38B752C0"/>
    <w:rsid w:val="3ABD4DA4"/>
    <w:rsid w:val="3D1203AE"/>
    <w:rsid w:val="3D624A2B"/>
    <w:rsid w:val="3DBA6D2D"/>
    <w:rsid w:val="3E5B27C1"/>
    <w:rsid w:val="3E8467BA"/>
    <w:rsid w:val="3F0415DE"/>
    <w:rsid w:val="3F453D17"/>
    <w:rsid w:val="3F4C7741"/>
    <w:rsid w:val="3F784764"/>
    <w:rsid w:val="3FCF19B1"/>
    <w:rsid w:val="3FF20929"/>
    <w:rsid w:val="40A07628"/>
    <w:rsid w:val="41284B6D"/>
    <w:rsid w:val="413A4720"/>
    <w:rsid w:val="41FF4150"/>
    <w:rsid w:val="43776970"/>
    <w:rsid w:val="43CA2045"/>
    <w:rsid w:val="44447629"/>
    <w:rsid w:val="446D4E3D"/>
    <w:rsid w:val="44B05FCE"/>
    <w:rsid w:val="450D1720"/>
    <w:rsid w:val="468A1FED"/>
    <w:rsid w:val="46F223F0"/>
    <w:rsid w:val="471136F1"/>
    <w:rsid w:val="472D5415"/>
    <w:rsid w:val="48362ED0"/>
    <w:rsid w:val="48442030"/>
    <w:rsid w:val="48E7457D"/>
    <w:rsid w:val="48EB4114"/>
    <w:rsid w:val="49BE0A0E"/>
    <w:rsid w:val="4A4A3B5C"/>
    <w:rsid w:val="4AE92009"/>
    <w:rsid w:val="4C662A93"/>
    <w:rsid w:val="4C79692C"/>
    <w:rsid w:val="4D646BB7"/>
    <w:rsid w:val="4DAA33CC"/>
    <w:rsid w:val="4DD0360E"/>
    <w:rsid w:val="50285E0F"/>
    <w:rsid w:val="50E71523"/>
    <w:rsid w:val="514E0214"/>
    <w:rsid w:val="51C54E5A"/>
    <w:rsid w:val="52856704"/>
    <w:rsid w:val="528D6F8C"/>
    <w:rsid w:val="52C60F36"/>
    <w:rsid w:val="53992A8D"/>
    <w:rsid w:val="53AA23D2"/>
    <w:rsid w:val="54812E0C"/>
    <w:rsid w:val="56456433"/>
    <w:rsid w:val="57613203"/>
    <w:rsid w:val="579E26AC"/>
    <w:rsid w:val="57C91F06"/>
    <w:rsid w:val="58892127"/>
    <w:rsid w:val="58DD6DBC"/>
    <w:rsid w:val="598B1A09"/>
    <w:rsid w:val="59AC5E4E"/>
    <w:rsid w:val="5A5D231D"/>
    <w:rsid w:val="5AE63836"/>
    <w:rsid w:val="5C3C3090"/>
    <w:rsid w:val="5D0D05B8"/>
    <w:rsid w:val="5FDD7BD2"/>
    <w:rsid w:val="60815FE3"/>
    <w:rsid w:val="6163055E"/>
    <w:rsid w:val="62461540"/>
    <w:rsid w:val="630B4D01"/>
    <w:rsid w:val="631C0042"/>
    <w:rsid w:val="63342313"/>
    <w:rsid w:val="63BE65AF"/>
    <w:rsid w:val="63EA4164"/>
    <w:rsid w:val="66D600E1"/>
    <w:rsid w:val="66DD39A5"/>
    <w:rsid w:val="66F92C70"/>
    <w:rsid w:val="67062E91"/>
    <w:rsid w:val="67492C47"/>
    <w:rsid w:val="67B266B1"/>
    <w:rsid w:val="67E03F46"/>
    <w:rsid w:val="67E3152B"/>
    <w:rsid w:val="68187D5F"/>
    <w:rsid w:val="683657CC"/>
    <w:rsid w:val="68AB2C47"/>
    <w:rsid w:val="695A643F"/>
    <w:rsid w:val="69974A93"/>
    <w:rsid w:val="69BD25DF"/>
    <w:rsid w:val="6BAA0981"/>
    <w:rsid w:val="6D3D40BC"/>
    <w:rsid w:val="6D4C0290"/>
    <w:rsid w:val="6DF67CE5"/>
    <w:rsid w:val="6E2124C0"/>
    <w:rsid w:val="6F7A13FC"/>
    <w:rsid w:val="6FDA084F"/>
    <w:rsid w:val="72BB015E"/>
    <w:rsid w:val="72E77A08"/>
    <w:rsid w:val="739D1EB9"/>
    <w:rsid w:val="745D2878"/>
    <w:rsid w:val="74C73872"/>
    <w:rsid w:val="750678D2"/>
    <w:rsid w:val="768756F7"/>
    <w:rsid w:val="7690666C"/>
    <w:rsid w:val="772F2ED7"/>
    <w:rsid w:val="773A0C00"/>
    <w:rsid w:val="7748763F"/>
    <w:rsid w:val="777D3D93"/>
    <w:rsid w:val="7793643D"/>
    <w:rsid w:val="78BB43B9"/>
    <w:rsid w:val="79867A27"/>
    <w:rsid w:val="7A4766FB"/>
    <w:rsid w:val="7B2742AB"/>
    <w:rsid w:val="7B446F42"/>
    <w:rsid w:val="7C2A7C76"/>
    <w:rsid w:val="7C7E0893"/>
    <w:rsid w:val="7CB65C1E"/>
    <w:rsid w:val="7D5B0750"/>
    <w:rsid w:val="7D965F4F"/>
    <w:rsid w:val="7DFA18D4"/>
    <w:rsid w:val="7E6A2812"/>
    <w:rsid w:val="7F367155"/>
    <w:rsid w:val="7F4418EF"/>
    <w:rsid w:val="7FC54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39</Words>
  <Characters>223</Characters>
  <Lines>1</Lines>
  <Paragraphs>1</Paragraphs>
  <TotalTime>3</TotalTime>
  <ScaleCrop>false</ScaleCrop>
  <LinksUpToDate>false</LinksUpToDate>
  <CharactersWithSpaces>261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2020-06-12T08:04:00Z</dcterms:created>
  <dc:creator>Administrator</dc:creator>
  <cp:lastModifiedBy>Administrator</cp:lastModifiedBy>
  <cp:lastPrinted>2020-09-11T06:58:00Z</cp:lastPrinted>
  <dcterms:modified xsi:type="dcterms:W3CDTF">2024-03-14T02:11:14Z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EC4B7FE7F12D4F91A0A4A64EF765A2FF_13</vt:lpwstr>
  </property>
</Properties>
</file>