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right"/>
        <w:rPr>
          <w:rFonts w:hint="eastAsia" w:ascii="Times New Roman" w:hAnsi="Times New Roman" w:eastAsia="方正仿宋简体" w:cs="Times New Roman"/>
          <w:color w:val="000000" w:themeColor="text1"/>
          <w:kern w:val="0"/>
          <w:sz w:val="32"/>
          <w:szCs w:val="32"/>
          <w14:textFill>
            <w14:solidFill>
              <w14:schemeClr w14:val="tx1"/>
            </w14:solidFill>
          </w14:textFill>
        </w:rPr>
      </w:pPr>
    </w:p>
    <w:p>
      <w:pPr>
        <w:spacing w:line="579" w:lineRule="exact"/>
        <w:jc w:val="right"/>
        <w:rPr>
          <w:rFonts w:hint="eastAsia" w:ascii="Times New Roman" w:hAnsi="Times New Roman" w:eastAsia="方正仿宋简体" w:cs="Times New Roman"/>
          <w:color w:val="000000" w:themeColor="text1"/>
          <w:kern w:val="0"/>
          <w:sz w:val="32"/>
          <w:szCs w:val="32"/>
          <w14:textFill>
            <w14:solidFill>
              <w14:schemeClr w14:val="tx1"/>
            </w14:solidFill>
          </w14:textFill>
        </w:rPr>
      </w:pPr>
    </w:p>
    <w:p>
      <w:pPr>
        <w:spacing w:line="579" w:lineRule="exact"/>
        <w:jc w:val="right"/>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阳环建审〔2023〕</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20</w:t>
      </w:r>
      <w:r>
        <w:rPr>
          <w:rFonts w:hint="eastAsia" w:ascii="Times New Roman" w:hAnsi="Times New Roman" w:eastAsia="方正仿宋简体" w:cs="Times New Roman"/>
          <w:color w:val="000000" w:themeColor="text1"/>
          <w:kern w:val="0"/>
          <w:sz w:val="32"/>
          <w:szCs w:val="32"/>
          <w14:textFill>
            <w14:solidFill>
              <w14:schemeClr w14:val="tx1"/>
            </w14:solidFill>
          </w14:textFill>
        </w:rPr>
        <w:t>号</w:t>
      </w:r>
    </w:p>
    <w:p>
      <w:pPr>
        <w:pStyle w:val="18"/>
        <w:spacing w:line="579" w:lineRule="exact"/>
        <w:ind w:left="0" w:leftChars="0" w:firstLine="420" w:firstLineChars="200"/>
        <w:rPr>
          <w:rFonts w:eastAsia="方正小标宋简体"/>
        </w:rPr>
      </w:pPr>
    </w:p>
    <w:p>
      <w:pPr>
        <w:spacing w:line="579"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阳江市生态环境局关于</w:t>
      </w:r>
      <w:bookmarkStart w:id="0" w:name="_Hlk128039463"/>
      <w:r>
        <w:rPr>
          <w:rFonts w:ascii="Times New Roman" w:hAnsi="Times New Roman" w:eastAsia="方正小标宋简体" w:cs="Times New Roman"/>
          <w:bCs/>
          <w:color w:val="000000" w:themeColor="text1"/>
          <w:sz w:val="44"/>
          <w:szCs w:val="44"/>
          <w14:textFill>
            <w14:solidFill>
              <w14:schemeClr w14:val="tx1"/>
            </w14:solidFill>
          </w14:textFill>
        </w:rPr>
        <w:t>阳江LNG调峰储气库项目2#LNG储罐扩建工程110kV阳江</w:t>
      </w:r>
    </w:p>
    <w:p>
      <w:pPr>
        <w:spacing w:line="579"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LNG变电站</w:t>
      </w:r>
      <w:bookmarkEnd w:id="0"/>
      <w:r>
        <w:rPr>
          <w:rFonts w:ascii="Times New Roman" w:hAnsi="Times New Roman" w:eastAsia="方正小标宋简体" w:cs="Times New Roman"/>
          <w:bCs/>
          <w:color w:val="000000" w:themeColor="text1"/>
          <w:sz w:val="44"/>
          <w:szCs w:val="44"/>
          <w14:textFill>
            <w14:solidFill>
              <w14:schemeClr w14:val="tx1"/>
            </w14:solidFill>
          </w14:textFill>
        </w:rPr>
        <w:t>环境影响报告表的批复</w:t>
      </w:r>
    </w:p>
    <w:p>
      <w:pPr>
        <w:spacing w:line="579" w:lineRule="exact"/>
        <w:ind w:firstLine="640" w:firstLineChars="200"/>
        <w:rPr>
          <w:rFonts w:ascii="Times New Roman" w:hAnsi="Times New Roman" w:eastAsia="方正仿宋简体" w:cs="Times New Roman"/>
          <w:color w:val="0000FF"/>
          <w:kern w:val="0"/>
          <w:sz w:val="32"/>
          <w:szCs w:val="32"/>
        </w:rPr>
      </w:pPr>
    </w:p>
    <w:p>
      <w:pPr>
        <w:spacing w:line="579" w:lineRule="exact"/>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广东阳江海陵湾液化天然气有限责任公司</w:t>
      </w:r>
      <w:r>
        <w:rPr>
          <w:rFonts w:ascii="Times New Roman" w:hAnsi="Times New Roman" w:eastAsia="方正仿宋简体" w:cs="Times New Roman"/>
          <w:color w:val="000000" w:themeColor="text1"/>
          <w:kern w:val="0"/>
          <w:sz w:val="32"/>
          <w:szCs w:val="32"/>
          <w14:textFill>
            <w14:solidFill>
              <w14:schemeClr w14:val="tx1"/>
            </w14:solidFill>
          </w14:textFill>
        </w:rPr>
        <w:t>：</w:t>
      </w:r>
    </w:p>
    <w:p>
      <w:pPr>
        <w:spacing w:line="579" w:lineRule="exact"/>
        <w:ind w:firstLine="640" w:firstLineChars="200"/>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你公司报批的《阳江LNG调峰储气库项目2#LNG储罐扩建工程之110kV阳江LNG变电站环境影响报告表》（以下简称《报告表》）等材料收悉。经研究，现根据《中华人民共和国环境保护法》《中华人民共和国环境影响评价法》，批复如下：</w:t>
      </w:r>
    </w:p>
    <w:p>
      <w:pPr>
        <w:spacing w:line="579" w:lineRule="exact"/>
        <w:ind w:firstLine="640" w:firstLineChars="200"/>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一、</w:t>
      </w:r>
      <w:r>
        <w:rPr>
          <w:rFonts w:ascii="Times New Roman" w:hAnsi="Times New Roman" w:eastAsia="方正仿宋简体" w:cs="Times New Roman"/>
          <w:color w:val="000000" w:themeColor="text1"/>
          <w:kern w:val="0"/>
          <w:sz w:val="32"/>
          <w:szCs w:val="32"/>
          <w14:textFill>
            <w14:solidFill>
              <w14:schemeClr w14:val="tx1"/>
            </w14:solidFill>
          </w14:textFill>
        </w:rPr>
        <w:t>阳江LNG调峰储气库项目2#LNG储罐扩建工程110kV阳江LNG变电站位于广东省阳江市高新区临港工业园阳江港阳江 LNG 调峰储气库中间偏北位置</w:t>
      </w:r>
      <w:r>
        <w:rPr>
          <w:rFonts w:hint="eastAsia" w:ascii="Times New Roman" w:hAnsi="Times New Roman" w:eastAsia="方正仿宋简体" w:cs="Times New Roman"/>
          <w:color w:val="000000" w:themeColor="text1"/>
          <w:kern w:val="0"/>
          <w:sz w:val="32"/>
          <w:szCs w:val="32"/>
          <w14:textFill>
            <w14:solidFill>
              <w14:schemeClr w14:val="tx1"/>
            </w14:solidFill>
          </w14:textFill>
        </w:rPr>
        <w:t>（项目代码：2</w:t>
      </w:r>
      <w:r>
        <w:rPr>
          <w:rFonts w:ascii="Times New Roman" w:hAnsi="Times New Roman" w:eastAsia="方正仿宋简体" w:cs="Times New Roman"/>
          <w:color w:val="000000" w:themeColor="text1"/>
          <w:kern w:val="0"/>
          <w:sz w:val="32"/>
          <w:szCs w:val="32"/>
          <w14:textFill>
            <w14:solidFill>
              <w14:schemeClr w14:val="tx1"/>
            </w14:solidFill>
          </w14:textFill>
        </w:rPr>
        <w:t>019-441700-45-03-029694</w:t>
      </w:r>
      <w:r>
        <w:rPr>
          <w:rFonts w:hint="eastAsia" w:ascii="Times New Roman" w:hAnsi="Times New Roman" w:eastAsia="方正仿宋简体" w:cs="Times New Roman"/>
          <w:color w:val="000000" w:themeColor="text1"/>
          <w:kern w:val="0"/>
          <w:sz w:val="32"/>
          <w:szCs w:val="32"/>
          <w14:textFill>
            <w14:solidFill>
              <w14:schemeClr w14:val="tx1"/>
            </w14:solidFill>
          </w14:textFill>
        </w:rPr>
        <w:t>）。本工程建设内容为：</w:t>
      </w:r>
      <w:r>
        <w:rPr>
          <w:rFonts w:ascii="Times New Roman" w:hAnsi="Times New Roman" w:eastAsia="方正仿宋简体" w:cs="Times New Roman"/>
          <w:color w:val="000000" w:themeColor="text1"/>
          <w:kern w:val="0"/>
          <w:sz w:val="32"/>
          <w:szCs w:val="32"/>
          <w14:textFill>
            <w14:solidFill>
              <w14:schemeClr w14:val="tx1"/>
            </w14:solidFill>
          </w14:textFill>
        </w:rPr>
        <w:t>新建110千伏变电站，主变容量为2台31.5MVA主变，电压等级为110kV，采用户内式布置。无功补偿2×3600kvar，2路110kV供电电源引自阳江当地登高变电站、港口变电站，项目内供电电压为6KV /0.4KV。</w:t>
      </w:r>
    </w:p>
    <w:p>
      <w:pPr>
        <w:adjustRightInd w:val="0"/>
        <w:snapToGrid w:val="0"/>
        <w:spacing w:line="360" w:lineRule="auto"/>
        <w:ind w:firstLine="640" w:firstLineChars="200"/>
        <w:jc w:val="left"/>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本项目总投资2780万元，其中环保投资39.5万元。</w:t>
      </w:r>
    </w:p>
    <w:p>
      <w:pPr>
        <w:widowControl/>
        <w:spacing w:line="579" w:lineRule="exact"/>
        <w:ind w:firstLine="640" w:firstLineChars="200"/>
        <w:rPr>
          <w:rFonts w:ascii="Times New Roman" w:hAnsi="Times New Roman" w:eastAsia="方正仿宋简体" w:cs="Times New Roman"/>
          <w:color w:val="0000FF"/>
          <w:kern w:val="0"/>
          <w:sz w:val="32"/>
          <w:szCs w:val="32"/>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二、根据阳江市生态环境局高新分局出具的《</w:t>
      </w:r>
      <w:r>
        <w:rPr>
          <w:rFonts w:ascii="Times New Roman" w:hAnsi="Times New Roman" w:eastAsia="方正仿宋简体" w:cs="Times New Roman"/>
          <w:color w:val="000000" w:themeColor="text1"/>
          <w:kern w:val="0"/>
          <w:sz w:val="32"/>
          <w:szCs w:val="32"/>
          <w14:textFill>
            <w14:solidFill>
              <w14:schemeClr w14:val="tx1"/>
            </w14:solidFill>
          </w14:textFill>
        </w:rPr>
        <w:t>阳江LNG调峰储气库项目2#LNG储罐扩建工程之110kV阳江LNG变电站</w:t>
      </w:r>
      <w:r>
        <w:rPr>
          <w:rFonts w:hint="eastAsia" w:ascii="Times New Roman" w:hAnsi="Times New Roman" w:eastAsia="方正仿宋简体" w:cs="Times New Roman"/>
          <w:color w:val="000000" w:themeColor="text1"/>
          <w:kern w:val="0"/>
          <w:sz w:val="32"/>
          <w:szCs w:val="32"/>
          <w14:textFill>
            <w14:solidFill>
              <w14:schemeClr w14:val="tx1"/>
            </w14:solidFill>
          </w14:textFill>
        </w:rPr>
        <w:t>环境影响报告表的初审意见》（西环函〔2023〕4</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0</w:t>
      </w:r>
      <w:r>
        <w:rPr>
          <w:rFonts w:hint="eastAsia" w:ascii="Times New Roman" w:hAnsi="Times New Roman" w:eastAsia="方正仿宋简体" w:cs="Times New Roman"/>
          <w:color w:val="000000" w:themeColor="text1"/>
          <w:kern w:val="0"/>
          <w:sz w:val="32"/>
          <w:szCs w:val="32"/>
          <w14:textFill>
            <w14:solidFill>
              <w14:schemeClr w14:val="tx1"/>
            </w14:solidFill>
          </w14:textFill>
        </w:rPr>
        <w:t>号）和市生态环境技术中心出具的《关于</w:t>
      </w:r>
      <w:r>
        <w:rPr>
          <w:rFonts w:ascii="Times New Roman" w:hAnsi="Times New Roman" w:eastAsia="方正仿宋简体" w:cs="Times New Roman"/>
          <w:color w:val="000000" w:themeColor="text1"/>
          <w:kern w:val="0"/>
          <w:sz w:val="32"/>
          <w:szCs w:val="32"/>
          <w14:textFill>
            <w14:solidFill>
              <w14:schemeClr w14:val="tx1"/>
            </w14:solidFill>
          </w14:textFill>
        </w:rPr>
        <w:t>阳江LNG调峰储气库项目2#LNG储罐扩建工程之110kV阳江LNG变电站</w:t>
      </w:r>
      <w:r>
        <w:rPr>
          <w:rFonts w:hint="eastAsia" w:ascii="Times New Roman" w:hAnsi="Times New Roman" w:eastAsia="方正仿宋简体" w:cs="Times New Roman"/>
          <w:color w:val="000000" w:themeColor="text1"/>
          <w:kern w:val="0"/>
          <w:sz w:val="32"/>
          <w:szCs w:val="32"/>
          <w14:textFill>
            <w14:solidFill>
              <w14:schemeClr w14:val="tx1"/>
            </w14:solidFill>
          </w14:textFill>
        </w:rPr>
        <w:t>环境影响报告表评估意见的函》（阳环技〔202</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简体" w:cs="Times New Roman"/>
          <w:color w:val="000000" w:themeColor="text1"/>
          <w:kern w:val="0"/>
          <w:sz w:val="32"/>
          <w:szCs w:val="32"/>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16</w:t>
      </w:r>
      <w:r>
        <w:rPr>
          <w:rFonts w:hint="eastAsia" w:ascii="Times New Roman" w:hAnsi="Times New Roman" w:eastAsia="方正仿宋简体" w:cs="Times New Roman"/>
          <w:color w:val="000000" w:themeColor="text1"/>
          <w:kern w:val="0"/>
          <w:sz w:val="32"/>
          <w:szCs w:val="32"/>
          <w14:textFill>
            <w14:solidFill>
              <w14:schemeClr w14:val="tx1"/>
            </w14:solidFill>
          </w14:textFill>
        </w:rPr>
        <w:t>号）认为，从环境影响的角度看，项目建设可行。经我局局务会集体研究，原则同意批复《报告表》。</w:t>
      </w:r>
      <w:r>
        <w:rPr>
          <w:rFonts w:ascii="Times New Roman" w:hAnsi="Times New Roman" w:eastAsia="方正仿宋简体" w:cs="Times New Roman"/>
          <w:color w:val="000000" w:themeColor="text1"/>
          <w:kern w:val="0"/>
          <w:sz w:val="32"/>
          <w:szCs w:val="32"/>
          <w14:textFill>
            <w14:solidFill>
              <w14:schemeClr w14:val="tx1"/>
            </w14:solidFill>
          </w14:textFill>
        </w:rPr>
        <w:t>项目施工和营运期中还应按照报告表有关章节的环境保护措施重点做好以下工作:</w:t>
      </w:r>
    </w:p>
    <w:p>
      <w:pPr>
        <w:widowControl/>
        <w:spacing w:line="579"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（一）严格落实水环境保护措施。</w:t>
      </w:r>
      <w:r>
        <w:rPr>
          <w:rFonts w:ascii="Times New Roman" w:hAnsi="Times New Roman" w:eastAsia="方正仿宋简体" w:cs="Times New Roman"/>
          <w:color w:val="000000" w:themeColor="text1"/>
          <w:sz w:val="32"/>
          <w:szCs w:val="32"/>
          <w14:textFill>
            <w14:solidFill>
              <w14:schemeClr w14:val="tx1"/>
            </w14:solidFill>
          </w14:textFill>
        </w:rPr>
        <w:t>施工人员租用附近民房，生活污水纳入当地生活污水处理系统处理</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施工现场设置沉淀池，施工废水通过混凝沉淀后</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回用于施工场地防尘洒水</w:t>
      </w:r>
      <w:r>
        <w:rPr>
          <w:rFonts w:ascii="Times New Roman" w:hAnsi="Times New Roman" w:eastAsia="方正仿宋简体" w:cs="Times New Roman"/>
          <w:color w:val="000000" w:themeColor="text1"/>
          <w:sz w:val="32"/>
          <w:szCs w:val="32"/>
          <w14:textFill>
            <w14:solidFill>
              <w14:schemeClr w14:val="tx1"/>
            </w14:solidFill>
          </w14:textFill>
        </w:rPr>
        <w:t>，不外排。</w:t>
      </w:r>
    </w:p>
    <w:p>
      <w:pPr>
        <w:widowControl/>
        <w:spacing w:line="579"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（二）严格落实大气污染防治措施。</w:t>
      </w:r>
      <w:r>
        <w:rPr>
          <w:rFonts w:ascii="Times New Roman" w:hAnsi="Times New Roman" w:eastAsia="方正仿宋简体" w:cs="Times New Roman"/>
          <w:color w:val="000000" w:themeColor="text1"/>
          <w:sz w:val="32"/>
          <w:szCs w:val="32"/>
          <w14:textFill>
            <w14:solidFill>
              <w14:schemeClr w14:val="tx1"/>
            </w14:solidFill>
          </w14:textFill>
        </w:rPr>
        <w:t>施工时，应集中配制或使用商品混凝土，然后运至施工点进行浇筑，避免因混凝土拌制产生扬尘</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对于裸露施工面应定期洒水，减少施工扬尘</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车辆运输散体材料和废弃物时，</w:t>
      </w:r>
      <w:r>
        <w:rPr>
          <w:rFonts w:hint="eastAsia" w:ascii="Times New Roman" w:hAnsi="Times New Roman" w:eastAsia="方正仿宋简体" w:cs="Times New Roman"/>
          <w:color w:val="000000" w:themeColor="text1"/>
          <w:sz w:val="32"/>
          <w:szCs w:val="32"/>
          <w14:textFill>
            <w14:solidFill>
              <w14:schemeClr w14:val="tx1"/>
            </w14:solidFill>
          </w14:textFill>
        </w:rPr>
        <w:t>应</w:t>
      </w:r>
      <w:r>
        <w:rPr>
          <w:rFonts w:ascii="Times New Roman" w:hAnsi="Times New Roman" w:eastAsia="方正仿宋简体" w:cs="Times New Roman"/>
          <w:color w:val="000000" w:themeColor="text1"/>
          <w:sz w:val="32"/>
          <w:szCs w:val="32"/>
          <w14:textFill>
            <w14:solidFill>
              <w14:schemeClr w14:val="tx1"/>
            </w14:solidFill>
          </w14:textFill>
        </w:rPr>
        <w:t>密闭、包扎、覆盖，避免沿途漏撒，控制扬尘污染</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施工期废气污染物排放要严格执行广东省《大气污染物排放限值》（DB44/27-2001）二时段二级标准要求。</w:t>
      </w:r>
    </w:p>
    <w:p>
      <w:pPr>
        <w:spacing w:line="579"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（三）严格落实噪声污染防治措施。</w:t>
      </w:r>
      <w:r>
        <w:rPr>
          <w:rFonts w:ascii="Times New Roman" w:hAnsi="Times New Roman" w:eastAsia="方正仿宋简体" w:cs="Times New Roman"/>
          <w:color w:val="000000" w:themeColor="text1"/>
          <w:sz w:val="32"/>
          <w:szCs w:val="32"/>
          <w14:textFill>
            <w14:solidFill>
              <w14:schemeClr w14:val="tx1"/>
            </w14:solidFill>
          </w14:textFill>
        </w:rPr>
        <w:t>施工时，应严格按照施工规范要求，制定施工计划，严格控制施工时间</w:t>
      </w:r>
      <w:r>
        <w:rPr>
          <w:rFonts w:hint="eastAsia" w:ascii="Times New Roman" w:hAnsi="Times New Roman" w:eastAsia="方正仿宋简体" w:cs="Times New Roman"/>
          <w:color w:val="000000" w:themeColor="text1"/>
          <w:sz w:val="32"/>
          <w:szCs w:val="32"/>
          <w14:textFill>
            <w14:solidFill>
              <w14:schemeClr w14:val="tx1"/>
            </w14:solidFill>
          </w14:textFill>
        </w:rPr>
        <w:t>并</w:t>
      </w:r>
      <w:r>
        <w:rPr>
          <w:rFonts w:ascii="Times New Roman" w:hAnsi="Times New Roman" w:eastAsia="方正仿宋简体" w:cs="Times New Roman"/>
          <w:color w:val="000000" w:themeColor="text1"/>
          <w:sz w:val="32"/>
          <w:szCs w:val="32"/>
          <w14:textFill>
            <w14:solidFill>
              <w14:schemeClr w14:val="tx1"/>
            </w14:solidFill>
          </w14:textFill>
        </w:rPr>
        <w:t>采用满足国家相应噪声标准的施工机械设备，同时加强对施工机械的维护保养</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项目施工期噪声排放执行《建筑施工场界环境噪声排放限值》（GB12323-2011）标准。</w:t>
      </w:r>
      <w:r>
        <w:rPr>
          <w:rFonts w:hint="eastAsia" w:ascii="Times New Roman" w:hAnsi="Times New Roman" w:eastAsia="方正仿宋简体" w:cs="Times New Roman"/>
          <w:color w:val="000000" w:themeColor="text1"/>
          <w:sz w:val="32"/>
          <w:szCs w:val="32"/>
          <w14:textFill>
            <w14:solidFill>
              <w14:schemeClr w14:val="tx1"/>
            </w14:solidFill>
          </w14:textFill>
        </w:rPr>
        <w:t>营运期</w:t>
      </w:r>
      <w:r>
        <w:rPr>
          <w:rFonts w:ascii="Times New Roman" w:hAnsi="Times New Roman" w:eastAsia="方正仿宋简体" w:cs="Times New Roman"/>
          <w:color w:val="000000" w:themeColor="text1"/>
          <w:sz w:val="32"/>
          <w:szCs w:val="32"/>
          <w14:textFill>
            <w14:solidFill>
              <w14:schemeClr w14:val="tx1"/>
            </w14:solidFill>
          </w14:textFill>
        </w:rPr>
        <w:t>尽量选择低噪声主变，加强设备的运行管理，减少因设备陈旧产生的噪声；做好变压器基础减震措施降低噪声影响。</w:t>
      </w:r>
      <w:r>
        <w:rPr>
          <w:rFonts w:hint="eastAsia" w:ascii="Times New Roman" w:hAnsi="Times New Roman" w:eastAsia="方正仿宋简体" w:cs="Times New Roman"/>
          <w:color w:val="000000" w:themeColor="text1"/>
          <w:sz w:val="32"/>
          <w:szCs w:val="32"/>
          <w14:textFill>
            <w14:solidFill>
              <w14:schemeClr w14:val="tx1"/>
            </w14:solidFill>
          </w14:textFill>
        </w:rPr>
        <w:t>营运期</w:t>
      </w:r>
      <w:r>
        <w:rPr>
          <w:rFonts w:ascii="Times New Roman" w:hAnsi="Times New Roman" w:eastAsia="方正仿宋简体" w:cs="Times New Roman"/>
          <w:color w:val="000000" w:themeColor="text1"/>
          <w:sz w:val="32"/>
          <w:szCs w:val="32"/>
          <w14:textFill>
            <w14:solidFill>
              <w14:schemeClr w14:val="tx1"/>
            </w14:solidFill>
          </w14:textFill>
        </w:rPr>
        <w:t>变电站四周厂界噪声满足《工业企业厂界环境噪声排放标准》（GB12348-2008）3类区排放限值要求</w:t>
      </w:r>
    </w:p>
    <w:p>
      <w:pPr>
        <w:spacing w:line="579" w:lineRule="exact"/>
        <w:ind w:firstLine="640" w:firstLineChars="200"/>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（四）严格落实固体废物处置措施。</w:t>
      </w:r>
      <w:r>
        <w:rPr>
          <w:rFonts w:ascii="Times New Roman" w:hAnsi="Times New Roman" w:eastAsia="方正仿宋简体" w:cs="Times New Roman"/>
          <w:color w:val="000000" w:themeColor="text1"/>
          <w:kern w:val="0"/>
          <w:sz w:val="32"/>
          <w:szCs w:val="32"/>
          <w14:textFill>
            <w14:solidFill>
              <w14:schemeClr w14:val="tx1"/>
            </w14:solidFill>
          </w14:textFill>
        </w:rPr>
        <w:t>施工时</w:t>
      </w:r>
      <w:r>
        <w:rPr>
          <w:rFonts w:hint="eastAsia" w:ascii="Times New Roman" w:hAnsi="Times New Roman" w:eastAsia="方正仿宋简体" w:cs="Times New Roman"/>
          <w:color w:val="000000" w:themeColor="text1"/>
          <w:kern w:val="0"/>
          <w:sz w:val="32"/>
          <w:szCs w:val="32"/>
          <w14:textFill>
            <w14:solidFill>
              <w14:schemeClr w14:val="tx1"/>
            </w14:solidFill>
          </w14:textFill>
        </w:rPr>
        <w:t>施工人员产生的生活垃圾集中定点收集后，交由环卫部门处置；施工期</w:t>
      </w:r>
      <w:r>
        <w:rPr>
          <w:rFonts w:ascii="Times New Roman" w:hAnsi="Times New Roman" w:eastAsia="方正仿宋简体" w:cs="Times New Roman"/>
          <w:color w:val="000000" w:themeColor="text1"/>
          <w:kern w:val="0"/>
          <w:sz w:val="32"/>
          <w:szCs w:val="32"/>
          <w14:textFill>
            <w14:solidFill>
              <w14:schemeClr w14:val="tx1"/>
            </w14:solidFill>
          </w14:textFill>
        </w:rPr>
        <w:t>土石方</w:t>
      </w:r>
      <w:r>
        <w:rPr>
          <w:rFonts w:hint="eastAsia" w:ascii="Times New Roman" w:hAnsi="Times New Roman" w:eastAsia="方正仿宋简体" w:cs="Times New Roman"/>
          <w:color w:val="000000" w:themeColor="text1"/>
          <w:kern w:val="0"/>
          <w:sz w:val="32"/>
          <w:szCs w:val="32"/>
          <w14:textFill>
            <w14:solidFill>
              <w14:schemeClr w14:val="tx1"/>
            </w14:solidFill>
          </w14:textFill>
        </w:rPr>
        <w:t>回填处置，</w:t>
      </w:r>
      <w:r>
        <w:rPr>
          <w:rFonts w:ascii="Times New Roman" w:hAnsi="Times New Roman" w:eastAsia="方正仿宋简体" w:cs="Times New Roman"/>
          <w:color w:val="000000" w:themeColor="text1"/>
          <w:kern w:val="0"/>
          <w:sz w:val="32"/>
          <w:szCs w:val="32"/>
          <w14:textFill>
            <w14:solidFill>
              <w14:schemeClr w14:val="tx1"/>
            </w14:solidFill>
          </w14:textFill>
        </w:rPr>
        <w:t>待基础四周回填后，把余土运至相关部门指定的堆土场集中处置。</w:t>
      </w:r>
      <w:r>
        <w:rPr>
          <w:rFonts w:hint="eastAsia" w:ascii="Times New Roman" w:hAnsi="Times New Roman" w:eastAsia="方正仿宋简体" w:cs="Times New Roman"/>
          <w:color w:val="000000" w:themeColor="text1"/>
          <w:kern w:val="0"/>
          <w:sz w:val="32"/>
          <w:szCs w:val="32"/>
          <w14:textFill>
            <w14:solidFill>
              <w14:schemeClr w14:val="tx1"/>
            </w14:solidFill>
          </w14:textFill>
        </w:rPr>
        <w:t>营运期</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产生的</w:t>
      </w:r>
      <w:r>
        <w:rPr>
          <w:rFonts w:ascii="Times New Roman" w:hAnsi="Times New Roman" w:eastAsia="方正仿宋简体" w:cs="Times New Roman"/>
          <w:color w:val="000000" w:themeColor="text1"/>
          <w:kern w:val="0"/>
          <w:sz w:val="32"/>
          <w:szCs w:val="32"/>
          <w14:textFill>
            <w14:solidFill>
              <w14:schemeClr w14:val="tx1"/>
            </w14:solidFill>
          </w14:textFill>
        </w:rPr>
        <w:t>废变压器油、废旧蓄电池等危险废物委托有相应资质的单位进行处理。</w:t>
      </w:r>
    </w:p>
    <w:p>
      <w:pPr>
        <w:spacing w:line="579" w:lineRule="exact"/>
        <w:ind w:firstLine="640" w:firstLineChars="200"/>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（五）严格落实电磁辐射防范措施。</w:t>
      </w:r>
      <w:r>
        <w:rPr>
          <w:rFonts w:ascii="Times New Roman" w:hAnsi="Times New Roman" w:eastAsia="方正仿宋简体" w:cs="Times New Roman"/>
          <w:color w:val="000000" w:themeColor="text1"/>
          <w:kern w:val="0"/>
          <w:sz w:val="32"/>
          <w:szCs w:val="32"/>
          <w14:textFill>
            <w14:solidFill>
              <w14:schemeClr w14:val="tx1"/>
            </w14:solidFill>
          </w14:textFill>
        </w:rPr>
        <w:t>通过类比同类型项目分析，项目营运期间项目周围的工频电磁场强度均能满足《电磁环境控制限值》（GB8702-2014）的限值（4000V/m和100μT）要求</w:t>
      </w:r>
      <w:r>
        <w:rPr>
          <w:rFonts w:hint="eastAsia" w:ascii="Times New Roman" w:hAnsi="Times New Roman" w:eastAsia="方正仿宋简体" w:cs="Times New Roman"/>
          <w:color w:val="000000" w:themeColor="text1"/>
          <w:kern w:val="0"/>
          <w:sz w:val="32"/>
          <w:szCs w:val="32"/>
          <w14:textFill>
            <w14:solidFill>
              <w14:schemeClr w14:val="tx1"/>
            </w14:solidFill>
          </w14:textFill>
        </w:rPr>
        <w:t>。</w:t>
      </w:r>
    </w:p>
    <w:p>
      <w:pPr>
        <w:spacing w:line="579" w:lineRule="exact"/>
        <w:ind w:firstLine="640" w:firstLineChars="200"/>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eastAsia="方正仿宋简体"/>
          <w:color w:val="000000"/>
          <w:sz w:val="32"/>
          <w:szCs w:val="32"/>
        </w:rPr>
        <w:t>三</w:t>
      </w:r>
      <w:r>
        <w:rPr>
          <w:rFonts w:eastAsia="方正仿宋简体"/>
          <w:color w:val="000000"/>
          <w:sz w:val="32"/>
          <w:szCs w:val="32"/>
        </w:rPr>
        <w:t>、项目环保投资须纳入工程投资概算并予以落实。</w:t>
      </w:r>
    </w:p>
    <w:p>
      <w:pPr>
        <w:spacing w:line="579" w:lineRule="exact"/>
        <w:ind w:firstLine="640" w:firstLineChars="200"/>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四</w:t>
      </w:r>
      <w:r>
        <w:rPr>
          <w:rFonts w:ascii="Times New Roman" w:hAnsi="Times New Roman" w:eastAsia="方正仿宋简体" w:cs="Times New Roman"/>
          <w:color w:val="000000" w:themeColor="text1"/>
          <w:kern w:val="0"/>
          <w:sz w:val="32"/>
          <w:szCs w:val="32"/>
          <w14:textFill>
            <w14:solidFill>
              <w14:schemeClr w14:val="tx1"/>
            </w14:solidFill>
          </w14:textFill>
        </w:rPr>
        <w:t xml:space="preserve">、《报告表》经批准后，建设项目的性质、规模、地点、采用的生产工艺或者防治污染、防止生态破坏的措施发生重大变动的，建设单位应当重新报批建设项目的环境影响评价文件。      </w:t>
      </w:r>
    </w:p>
    <w:p>
      <w:pPr>
        <w:spacing w:line="579" w:lineRule="exact"/>
        <w:ind w:firstLine="640" w:firstLineChars="200"/>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五</w:t>
      </w:r>
      <w:r>
        <w:rPr>
          <w:rFonts w:ascii="Times New Roman" w:hAnsi="Times New Roman" w:eastAsia="方正仿宋简体" w:cs="Times New Roman"/>
          <w:color w:val="000000" w:themeColor="text1"/>
          <w:kern w:val="0"/>
          <w:sz w:val="32"/>
          <w:szCs w:val="32"/>
          <w14:textFill>
            <w14:solidFill>
              <w14:schemeClr w14:val="tx1"/>
            </w14:solidFill>
          </w14:textFill>
        </w:rPr>
        <w:t>、项目建设应严格执行配套建设的环境保护设施与主体工程同时设计、同时施工、同时投产使用的环境保护“三同时”制度。</w:t>
      </w:r>
    </w:p>
    <w:p>
      <w:pPr>
        <w:spacing w:line="579" w:lineRule="exact"/>
        <w:ind w:firstLine="64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六</w:t>
      </w:r>
      <w:r>
        <w:rPr>
          <w:rFonts w:ascii="Times New Roman" w:hAnsi="Times New Roman" w:eastAsia="方正仿宋简体" w:cs="Times New Roman"/>
          <w:color w:val="000000" w:themeColor="text1"/>
          <w:kern w:val="0"/>
          <w:sz w:val="32"/>
          <w:szCs w:val="32"/>
          <w14:textFill>
            <w14:solidFill>
              <w14:schemeClr w14:val="tx1"/>
            </w14:solidFill>
          </w14:textFill>
        </w:rPr>
        <w:t>、</w:t>
      </w:r>
      <w:r>
        <w:rPr>
          <w:rFonts w:ascii="Times New Roman" w:hAnsi="Times New Roman" w:eastAsia="方正仿宋简体" w:cs="Times New Roman"/>
          <w:color w:val="000000" w:themeColor="text1"/>
          <w:sz w:val="30"/>
          <w:szCs w:val="30"/>
          <w14:textFill>
            <w14:solidFill>
              <w14:schemeClr w14:val="tx1"/>
            </w14:solidFill>
          </w14:textFill>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spacing w:line="579" w:lineRule="exact"/>
        <w:ind w:firstLine="640" w:firstLineChars="200"/>
        <w:rPr>
          <w:rFonts w:hint="eastAsia"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七、</w:t>
      </w:r>
      <w:r>
        <w:rPr>
          <w:rFonts w:ascii="Times New Roman" w:hAnsi="Times New Roman" w:eastAsia="方正仿宋简体" w:cs="Times New Roman"/>
          <w:color w:val="000000" w:themeColor="text1"/>
          <w:kern w:val="0"/>
          <w:sz w:val="32"/>
          <w:szCs w:val="32"/>
          <w14:textFill>
            <w14:solidFill>
              <w14:schemeClr w14:val="tx1"/>
            </w14:solidFill>
          </w14:textFill>
        </w:rPr>
        <w:t>建设单位应在收到本批复后10个工作日内，将批准后的报告</w:t>
      </w:r>
      <w:r>
        <w:rPr>
          <w:rFonts w:hint="eastAsia" w:ascii="Times New Roman" w:hAnsi="Times New Roman" w:eastAsia="方正仿宋简体" w:cs="Times New Roman"/>
          <w:color w:val="000000" w:themeColor="text1"/>
          <w:kern w:val="0"/>
          <w:sz w:val="32"/>
          <w:szCs w:val="32"/>
          <w14:textFill>
            <w14:solidFill>
              <w14:schemeClr w14:val="tx1"/>
            </w14:solidFill>
          </w14:textFill>
        </w:rPr>
        <w:t>表</w:t>
      </w:r>
      <w:r>
        <w:rPr>
          <w:rFonts w:ascii="Times New Roman" w:hAnsi="Times New Roman" w:eastAsia="方正仿宋简体" w:cs="Times New Roman"/>
          <w:color w:val="000000" w:themeColor="text1"/>
          <w:kern w:val="0"/>
          <w:sz w:val="32"/>
          <w:szCs w:val="32"/>
          <w14:textFill>
            <w14:solidFill>
              <w14:schemeClr w14:val="tx1"/>
            </w14:solidFill>
          </w14:textFill>
        </w:rPr>
        <w:t>送阳江市生态环境局高新分局，按规定接受生态环境部门日常监督管理。</w:t>
      </w:r>
    </w:p>
    <w:p>
      <w:pPr>
        <w:pStyle w:val="2"/>
        <w:rPr>
          <w:rFonts w:hint="eastAsia"/>
        </w:rPr>
      </w:pPr>
    </w:p>
    <w:p>
      <w:pPr>
        <w:pStyle w:val="2"/>
        <w:rPr>
          <w:rFonts w:hint="eastAsia"/>
        </w:rPr>
      </w:pPr>
    </w:p>
    <w:p>
      <w:pPr>
        <w:spacing w:line="579" w:lineRule="exact"/>
        <w:ind w:firstLine="5120" w:firstLineChars="1600"/>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阳江市生态环境局</w:t>
      </w:r>
    </w:p>
    <w:p>
      <w:pPr>
        <w:spacing w:line="579" w:lineRule="exact"/>
        <w:ind w:firstLine="5120" w:firstLineChars="1600"/>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color w:val="000000" w:themeColor="text1"/>
          <w:kern w:val="0"/>
          <w:sz w:val="32"/>
          <w:szCs w:val="32"/>
          <w14:textFill>
            <w14:solidFill>
              <w14:schemeClr w14:val="tx1"/>
            </w14:solidFill>
          </w14:textFill>
        </w:rPr>
        <w:t>3</w:t>
      </w:r>
      <w:r>
        <w:rPr>
          <w:rFonts w:ascii="Times New Roman" w:hAnsi="Times New Roman" w:eastAsia="方正仿宋简体" w:cs="Times New Roman"/>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5</w:t>
      </w:r>
      <w:r>
        <w:rPr>
          <w:rFonts w:ascii="Times New Roman" w:hAnsi="Times New Roman" w:eastAsia="方正仿宋简体" w:cs="Times New Roman"/>
          <w:color w:val="000000" w:themeColor="text1"/>
          <w:kern w:val="0"/>
          <w:sz w:val="32"/>
          <w:szCs w:val="32"/>
          <w14:textFill>
            <w14:solidFill>
              <w14:schemeClr w14:val="tx1"/>
            </w14:solidFill>
          </w14:textFill>
        </w:rPr>
        <w:t>月</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29</w:t>
      </w:r>
      <w:r>
        <w:rPr>
          <w:rFonts w:ascii="Times New Roman" w:hAnsi="Times New Roman" w:eastAsia="方正仿宋简体" w:cs="Times New Roman"/>
          <w:color w:val="000000" w:themeColor="text1"/>
          <w:kern w:val="0"/>
          <w:sz w:val="32"/>
          <w:szCs w:val="32"/>
          <w14:textFill>
            <w14:solidFill>
              <w14:schemeClr w14:val="tx1"/>
            </w14:solidFill>
          </w14:textFill>
        </w:rPr>
        <w:t>日</w:t>
      </w:r>
    </w:p>
    <w:p>
      <w:pPr>
        <w:spacing w:line="579" w:lineRule="exact"/>
        <w:ind w:firstLine="640" w:firstLineChars="200"/>
        <w:rPr>
          <w:rFonts w:ascii="Times New Roman" w:hAnsi="Times New Roman" w:eastAsia="方正仿宋简体" w:cs="Times New Roman"/>
          <w:color w:val="0000FF"/>
          <w:kern w:val="0"/>
          <w:sz w:val="32"/>
          <w:szCs w:val="32"/>
        </w:rPr>
      </w:pPr>
    </w:p>
    <w:p>
      <w:pPr>
        <w:pStyle w:val="2"/>
        <w:spacing w:line="579" w:lineRule="exact"/>
        <w:ind w:firstLine="640"/>
        <w:rPr>
          <w:rFonts w:ascii="Times New Roman" w:hAnsi="Times New Roman" w:eastAsia="方正仿宋简体" w:cs="Times New Roman"/>
          <w:color w:val="0000FF"/>
          <w:kern w:val="0"/>
          <w:sz w:val="32"/>
          <w:szCs w:val="32"/>
        </w:rPr>
      </w:pPr>
    </w:p>
    <w:p>
      <w:pPr>
        <w:spacing w:line="579" w:lineRule="exact"/>
        <w:rPr>
          <w:rFonts w:ascii="Times New Roman" w:hAnsi="Times New Roman" w:eastAsia="方正仿宋简体" w:cs="Times New Roman"/>
          <w:color w:val="000000" w:themeColor="text1"/>
          <w:kern w:val="0"/>
          <w:sz w:val="32"/>
          <w:szCs w:val="32"/>
          <w14:textFill>
            <w14:solidFill>
              <w14:schemeClr w14:val="tx1"/>
            </w14:solidFill>
          </w14:textFill>
        </w:rPr>
      </w:pPr>
    </w:p>
    <w:p>
      <w:pPr>
        <w:spacing w:line="579" w:lineRule="exact"/>
        <w:rPr>
          <w:rFonts w:ascii="Times New Roman" w:hAnsi="Times New Roman" w:eastAsia="方正仿宋简体" w:cs="Times New Roman"/>
          <w:color w:val="000000" w:themeColor="text1"/>
          <w:kern w:val="0"/>
          <w:sz w:val="32"/>
          <w:szCs w:val="32"/>
          <w14:textFill>
            <w14:solidFill>
              <w14:schemeClr w14:val="tx1"/>
            </w14:solidFill>
          </w14:textFill>
        </w:rPr>
      </w:pPr>
    </w:p>
    <w:p>
      <w:pPr>
        <w:spacing w:line="579" w:lineRule="exact"/>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ind w:left="0" w:leftChars="0" w:firstLine="0" w:firstLineChars="0"/>
      </w:pPr>
    </w:p>
    <w:p>
      <w:pPr>
        <w:spacing w:line="579" w:lineRule="exact"/>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rPr>
          <w:rFonts w:ascii="Times New Roman" w:hAnsi="Times New Roman" w:eastAsia="方正仿宋简体" w:cs="Times New Roman"/>
          <w:color w:val="000000" w:themeColor="text1"/>
          <w:kern w:val="0"/>
          <w:sz w:val="32"/>
          <w:szCs w:val="32"/>
          <w14:textFill>
            <w14:solidFill>
              <w14:schemeClr w14:val="tx1"/>
            </w14:solidFill>
          </w14:textFill>
        </w:rPr>
      </w:pPr>
    </w:p>
    <w:p>
      <w:pPr>
        <w:spacing w:line="579" w:lineRule="exact"/>
        <w:rPr>
          <w:rFonts w:ascii="Times New Roman" w:hAnsi="Times New Roman" w:eastAsia="方正仿宋简体" w:cs="Times New Roman"/>
          <w:color w:val="000000" w:themeColor="text1"/>
          <w:kern w:val="0"/>
          <w:sz w:val="32"/>
          <w:szCs w:val="32"/>
          <w14:textFill>
            <w14:solidFill>
              <w14:schemeClr w14:val="tx1"/>
            </w14:solidFill>
          </w14:textFill>
        </w:rPr>
      </w:pPr>
      <w:bookmarkStart w:id="1" w:name="_GoBack"/>
      <w:bookmarkEnd w:id="1"/>
      <w:r>
        <w:rPr>
          <w:rFonts w:ascii="Times New Roman" w:hAnsi="Times New Roman" w:eastAsia="方正仿宋简体" w:cs="Times New Roman"/>
          <w:color w:val="000000" w:themeColor="text1"/>
          <w:kern w:val="0"/>
          <w:sz w:val="32"/>
          <w:szCs w:val="32"/>
          <w14:textFill>
            <w14:solidFill>
              <w14:schemeClr w14:val="tx1"/>
            </w14:solidFill>
          </w14:textFill>
        </w:rPr>
        <w:t>抄送：阳江市生态环境局</w:t>
      </w:r>
      <w:r>
        <w:rPr>
          <w:rFonts w:hint="eastAsia" w:ascii="Times New Roman" w:hAnsi="Times New Roman" w:eastAsia="方正仿宋简体" w:cs="Times New Roman"/>
          <w:color w:val="000000" w:themeColor="text1"/>
          <w:kern w:val="0"/>
          <w:sz w:val="32"/>
          <w:szCs w:val="32"/>
          <w14:textFill>
            <w14:solidFill>
              <w14:schemeClr w14:val="tx1"/>
            </w14:solidFill>
          </w14:textFill>
        </w:rPr>
        <w:t>高新</w:t>
      </w:r>
      <w:r>
        <w:rPr>
          <w:rFonts w:ascii="Times New Roman" w:hAnsi="Times New Roman" w:eastAsia="方正仿宋简体" w:cs="Times New Roman"/>
          <w:color w:val="000000" w:themeColor="text1"/>
          <w:kern w:val="0"/>
          <w:sz w:val="32"/>
          <w:szCs w:val="32"/>
          <w14:textFill>
            <w14:solidFill>
              <w14:schemeClr w14:val="tx1"/>
            </w14:solidFill>
          </w14:textFill>
        </w:rPr>
        <w:t>分局。</w:t>
      </w:r>
    </w:p>
    <w:sectPr>
      <w:footerReference r:id="rId5" w:type="first"/>
      <w:footerReference r:id="rId3" w:type="default"/>
      <w:footerReference r:id="rId4" w:type="even"/>
      <w:pgSz w:w="11906" w:h="16838"/>
      <w:pgMar w:top="2098" w:right="1474" w:bottom="124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Sim Sun+ 2">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sdt>
                          <w:sdtPr>
                            <w:id w:val="26051933"/>
                          </w:sdtPr>
                          <w:sdtEndPr>
                            <w:rPr>
                              <w:rFonts w:asciiTheme="majorEastAsia" w:hAnsiTheme="majorEastAsia" w:eastAsiaTheme="majorEastAsia"/>
                              <w:sz w:val="28"/>
                              <w:szCs w:val="28"/>
                            </w:rPr>
                          </w:sdtEndPr>
                          <w:sdtContent>
                            <w:p>
                              <w:pPr>
                                <w:pStyle w:val="16"/>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3"/>
                          </w:pPr>
                        </w:p>
                      </w:txbxContent>
                    </wps:txbx>
                    <wps:bodyPr wrap="none" lIns="0" tIns="0" rIns="0" bIns="0" upright="true">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ZH2927cBAABfAwAADgAAAAAAAAABACAAAAA0AQAAZHJzL2Uy&#10;b0RvYy54bWxQSwUGAAAAAAYABgBZAQAAXQU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16"/>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6"/>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6"/>
                          </w:pPr>
                        </w:p>
                      </w:txbxContent>
                    </wps:txbx>
                    <wps:bodyPr wrap="none" lIns="0" tIns="0" rIns="0" bIns="0" upright="true">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5EXVKLcBAABfAwAADgAAAAAAAAABACAAAAA0AQAAZHJzL2Uy&#10;b0RvYy54bWxQSwUGAAAAAAYABgBZAQAAXQUAAAAA&#10;">
              <v:fill on="f" focussize="0,0"/>
              <v:stroke on="f"/>
              <v:imagedata o:title=""/>
              <o:lock v:ext="edit" aspectratio="f"/>
              <v:textbox inset="0mm,0mm,0mm,0mm" style="mso-fit-shape-to-text:t;">
                <w:txbxContent>
                  <w:p>
                    <w:pPr>
                      <w:pStyle w:val="1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6"/>
                          </w:pP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yQUNtgEAAF8DAAAOAAAAAAAAAAEAIAAAADQBAABkcnMvZTJv&#10;RG9jLnhtbFBLBQYAAAAABgAGAFkBAABcBQAAAAA=&#10;">
              <v:fill on="f" focussize="0,0"/>
              <v:stroke on="f"/>
              <v:imagedata o:title=""/>
              <o:lock v:ext="edit" aspectratio="f"/>
              <v:textbox inset="0mm,0mm,0mm,0mm" style="mso-fit-shape-to-text:t;">
                <w:txbxContent>
                  <w:p>
                    <w:pPr>
                      <w:pStyle w:val="1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GFmZjIyYjc4YTU0YjRmNTUxZDI4YWE4NDA5M2MifQ=="/>
  </w:docVars>
  <w:rsids>
    <w:rsidRoot w:val="43A26A92"/>
    <w:rsid w:val="0000102D"/>
    <w:rsid w:val="000109DA"/>
    <w:rsid w:val="00065919"/>
    <w:rsid w:val="0007312B"/>
    <w:rsid w:val="00073A83"/>
    <w:rsid w:val="000949AC"/>
    <w:rsid w:val="000A3E8B"/>
    <w:rsid w:val="000D124A"/>
    <w:rsid w:val="000D7588"/>
    <w:rsid w:val="0014325A"/>
    <w:rsid w:val="00155521"/>
    <w:rsid w:val="001566D5"/>
    <w:rsid w:val="001607DB"/>
    <w:rsid w:val="00167420"/>
    <w:rsid w:val="001A6874"/>
    <w:rsid w:val="001E2222"/>
    <w:rsid w:val="001E5C81"/>
    <w:rsid w:val="001F7371"/>
    <w:rsid w:val="00226E2F"/>
    <w:rsid w:val="00245024"/>
    <w:rsid w:val="002601BD"/>
    <w:rsid w:val="002712BE"/>
    <w:rsid w:val="002720C9"/>
    <w:rsid w:val="0027623F"/>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C7100"/>
    <w:rsid w:val="003D3081"/>
    <w:rsid w:val="003E04C4"/>
    <w:rsid w:val="003E069C"/>
    <w:rsid w:val="003E0C1A"/>
    <w:rsid w:val="003E6014"/>
    <w:rsid w:val="00420D8D"/>
    <w:rsid w:val="0042799A"/>
    <w:rsid w:val="00450ED3"/>
    <w:rsid w:val="00461781"/>
    <w:rsid w:val="00462238"/>
    <w:rsid w:val="00481595"/>
    <w:rsid w:val="0048573A"/>
    <w:rsid w:val="00492850"/>
    <w:rsid w:val="004A0AD0"/>
    <w:rsid w:val="004B06C2"/>
    <w:rsid w:val="004E7106"/>
    <w:rsid w:val="004F6B06"/>
    <w:rsid w:val="00510A16"/>
    <w:rsid w:val="005414AD"/>
    <w:rsid w:val="00561AD8"/>
    <w:rsid w:val="005638A7"/>
    <w:rsid w:val="005732DC"/>
    <w:rsid w:val="00580C46"/>
    <w:rsid w:val="00587E0C"/>
    <w:rsid w:val="00590123"/>
    <w:rsid w:val="005B56CC"/>
    <w:rsid w:val="005B7281"/>
    <w:rsid w:val="005D7F56"/>
    <w:rsid w:val="0060075D"/>
    <w:rsid w:val="006072C1"/>
    <w:rsid w:val="0061136B"/>
    <w:rsid w:val="00623F37"/>
    <w:rsid w:val="00655CFA"/>
    <w:rsid w:val="00680B51"/>
    <w:rsid w:val="006B29CA"/>
    <w:rsid w:val="006E0307"/>
    <w:rsid w:val="006E228C"/>
    <w:rsid w:val="006E6EB3"/>
    <w:rsid w:val="006F5BCD"/>
    <w:rsid w:val="00705CB0"/>
    <w:rsid w:val="007238C7"/>
    <w:rsid w:val="007333E2"/>
    <w:rsid w:val="007543B6"/>
    <w:rsid w:val="00782A0E"/>
    <w:rsid w:val="007A0622"/>
    <w:rsid w:val="007A5234"/>
    <w:rsid w:val="007B68ED"/>
    <w:rsid w:val="007C0213"/>
    <w:rsid w:val="007E1437"/>
    <w:rsid w:val="007E25E0"/>
    <w:rsid w:val="007F32D7"/>
    <w:rsid w:val="00803034"/>
    <w:rsid w:val="00823BFD"/>
    <w:rsid w:val="00837ECE"/>
    <w:rsid w:val="00841C4D"/>
    <w:rsid w:val="00863344"/>
    <w:rsid w:val="00864C62"/>
    <w:rsid w:val="00865FF8"/>
    <w:rsid w:val="008666CC"/>
    <w:rsid w:val="00867EA8"/>
    <w:rsid w:val="00872D71"/>
    <w:rsid w:val="008A1DC1"/>
    <w:rsid w:val="008B2D19"/>
    <w:rsid w:val="008D4628"/>
    <w:rsid w:val="008F5FDA"/>
    <w:rsid w:val="00903378"/>
    <w:rsid w:val="00907BC8"/>
    <w:rsid w:val="00910AC1"/>
    <w:rsid w:val="00934C98"/>
    <w:rsid w:val="00982CAE"/>
    <w:rsid w:val="00997986"/>
    <w:rsid w:val="009A0A97"/>
    <w:rsid w:val="009B2328"/>
    <w:rsid w:val="009C22D2"/>
    <w:rsid w:val="009C3500"/>
    <w:rsid w:val="009D7DD6"/>
    <w:rsid w:val="009F5270"/>
    <w:rsid w:val="009F7AAB"/>
    <w:rsid w:val="00A108AC"/>
    <w:rsid w:val="00A2559E"/>
    <w:rsid w:val="00A36735"/>
    <w:rsid w:val="00A54D44"/>
    <w:rsid w:val="00A62869"/>
    <w:rsid w:val="00A926EE"/>
    <w:rsid w:val="00AB0B8C"/>
    <w:rsid w:val="00AB144D"/>
    <w:rsid w:val="00AD5324"/>
    <w:rsid w:val="00AE0572"/>
    <w:rsid w:val="00AE41CC"/>
    <w:rsid w:val="00AE7BB2"/>
    <w:rsid w:val="00AF1B38"/>
    <w:rsid w:val="00B019DB"/>
    <w:rsid w:val="00B07E6B"/>
    <w:rsid w:val="00B14711"/>
    <w:rsid w:val="00B44691"/>
    <w:rsid w:val="00B53B84"/>
    <w:rsid w:val="00B54034"/>
    <w:rsid w:val="00B74735"/>
    <w:rsid w:val="00B921DC"/>
    <w:rsid w:val="00B97FE2"/>
    <w:rsid w:val="00BA173F"/>
    <w:rsid w:val="00BC4169"/>
    <w:rsid w:val="00C36C3A"/>
    <w:rsid w:val="00C476DF"/>
    <w:rsid w:val="00C65A68"/>
    <w:rsid w:val="00C95521"/>
    <w:rsid w:val="00CA4BE8"/>
    <w:rsid w:val="00CB4DF5"/>
    <w:rsid w:val="00CC14A9"/>
    <w:rsid w:val="00CD2F3C"/>
    <w:rsid w:val="00CD7DCB"/>
    <w:rsid w:val="00CE42DA"/>
    <w:rsid w:val="00CE5B10"/>
    <w:rsid w:val="00CE63DC"/>
    <w:rsid w:val="00CF19FF"/>
    <w:rsid w:val="00CF59C4"/>
    <w:rsid w:val="00D11F6B"/>
    <w:rsid w:val="00D13CE1"/>
    <w:rsid w:val="00D20BD3"/>
    <w:rsid w:val="00D407E2"/>
    <w:rsid w:val="00D4461C"/>
    <w:rsid w:val="00D44AD5"/>
    <w:rsid w:val="00D4780C"/>
    <w:rsid w:val="00D47E45"/>
    <w:rsid w:val="00D53CF2"/>
    <w:rsid w:val="00D630AF"/>
    <w:rsid w:val="00D6554B"/>
    <w:rsid w:val="00D74654"/>
    <w:rsid w:val="00D817EF"/>
    <w:rsid w:val="00D94BAF"/>
    <w:rsid w:val="00DB3E98"/>
    <w:rsid w:val="00DB74E0"/>
    <w:rsid w:val="00DC4424"/>
    <w:rsid w:val="00DF3C0D"/>
    <w:rsid w:val="00E05D39"/>
    <w:rsid w:val="00E25502"/>
    <w:rsid w:val="00E25E6F"/>
    <w:rsid w:val="00E644EF"/>
    <w:rsid w:val="00E77D39"/>
    <w:rsid w:val="00EA6C31"/>
    <w:rsid w:val="00EA700A"/>
    <w:rsid w:val="00EB5848"/>
    <w:rsid w:val="00EC1492"/>
    <w:rsid w:val="00F115BC"/>
    <w:rsid w:val="00F1284C"/>
    <w:rsid w:val="00F22C36"/>
    <w:rsid w:val="00F55D6A"/>
    <w:rsid w:val="00F6096D"/>
    <w:rsid w:val="00F613A2"/>
    <w:rsid w:val="00F66854"/>
    <w:rsid w:val="00F87BC0"/>
    <w:rsid w:val="00F908CA"/>
    <w:rsid w:val="00F93BE0"/>
    <w:rsid w:val="00F9790C"/>
    <w:rsid w:val="00FD5D3F"/>
    <w:rsid w:val="00FD666A"/>
    <w:rsid w:val="00FD66F5"/>
    <w:rsid w:val="00FE6690"/>
    <w:rsid w:val="01413E0F"/>
    <w:rsid w:val="05947559"/>
    <w:rsid w:val="072D3874"/>
    <w:rsid w:val="07AA27D6"/>
    <w:rsid w:val="07BC3A65"/>
    <w:rsid w:val="08967E31"/>
    <w:rsid w:val="09DE3120"/>
    <w:rsid w:val="0A0F7418"/>
    <w:rsid w:val="0D825EFC"/>
    <w:rsid w:val="103B1F41"/>
    <w:rsid w:val="10C37270"/>
    <w:rsid w:val="13622EB2"/>
    <w:rsid w:val="13641B09"/>
    <w:rsid w:val="13C518D7"/>
    <w:rsid w:val="141C08FF"/>
    <w:rsid w:val="145C357B"/>
    <w:rsid w:val="14C51CA3"/>
    <w:rsid w:val="14DA64DB"/>
    <w:rsid w:val="164276E1"/>
    <w:rsid w:val="16F86C03"/>
    <w:rsid w:val="170C2068"/>
    <w:rsid w:val="1E186A03"/>
    <w:rsid w:val="1FE077CB"/>
    <w:rsid w:val="207F0B6A"/>
    <w:rsid w:val="20D30FE3"/>
    <w:rsid w:val="229C67AF"/>
    <w:rsid w:val="22A178E7"/>
    <w:rsid w:val="25141CBF"/>
    <w:rsid w:val="252855CF"/>
    <w:rsid w:val="26D928B1"/>
    <w:rsid w:val="279022D8"/>
    <w:rsid w:val="27B80D36"/>
    <w:rsid w:val="28484D8D"/>
    <w:rsid w:val="2905783E"/>
    <w:rsid w:val="29935211"/>
    <w:rsid w:val="2AB738EC"/>
    <w:rsid w:val="2C2D4B4C"/>
    <w:rsid w:val="2C7233A5"/>
    <w:rsid w:val="2CB658C8"/>
    <w:rsid w:val="2D08419D"/>
    <w:rsid w:val="2E8156F7"/>
    <w:rsid w:val="30B53485"/>
    <w:rsid w:val="30FF76D4"/>
    <w:rsid w:val="31A379C1"/>
    <w:rsid w:val="321C44B2"/>
    <w:rsid w:val="34415FA8"/>
    <w:rsid w:val="3477079F"/>
    <w:rsid w:val="37822BC7"/>
    <w:rsid w:val="37C155FF"/>
    <w:rsid w:val="382C0BEA"/>
    <w:rsid w:val="395204CC"/>
    <w:rsid w:val="3A882B7D"/>
    <w:rsid w:val="3E51062B"/>
    <w:rsid w:val="3EFF6DC6"/>
    <w:rsid w:val="40711F8C"/>
    <w:rsid w:val="40E02C96"/>
    <w:rsid w:val="41EF7C13"/>
    <w:rsid w:val="42CC1276"/>
    <w:rsid w:val="43A26A92"/>
    <w:rsid w:val="4426638B"/>
    <w:rsid w:val="443C2EF0"/>
    <w:rsid w:val="44EB6D8F"/>
    <w:rsid w:val="450A2ABF"/>
    <w:rsid w:val="45EF1CA5"/>
    <w:rsid w:val="46FD5912"/>
    <w:rsid w:val="47BE1B71"/>
    <w:rsid w:val="47C561D1"/>
    <w:rsid w:val="48274830"/>
    <w:rsid w:val="4A364331"/>
    <w:rsid w:val="4B2862B0"/>
    <w:rsid w:val="4B6C36B3"/>
    <w:rsid w:val="4B9276CE"/>
    <w:rsid w:val="4C5D0897"/>
    <w:rsid w:val="4DAF3147"/>
    <w:rsid w:val="4FBA15A5"/>
    <w:rsid w:val="50E7508F"/>
    <w:rsid w:val="51FF0C27"/>
    <w:rsid w:val="53A71FE3"/>
    <w:rsid w:val="54304E91"/>
    <w:rsid w:val="54EC2D48"/>
    <w:rsid w:val="56391DD0"/>
    <w:rsid w:val="5C307E40"/>
    <w:rsid w:val="5DC77092"/>
    <w:rsid w:val="5E7F1920"/>
    <w:rsid w:val="5E8C5827"/>
    <w:rsid w:val="5F8923A9"/>
    <w:rsid w:val="626D4AFB"/>
    <w:rsid w:val="63252171"/>
    <w:rsid w:val="661946C2"/>
    <w:rsid w:val="661C0410"/>
    <w:rsid w:val="662C6A50"/>
    <w:rsid w:val="6A6A3602"/>
    <w:rsid w:val="6FAC7A4C"/>
    <w:rsid w:val="70D647FB"/>
    <w:rsid w:val="72B04D29"/>
    <w:rsid w:val="733D1A44"/>
    <w:rsid w:val="739A282A"/>
    <w:rsid w:val="76C33E61"/>
    <w:rsid w:val="784137A1"/>
    <w:rsid w:val="7888185D"/>
    <w:rsid w:val="7AAF0D8E"/>
    <w:rsid w:val="7AD50F1F"/>
    <w:rsid w:val="7DD78261"/>
    <w:rsid w:val="BBFF05C9"/>
    <w:rsid w:val="D1F2A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 正文"/>
    <w:basedOn w:val="1"/>
    <w:qFormat/>
    <w:uiPriority w:val="0"/>
    <w:pPr>
      <w:ind w:firstLine="560" w:firstLineChars="200"/>
    </w:pPr>
    <w:rPr>
      <w:sz w:val="28"/>
    </w:rPr>
  </w:style>
  <w:style w:type="paragraph" w:styleId="3">
    <w:name w:val="E-mail Signature"/>
    <w:basedOn w:val="1"/>
    <w:next w:val="4"/>
    <w:unhideWhenUsed/>
    <w:qFormat/>
    <w:uiPriority w:val="99"/>
    <w:pPr>
      <w:spacing w:line="460" w:lineRule="exact"/>
      <w:ind w:firstLine="200"/>
    </w:pPr>
  </w:style>
  <w:style w:type="paragraph" w:customStyle="1" w:styleId="4">
    <w:name w:val="文章"/>
    <w:next w:val="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5">
    <w:name w:val="List"/>
    <w:basedOn w:val="1"/>
    <w:next w:val="6"/>
    <w:unhideWhenUsed/>
    <w:qFormat/>
    <w:uiPriority w:val="99"/>
    <w:pPr>
      <w:ind w:left="200" w:hanging="200" w:hangingChars="200"/>
    </w:p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8">
    <w:name w:val="正文缩进1"/>
    <w:basedOn w:val="1"/>
    <w:next w:val="9"/>
    <w:qFormat/>
    <w:uiPriority w:val="0"/>
    <w:pPr>
      <w:ind w:firstLine="420"/>
    </w:pPr>
    <w:rPr>
      <w:rFonts w:ascii="宋体"/>
      <w:sz w:val="28"/>
    </w:rPr>
  </w:style>
  <w:style w:type="paragraph" w:customStyle="1" w:styleId="9">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0">
    <w:name w:val="Body Text"/>
    <w:basedOn w:val="1"/>
    <w:qFormat/>
    <w:uiPriority w:val="0"/>
    <w:pPr>
      <w:spacing w:line="580" w:lineRule="exact"/>
      <w:jc w:val="center"/>
    </w:pPr>
    <w:rPr>
      <w:rFonts w:eastAsia="黑体"/>
      <w:sz w:val="44"/>
    </w:rPr>
  </w:style>
  <w:style w:type="paragraph" w:styleId="11">
    <w:name w:val="Body Text Indent"/>
    <w:basedOn w:val="1"/>
    <w:qFormat/>
    <w:uiPriority w:val="0"/>
    <w:pPr>
      <w:ind w:firstLine="420" w:firstLineChars="200"/>
    </w:pPr>
  </w:style>
  <w:style w:type="paragraph" w:styleId="12">
    <w:name w:val="Plain Text"/>
    <w:basedOn w:val="1"/>
    <w:next w:val="1"/>
    <w:qFormat/>
    <w:uiPriority w:val="0"/>
    <w:rPr>
      <w:rFonts w:hint="eastAsia" w:ascii="宋体" w:hAnsi="Courier New"/>
    </w:rPr>
  </w:style>
  <w:style w:type="paragraph" w:styleId="13">
    <w:name w:val="Date"/>
    <w:basedOn w:val="1"/>
    <w:next w:val="1"/>
    <w:link w:val="36"/>
    <w:qFormat/>
    <w:uiPriority w:val="0"/>
    <w:pPr>
      <w:ind w:left="100" w:leftChars="2500"/>
    </w:pPr>
  </w:style>
  <w:style w:type="paragraph" w:styleId="14">
    <w:name w:val="Body Text Indent 2"/>
    <w:basedOn w:val="1"/>
    <w:link w:val="45"/>
    <w:qFormat/>
    <w:uiPriority w:val="0"/>
    <w:pPr>
      <w:spacing w:after="120" w:line="480" w:lineRule="auto"/>
      <w:ind w:left="420" w:leftChars="200"/>
    </w:pPr>
  </w:style>
  <w:style w:type="paragraph" w:styleId="15">
    <w:name w:val="Balloon Text"/>
    <w:basedOn w:val="1"/>
    <w:link w:val="29"/>
    <w:qFormat/>
    <w:uiPriority w:val="0"/>
    <w:rPr>
      <w:sz w:val="18"/>
      <w:szCs w:val="18"/>
    </w:rPr>
  </w:style>
  <w:style w:type="paragraph" w:styleId="16">
    <w:name w:val="footer"/>
    <w:basedOn w:val="1"/>
    <w:link w:val="27"/>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able of figures"/>
    <w:basedOn w:val="1"/>
    <w:next w:val="1"/>
    <w:qFormat/>
    <w:uiPriority w:val="0"/>
    <w:pPr>
      <w:ind w:left="200" w:leftChars="200" w:hanging="200" w:hangingChars="200"/>
    </w:pPr>
  </w:style>
  <w:style w:type="paragraph" w:styleId="19">
    <w:name w:val="toc 2"/>
    <w:basedOn w:val="1"/>
    <w:next w:val="3"/>
    <w:unhideWhenUsed/>
    <w:qFormat/>
    <w:uiPriority w:val="39"/>
    <w:pPr>
      <w:ind w:left="420" w:left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24"/>
    <w:next w:val="25"/>
    <w:qFormat/>
    <w:uiPriority w:val="0"/>
    <w:pPr>
      <w:autoSpaceDE w:val="0"/>
      <w:autoSpaceDN w:val="0"/>
    </w:pPr>
    <w:rPr>
      <w:rFonts w:ascii="Sim Sun+ 2" w:eastAsia="Sim Sun+ 2" w:cs="Sim Sun+ 2"/>
      <w:color w:val="000000"/>
      <w:sz w:val="24"/>
    </w:rPr>
  </w:style>
  <w:style w:type="paragraph" w:customStyle="1" w:styleId="24">
    <w:name w:val="纯文本1"/>
    <w:basedOn w:val="1"/>
    <w:qFormat/>
    <w:uiPriority w:val="0"/>
    <w:pPr>
      <w:adjustRightInd w:val="0"/>
    </w:pPr>
    <w:rPr>
      <w:rFonts w:ascii="宋体" w:hAnsi="Courier New"/>
    </w:rPr>
  </w:style>
  <w:style w:type="paragraph" w:customStyle="1" w:styleId="25">
    <w:name w:val="样式35"/>
    <w:basedOn w:val="1"/>
    <w:next w:val="26"/>
    <w:qFormat/>
    <w:uiPriority w:val="0"/>
    <w:pPr>
      <w:adjustRightInd w:val="0"/>
      <w:spacing w:line="312" w:lineRule="auto"/>
      <w:ind w:firstLine="567"/>
    </w:pPr>
    <w:rPr>
      <w:kern w:val="0"/>
      <w:sz w:val="28"/>
      <w:szCs w:val="20"/>
    </w:rPr>
  </w:style>
  <w:style w:type="paragraph" w:customStyle="1" w:styleId="26">
    <w:name w:val="font6"/>
    <w:next w:val="19"/>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7">
    <w:name w:val="页脚 Char"/>
    <w:basedOn w:val="22"/>
    <w:link w:val="16"/>
    <w:qFormat/>
    <w:uiPriority w:val="99"/>
    <w:rPr>
      <w:rFonts w:asciiTheme="minorHAnsi" w:hAnsiTheme="minorHAnsi" w:eastAsiaTheme="minorEastAsia" w:cstheme="minorBidi"/>
      <w:kern w:val="2"/>
      <w:sz w:val="18"/>
      <w:szCs w:val="24"/>
    </w:rPr>
  </w:style>
  <w:style w:type="paragraph" w:customStyle="1" w:styleId="28">
    <w:name w:val="p0"/>
    <w:basedOn w:val="1"/>
    <w:qFormat/>
    <w:uiPriority w:val="0"/>
    <w:pPr>
      <w:widowControl/>
    </w:pPr>
    <w:rPr>
      <w:kern w:val="0"/>
      <w:szCs w:val="21"/>
    </w:rPr>
  </w:style>
  <w:style w:type="character" w:customStyle="1" w:styleId="29">
    <w:name w:val="批注框文本 Char"/>
    <w:basedOn w:val="22"/>
    <w:link w:val="15"/>
    <w:qFormat/>
    <w:uiPriority w:val="0"/>
    <w:rPr>
      <w:rFonts w:asciiTheme="minorHAnsi" w:hAnsiTheme="minorHAnsi" w:eastAsiaTheme="minorEastAsia" w:cstheme="minorBidi"/>
      <w:kern w:val="2"/>
      <w:sz w:val="18"/>
      <w:szCs w:val="18"/>
    </w:rPr>
  </w:style>
  <w:style w:type="paragraph" w:customStyle="1" w:styleId="30">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1">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2">
    <w:name w:val="正文... Char"/>
    <w:link w:val="33"/>
    <w:qFormat/>
    <w:uiPriority w:val="0"/>
  </w:style>
  <w:style w:type="paragraph" w:customStyle="1" w:styleId="33">
    <w:name w:val="正文..."/>
    <w:basedOn w:val="1"/>
    <w:link w:val="32"/>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4">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5">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6">
    <w:name w:val="日期 Char"/>
    <w:basedOn w:val="22"/>
    <w:link w:val="13"/>
    <w:qFormat/>
    <w:uiPriority w:val="0"/>
    <w:rPr>
      <w:rFonts w:asciiTheme="minorHAnsi" w:hAnsiTheme="minorHAnsi" w:eastAsiaTheme="minorEastAsia" w:cstheme="minorBidi"/>
      <w:kern w:val="2"/>
      <w:sz w:val="21"/>
      <w:szCs w:val="24"/>
    </w:rPr>
  </w:style>
  <w:style w:type="paragraph" w:styleId="37">
    <w:name w:val="List Paragraph"/>
    <w:basedOn w:val="1"/>
    <w:unhideWhenUsed/>
    <w:qFormat/>
    <w:uiPriority w:val="99"/>
    <w:pPr>
      <w:ind w:firstLine="420" w:firstLineChars="200"/>
    </w:pPr>
  </w:style>
  <w:style w:type="paragraph" w:customStyle="1" w:styleId="38">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9">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正文·"/>
    <w:basedOn w:val="1"/>
    <w:qFormat/>
    <w:uiPriority w:val="0"/>
    <w:pPr>
      <w:spacing w:line="360" w:lineRule="auto"/>
      <w:ind w:firstLine="480"/>
    </w:pPr>
    <w:rPr>
      <w:rFonts w:ascii="Times New Roman" w:hAnsi="Times New Roman" w:eastAsia="宋体"/>
      <w:sz w:val="24"/>
    </w:rPr>
  </w:style>
  <w:style w:type="paragraph" w:customStyle="1" w:styleId="41">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7"/>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5">
    <w:name w:val="正文文本缩进 2 Char"/>
    <w:basedOn w:val="22"/>
    <w:link w:val="14"/>
    <w:qFormat/>
    <w:uiPriority w:val="0"/>
    <w:rPr>
      <w:rFonts w:asciiTheme="minorHAnsi" w:hAnsiTheme="minorHAnsi" w:eastAsiaTheme="minorEastAsia" w:cstheme="minorBidi"/>
      <w:kern w:val="2"/>
      <w:sz w:val="21"/>
      <w:szCs w:val="24"/>
    </w:rPr>
  </w:style>
  <w:style w:type="paragraph" w:customStyle="1" w:styleId="46">
    <w:name w:val="BJ-正文"/>
    <w:basedOn w:val="1"/>
    <w:link w:val="47"/>
    <w:qFormat/>
    <w:uiPriority w:val="0"/>
    <w:pPr>
      <w:widowControl/>
      <w:ind w:firstLine="600"/>
      <w:jc w:val="left"/>
    </w:pPr>
    <w:rPr>
      <w:rFonts w:ascii="Times New Roman" w:hAnsi="Times New Roman" w:eastAsia="宋体" w:cs="Times New Roman"/>
      <w:kern w:val="0"/>
      <w:sz w:val="24"/>
    </w:rPr>
  </w:style>
  <w:style w:type="character" w:customStyle="1" w:styleId="47">
    <w:name w:val="BJ-正文 Char"/>
    <w:link w:val="46"/>
    <w:qFormat/>
    <w:uiPriority w:val="0"/>
    <w:rPr>
      <w:sz w:val="24"/>
      <w:szCs w:val="24"/>
    </w:rPr>
  </w:style>
  <w:style w:type="paragraph" w:customStyle="1" w:styleId="48">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9">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0">
    <w:name w:val="Char10"/>
    <w:basedOn w:val="1"/>
    <w:qFormat/>
    <w:uiPriority w:val="0"/>
    <w:pPr>
      <w:tabs>
        <w:tab w:val="left" w:pos="840"/>
        <w:tab w:val="left" w:pos="1695"/>
      </w:tabs>
      <w:ind w:left="840" w:hanging="99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274</Words>
  <Characters>1568</Characters>
  <Lines>13</Lines>
  <Paragraphs>3</Paragraphs>
  <TotalTime>16</TotalTime>
  <ScaleCrop>false</ScaleCrop>
  <LinksUpToDate>false</LinksUpToDate>
  <CharactersWithSpaces>1839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2023-04-07T02:23:00Z</dcterms:created>
  <dc:creator>Administrator</dc:creator>
  <cp:lastModifiedBy>uos</cp:lastModifiedBy>
  <cp:lastPrinted>2023-05-30T10:02:00Z</cp:lastPrinted>
  <dcterms:modified xsi:type="dcterms:W3CDTF">2023-05-30T11:17:15Z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9D3B4A006FCD4ABF9F1C540277FE8BC3</vt:lpwstr>
  </property>
</Properties>
</file>