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宋体" w:eastAsia="黑体" w:cs="仿宋_GB2312"/>
          <w:bCs/>
          <w:sz w:val="32"/>
          <w:szCs w:val="32"/>
        </w:rPr>
      </w:pPr>
      <w:r>
        <w:rPr>
          <w:rFonts w:hint="eastAsia" w:ascii="黑体" w:hAnsi="宋体" w:eastAsia="黑体" w:cs="仿宋_GB2312"/>
          <w:bCs/>
          <w:sz w:val="32"/>
          <w:szCs w:val="32"/>
        </w:rPr>
        <w:t>附件</w:t>
      </w:r>
    </w:p>
    <w:p>
      <w:pPr>
        <w:snapToGrid w:val="0"/>
        <w:rPr>
          <w:rFonts w:hint="eastAsia" w:ascii="黑体" w:hAnsi="宋体" w:eastAsia="黑体" w:cs="仿宋_GB2312"/>
          <w:bCs/>
          <w:sz w:val="32"/>
          <w:szCs w:val="32"/>
        </w:rPr>
      </w:pPr>
    </w:p>
    <w:tbl>
      <w:tblPr>
        <w:tblStyle w:val="5"/>
        <w:tblW w:w="53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6"/>
        <w:gridCol w:w="3663"/>
        <w:gridCol w:w="3431"/>
        <w:gridCol w:w="4061"/>
        <w:gridCol w:w="1216"/>
        <w:gridCol w:w="1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000" w:type="pct"/>
            <w:gridSpan w:val="6"/>
            <w:tcBorders>
              <w:top w:val="nil"/>
              <w:left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bookmarkStart w:id="0" w:name="_GoBack"/>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2022年阳江市市级科技计划项目立项安排计划</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89" w:type="pct"/>
            <w:vMerge w:val="restar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方正仿宋简体" w:cs="Times New Roman"/>
                <w:b/>
                <w:bCs/>
                <w:i w:val="0"/>
                <w:iCs w:val="0"/>
                <w:color w:val="000000"/>
                <w:kern w:val="0"/>
                <w:sz w:val="28"/>
                <w:szCs w:val="28"/>
                <w:u w:val="none"/>
                <w:lang w:val="en-US" w:eastAsia="zh-CN" w:bidi="ar"/>
              </w:rPr>
            </w:pPr>
            <w:r>
              <w:rPr>
                <w:rFonts w:hint="eastAsia" w:ascii="Times New Roman" w:hAnsi="Times New Roman" w:eastAsia="方正仿宋简体" w:cs="Times New Roman"/>
                <w:b/>
                <w:bCs/>
                <w:i w:val="0"/>
                <w:iCs w:val="0"/>
                <w:color w:val="000000"/>
                <w:kern w:val="0"/>
                <w:sz w:val="28"/>
                <w:szCs w:val="28"/>
                <w:u w:val="none"/>
                <w:lang w:val="en-US" w:eastAsia="zh-CN" w:bidi="ar"/>
              </w:rPr>
              <w:t>项目</w:t>
            </w: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lang w:val="en-US"/>
              </w:rPr>
            </w:pPr>
            <w:r>
              <w:rPr>
                <w:rFonts w:hint="eastAsia" w:ascii="Times New Roman" w:hAnsi="Times New Roman" w:eastAsia="方正仿宋简体" w:cs="Times New Roman"/>
                <w:b/>
                <w:bCs/>
                <w:i w:val="0"/>
                <w:iCs w:val="0"/>
                <w:color w:val="000000"/>
                <w:kern w:val="0"/>
                <w:sz w:val="28"/>
                <w:szCs w:val="28"/>
                <w:u w:val="none"/>
                <w:lang w:val="en-US" w:eastAsia="zh-CN" w:bidi="ar"/>
              </w:rPr>
              <w:t>编号</w:t>
            </w:r>
          </w:p>
        </w:tc>
        <w:tc>
          <w:tcPr>
            <w:tcW w:w="1217"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项目名称</w:t>
            </w:r>
          </w:p>
        </w:tc>
        <w:tc>
          <w:tcPr>
            <w:tcW w:w="1140"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申报单位</w:t>
            </w:r>
          </w:p>
        </w:tc>
        <w:tc>
          <w:tcPr>
            <w:tcW w:w="1349"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参与单位</w:t>
            </w:r>
          </w:p>
        </w:tc>
        <w:tc>
          <w:tcPr>
            <w:tcW w:w="402"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项目负责人</w:t>
            </w:r>
          </w:p>
        </w:tc>
        <w:tc>
          <w:tcPr>
            <w:tcW w:w="499"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下达资金</w:t>
            </w:r>
            <w:r>
              <w:rPr>
                <w:rFonts w:hint="default" w:ascii="Times New Roman" w:hAnsi="Times New Roman" w:eastAsia="方正仿宋简体" w:cs="Times New Roman"/>
                <w:b/>
                <w:bCs/>
                <w:i w:val="0"/>
                <w:iCs w:val="0"/>
                <w:color w:val="000000"/>
                <w:kern w:val="0"/>
                <w:sz w:val="28"/>
                <w:szCs w:val="28"/>
                <w:u w:val="none"/>
                <w:lang w:val="en-US" w:eastAsia="zh-CN" w:bidi="ar"/>
              </w:rPr>
              <w:br w:type="textWrapping"/>
            </w:r>
            <w:r>
              <w:rPr>
                <w:rFonts w:hint="default" w:ascii="Times New Roman" w:hAnsi="Times New Roman" w:eastAsia="方正仿宋简体" w:cs="Times New Roman"/>
                <w:b/>
                <w:bCs/>
                <w:i w:val="0"/>
                <w:iCs w:val="0"/>
                <w:color w:val="000000"/>
                <w:kern w:val="0"/>
                <w:sz w:val="28"/>
                <w:szCs w:val="28"/>
                <w:u w:val="none"/>
                <w:lang w:val="en-US" w:eastAsia="zh-CN" w:bidi="ar"/>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89" w:type="pct"/>
            <w:vMerge w:val="continue"/>
            <w:tcBorders>
              <w:tl2br w:val="nil"/>
              <w:tr2bl w:val="nil"/>
            </w:tcBorders>
            <w:noWrap w:val="0"/>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1217" w:type="pct"/>
            <w:vMerge w:val="continue"/>
            <w:tcBorders>
              <w:tl2br w:val="nil"/>
              <w:tr2bl w:val="nil"/>
            </w:tcBorders>
            <w:noWrap w:val="0"/>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1140" w:type="pct"/>
            <w:vMerge w:val="continue"/>
            <w:tcBorders>
              <w:tl2br w:val="nil"/>
              <w:tr2bl w:val="nil"/>
            </w:tcBorders>
            <w:noWrap w:val="0"/>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1349" w:type="pct"/>
            <w:vMerge w:val="continue"/>
            <w:tcBorders>
              <w:tl2br w:val="nil"/>
              <w:tr2bl w:val="nil"/>
            </w:tcBorders>
            <w:noWrap w:val="0"/>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402" w:type="pct"/>
            <w:vMerge w:val="continue"/>
            <w:tcBorders>
              <w:tl2br w:val="nil"/>
              <w:tr2bl w:val="nil"/>
            </w:tcBorders>
            <w:noWrap w:val="0"/>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499" w:type="pct"/>
            <w:vMerge w:val="continue"/>
            <w:tcBorders>
              <w:tl2br w:val="nil"/>
              <w:tr2bl w:val="nil"/>
            </w:tcBorders>
            <w:noWrap w:val="0"/>
            <w:vAlign w:val="center"/>
          </w:tcPr>
          <w:p>
            <w:pPr>
              <w:jc w:val="center"/>
              <w:rPr>
                <w:rFonts w:hint="default" w:ascii="Times New Roman" w:hAnsi="Times New Roman" w:eastAsia="方正仿宋简体" w:cs="Times New Roman"/>
                <w:b/>
                <w:bCs/>
                <w:i w:val="0"/>
                <w:iCs w:val="0"/>
                <w:color w:val="000000"/>
                <w:sz w:val="28"/>
                <w:szCs w:val="2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5000" w:type="pct"/>
            <w:gridSpan w:val="6"/>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专题一：海上风电产业技术领域风险战略咨询项目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5"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202200</w:t>
            </w:r>
            <w:r>
              <w:rPr>
                <w:rFonts w:hint="default" w:ascii="Times New Roman" w:hAnsi="Times New Roman" w:eastAsia="方正仿宋简体" w:cs="Times New Roman"/>
                <w:i w:val="0"/>
                <w:iCs w:val="0"/>
                <w:color w:val="000000"/>
                <w:kern w:val="0"/>
                <w:sz w:val="28"/>
                <w:szCs w:val="28"/>
                <w:u w:val="none"/>
                <w:lang w:val="en-US" w:eastAsia="zh-CN" w:bidi="ar"/>
              </w:rPr>
              <w:t>1</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海上风电产业技术安全风险战略咨询</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阳江海上风电实验室</w:t>
            </w:r>
          </w:p>
        </w:tc>
        <w:tc>
          <w:tcPr>
            <w:tcW w:w="1349" w:type="pct"/>
            <w:tcBorders>
              <w:tl2br w:val="nil"/>
              <w:tr2bl w:val="nil"/>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中节能（阳江）风力发电有限公司、广东粤电阳江海上风电有限公司、广东华电福新阳江海上风电有限公司、中广核阳江海上风力发电有限公司、广东明阳新能源科技有限公司、广东金风科技有限公司、中国水电四局（阳江）海工装备有限公司、广东粤水电新能源装备有限公司、广东东方海缆有限公司、广东鉴衡海上风电检测认证中心有限公司、阳江市气象公共服务中心。</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朱嵘华</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5000" w:type="pct"/>
            <w:gridSpan w:val="6"/>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专题二：社会发展领域适用技术项目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202200</w:t>
            </w:r>
            <w:r>
              <w:rPr>
                <w:rFonts w:hint="default" w:ascii="Times New Roman" w:hAnsi="Times New Roman" w:eastAsia="方正仿宋简体" w:cs="Times New Roman"/>
                <w:i w:val="0"/>
                <w:iCs w:val="0"/>
                <w:color w:val="000000"/>
                <w:kern w:val="0"/>
                <w:sz w:val="28"/>
                <w:szCs w:val="28"/>
                <w:u w:val="none"/>
                <w:lang w:val="en-US" w:eastAsia="zh-CN" w:bidi="ar"/>
              </w:rPr>
              <w:t>2</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食物中毒样品中钩吻碱的检测技术研究</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阳江市检测检验中心</w:t>
            </w:r>
          </w:p>
        </w:tc>
        <w:tc>
          <w:tcPr>
            <w:tcW w:w="134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许小婵</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202200</w:t>
            </w:r>
            <w:r>
              <w:rPr>
                <w:rFonts w:hint="default" w:ascii="Times New Roman" w:hAnsi="Times New Roman" w:eastAsia="方正仿宋简体" w:cs="Times New Roman"/>
                <w:i w:val="0"/>
                <w:iCs w:val="0"/>
                <w:color w:val="000000"/>
                <w:kern w:val="0"/>
                <w:sz w:val="28"/>
                <w:szCs w:val="28"/>
                <w:u w:val="none"/>
                <w:lang w:val="en-US" w:eastAsia="zh-CN" w:bidi="ar"/>
              </w:rPr>
              <w:t>3</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刀具锋利度及耐用度检测仪校准方法的研究</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广东省阳江市质量计量监督检测所</w:t>
            </w:r>
          </w:p>
        </w:tc>
        <w:tc>
          <w:tcPr>
            <w:tcW w:w="134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叶卓珺</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202200</w:t>
            </w:r>
            <w:r>
              <w:rPr>
                <w:rFonts w:hint="default" w:ascii="Times New Roman" w:hAnsi="Times New Roman" w:eastAsia="方正仿宋简体" w:cs="Times New Roman"/>
                <w:i w:val="0"/>
                <w:iCs w:val="0"/>
                <w:color w:val="000000"/>
                <w:kern w:val="0"/>
                <w:sz w:val="28"/>
                <w:szCs w:val="28"/>
                <w:u w:val="none"/>
                <w:lang w:val="en-US" w:eastAsia="zh-CN" w:bidi="ar"/>
              </w:rPr>
              <w:t>4</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不锈钢刀剪耐腐蚀性结果的定量评价研究</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广东省阳江市质量计量监督检测所</w:t>
            </w:r>
          </w:p>
        </w:tc>
        <w:tc>
          <w:tcPr>
            <w:tcW w:w="134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陈家欣</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202200</w:t>
            </w:r>
            <w:r>
              <w:rPr>
                <w:rFonts w:hint="default" w:ascii="Times New Roman" w:hAnsi="Times New Roman" w:eastAsia="方正仿宋简体" w:cs="Times New Roman"/>
                <w:i w:val="0"/>
                <w:iCs w:val="0"/>
                <w:color w:val="000000"/>
                <w:kern w:val="0"/>
                <w:sz w:val="28"/>
                <w:szCs w:val="28"/>
                <w:u w:val="none"/>
                <w:lang w:val="en-US" w:eastAsia="zh-CN" w:bidi="ar"/>
              </w:rPr>
              <w:t>5</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阳江市化妆品质量安全检验技术研究</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阳江市检测检验中心</w:t>
            </w:r>
          </w:p>
        </w:tc>
        <w:tc>
          <w:tcPr>
            <w:tcW w:w="134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黄文峰</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202200</w:t>
            </w:r>
            <w:r>
              <w:rPr>
                <w:rFonts w:hint="default" w:ascii="Times New Roman" w:hAnsi="Times New Roman" w:eastAsia="方正仿宋简体" w:cs="Times New Roman"/>
                <w:i w:val="0"/>
                <w:iCs w:val="0"/>
                <w:color w:val="000000"/>
                <w:kern w:val="0"/>
                <w:sz w:val="28"/>
                <w:szCs w:val="28"/>
                <w:u w:val="none"/>
                <w:lang w:val="en-US" w:eastAsia="zh-CN" w:bidi="ar"/>
              </w:rPr>
              <w:t>6</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单基因在肾癌中的生物信息学及免疫预后相关性分析</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阳江市人民医院</w:t>
            </w:r>
          </w:p>
        </w:tc>
        <w:tc>
          <w:tcPr>
            <w:tcW w:w="134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何京伟</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2"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202200</w:t>
            </w:r>
            <w:r>
              <w:rPr>
                <w:rFonts w:hint="default" w:ascii="Times New Roman" w:hAnsi="Times New Roman" w:eastAsia="方正仿宋简体" w:cs="Times New Roman"/>
                <w:i w:val="0"/>
                <w:iCs w:val="0"/>
                <w:color w:val="000000"/>
                <w:kern w:val="0"/>
                <w:sz w:val="28"/>
                <w:szCs w:val="28"/>
                <w:u w:val="none"/>
                <w:lang w:val="en-US" w:eastAsia="zh-CN" w:bidi="ar"/>
              </w:rPr>
              <w:t>7</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EGFR-TKIs类药物治疗NSCLC不良反应的药学监护路径探讨</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阳江市人民医院</w:t>
            </w:r>
          </w:p>
        </w:tc>
        <w:tc>
          <w:tcPr>
            <w:tcW w:w="134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阳江市食品药品检验所</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苏丽</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202200</w:t>
            </w:r>
            <w:r>
              <w:rPr>
                <w:rFonts w:hint="default" w:ascii="Times New Roman" w:hAnsi="Times New Roman" w:eastAsia="方正仿宋简体" w:cs="Times New Roman"/>
                <w:i w:val="0"/>
                <w:iCs w:val="0"/>
                <w:color w:val="000000"/>
                <w:kern w:val="0"/>
                <w:sz w:val="28"/>
                <w:szCs w:val="28"/>
                <w:u w:val="none"/>
                <w:lang w:val="en-US" w:eastAsia="zh-CN" w:bidi="ar"/>
              </w:rPr>
              <w:t>8</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氯沙坦预防脑外伤导致癫痫发作的有效性和安全性的前瞻性临床研究</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阳江市人民医院</w:t>
            </w:r>
          </w:p>
        </w:tc>
        <w:tc>
          <w:tcPr>
            <w:tcW w:w="134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阳江市食品药品检验所</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冯丽萍</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5000" w:type="pct"/>
            <w:gridSpan w:val="6"/>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专题四：现代农业新技术研究与示范项目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202200</w:t>
            </w:r>
            <w:r>
              <w:rPr>
                <w:rFonts w:hint="default" w:ascii="Times New Roman" w:hAnsi="Times New Roman" w:eastAsia="方正仿宋简体" w:cs="Times New Roman"/>
                <w:i w:val="0"/>
                <w:iCs w:val="0"/>
                <w:color w:val="000000"/>
                <w:kern w:val="0"/>
                <w:sz w:val="28"/>
                <w:szCs w:val="28"/>
                <w:u w:val="none"/>
                <w:lang w:val="en-US" w:eastAsia="zh-CN" w:bidi="ar"/>
              </w:rPr>
              <w:t>9</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优质抗病丝苗型水稻品种绿色高效栽培示范</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阳江市农业科学研究所</w:t>
            </w:r>
          </w:p>
        </w:tc>
        <w:tc>
          <w:tcPr>
            <w:tcW w:w="40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eastAsia"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黄显良</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w:t>
            </w:r>
            <w:r>
              <w:rPr>
                <w:rFonts w:hint="default" w:ascii="Times New Roman" w:hAnsi="Times New Roman" w:eastAsia="方正仿宋简体" w:cs="Times New Roman"/>
                <w:i w:val="0"/>
                <w:iCs w:val="0"/>
                <w:color w:val="000000"/>
                <w:kern w:val="0"/>
                <w:sz w:val="28"/>
                <w:szCs w:val="28"/>
                <w:u w:val="none"/>
                <w:lang w:val="en-US" w:eastAsia="zh-CN" w:bidi="ar"/>
              </w:rPr>
              <w:t>10</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大型海塘中牡蛎亲本育肥和性腺促熟技术研究与应用</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广东海珠子蚝业有限公司</w:t>
            </w:r>
          </w:p>
        </w:tc>
        <w:tc>
          <w:tcPr>
            <w:tcW w:w="40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eastAsia" w:ascii="Times New Roman" w:hAnsi="Times New Roman" w:eastAsia="方正仿宋简体" w:cs="Times New Roman"/>
                <w:i w:val="0"/>
                <w:iCs w:val="0"/>
                <w:color w:val="000000"/>
                <w:kern w:val="0"/>
                <w:sz w:val="28"/>
                <w:szCs w:val="28"/>
                <w:u w:val="none"/>
                <w:lang w:val="en-US" w:eastAsia="zh-CN" w:bidi="ar"/>
              </w:rPr>
              <w:t>华南农业大学</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余祥勇</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w:t>
            </w:r>
            <w:r>
              <w:rPr>
                <w:rFonts w:hint="default" w:ascii="Times New Roman" w:hAnsi="Times New Roman" w:eastAsia="方正仿宋简体" w:cs="Times New Roman"/>
                <w:i w:val="0"/>
                <w:iCs w:val="0"/>
                <w:color w:val="000000"/>
                <w:kern w:val="0"/>
                <w:sz w:val="28"/>
                <w:szCs w:val="28"/>
                <w:u w:val="none"/>
                <w:lang w:val="en-US" w:eastAsia="zh-CN" w:bidi="ar"/>
              </w:rPr>
              <w:t>11</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黄鳍棘鲷优良品种培育与养殖示范</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阳西县梁氏水产养殖有限公司</w:t>
            </w:r>
          </w:p>
        </w:tc>
        <w:tc>
          <w:tcPr>
            <w:tcW w:w="40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eastAsia" w:ascii="Times New Roman" w:hAnsi="Times New Roman" w:eastAsia="方正仿宋简体" w:cs="Times New Roman"/>
                <w:i w:val="0"/>
                <w:iCs w:val="0"/>
                <w:color w:val="000000"/>
                <w:kern w:val="0"/>
                <w:sz w:val="28"/>
                <w:szCs w:val="28"/>
                <w:u w:val="none"/>
                <w:lang w:val="en-US" w:eastAsia="zh-CN" w:bidi="ar"/>
              </w:rPr>
              <w:t>广东海洋大学</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陈华谱</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w:t>
            </w:r>
            <w:r>
              <w:rPr>
                <w:rFonts w:hint="default" w:ascii="Times New Roman" w:hAnsi="Times New Roman" w:eastAsia="方正仿宋简体" w:cs="Times New Roman"/>
                <w:i w:val="0"/>
                <w:iCs w:val="0"/>
                <w:color w:val="000000"/>
                <w:kern w:val="0"/>
                <w:sz w:val="28"/>
                <w:szCs w:val="28"/>
                <w:u w:val="none"/>
                <w:lang w:val="en-US" w:eastAsia="zh-CN" w:bidi="ar"/>
              </w:rPr>
              <w:t>12</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广藿香生态种植技术研究与示范推广</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阳西县新农庄种养专业合作社</w:t>
            </w:r>
          </w:p>
        </w:tc>
        <w:tc>
          <w:tcPr>
            <w:tcW w:w="40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eastAsia" w:ascii="Times New Roman" w:hAnsi="Times New Roman" w:eastAsia="方正仿宋简体" w:cs="Times New Roman"/>
                <w:i w:val="0"/>
                <w:iCs w:val="0"/>
                <w:color w:val="000000"/>
                <w:kern w:val="0"/>
                <w:sz w:val="28"/>
                <w:szCs w:val="28"/>
                <w:u w:val="none"/>
                <w:lang w:val="en-US" w:eastAsia="zh-CN" w:bidi="ar"/>
              </w:rPr>
              <w:t>广东石油化工学院生物与食品工程学院</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徐海明</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5000" w:type="pct"/>
            <w:gridSpan w:val="6"/>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专题五：省级工程技术研究中心建设项目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w:t>
            </w:r>
            <w:r>
              <w:rPr>
                <w:rFonts w:hint="default" w:ascii="Times New Roman" w:hAnsi="Times New Roman" w:eastAsia="方正仿宋简体" w:cs="Times New Roman"/>
                <w:i w:val="0"/>
                <w:iCs w:val="0"/>
                <w:color w:val="000000"/>
                <w:kern w:val="0"/>
                <w:sz w:val="28"/>
                <w:szCs w:val="28"/>
                <w:u w:val="none"/>
                <w:lang w:val="en-US" w:eastAsia="zh-CN" w:bidi="ar"/>
              </w:rPr>
              <w:t>13</w:t>
            </w:r>
          </w:p>
        </w:tc>
        <w:tc>
          <w:tcPr>
            <w:tcW w:w="3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广东省海工装备（中水四局）工程技术研究中心</w:t>
            </w:r>
          </w:p>
        </w:tc>
        <w:tc>
          <w:tcPr>
            <w:tcW w:w="34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中国水电四局（阳江）海工装备有限公司</w:t>
            </w:r>
          </w:p>
        </w:tc>
        <w:tc>
          <w:tcPr>
            <w:tcW w:w="40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郭平俊（法人）</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w:t>
            </w:r>
            <w:r>
              <w:rPr>
                <w:rFonts w:hint="default" w:ascii="Times New Roman" w:hAnsi="Times New Roman" w:eastAsia="方正仿宋简体" w:cs="Times New Roman"/>
                <w:i w:val="0"/>
                <w:iCs w:val="0"/>
                <w:color w:val="000000"/>
                <w:kern w:val="0"/>
                <w:sz w:val="28"/>
                <w:szCs w:val="28"/>
                <w:u w:val="none"/>
                <w:lang w:val="en-US" w:eastAsia="zh-CN" w:bidi="ar"/>
              </w:rPr>
              <w:t>14</w:t>
            </w:r>
          </w:p>
        </w:tc>
        <w:tc>
          <w:tcPr>
            <w:tcW w:w="3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广东省大型智能空分自动化控制工程技术研究中心</w:t>
            </w:r>
          </w:p>
        </w:tc>
        <w:tc>
          <w:tcPr>
            <w:tcW w:w="34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广东广星气体有限公司</w:t>
            </w:r>
          </w:p>
        </w:tc>
        <w:tc>
          <w:tcPr>
            <w:tcW w:w="40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项文开（法人）</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w:t>
            </w:r>
            <w:r>
              <w:rPr>
                <w:rFonts w:hint="default" w:ascii="Times New Roman" w:hAnsi="Times New Roman" w:eastAsia="方正仿宋简体" w:cs="Times New Roman"/>
                <w:i w:val="0"/>
                <w:iCs w:val="0"/>
                <w:color w:val="000000"/>
                <w:kern w:val="0"/>
                <w:sz w:val="28"/>
                <w:szCs w:val="28"/>
                <w:u w:val="none"/>
                <w:lang w:val="en-US" w:eastAsia="zh-CN" w:bidi="ar"/>
              </w:rPr>
              <w:t>15</w:t>
            </w:r>
          </w:p>
        </w:tc>
        <w:tc>
          <w:tcPr>
            <w:tcW w:w="3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广东省兆瓦级海上风电装备（粤水电）工程技术研究中心</w:t>
            </w:r>
          </w:p>
        </w:tc>
        <w:tc>
          <w:tcPr>
            <w:tcW w:w="34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广东粤水电新能源装备有限公司</w:t>
            </w:r>
          </w:p>
        </w:tc>
        <w:tc>
          <w:tcPr>
            <w:tcW w:w="40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章鹏（法人）</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w:t>
            </w:r>
            <w:r>
              <w:rPr>
                <w:rFonts w:hint="default" w:ascii="Times New Roman" w:hAnsi="Times New Roman" w:eastAsia="方正仿宋简体" w:cs="Times New Roman"/>
                <w:i w:val="0"/>
                <w:iCs w:val="0"/>
                <w:color w:val="000000"/>
                <w:kern w:val="0"/>
                <w:sz w:val="28"/>
                <w:szCs w:val="28"/>
                <w:u w:val="none"/>
                <w:lang w:val="en-US" w:eastAsia="zh-CN" w:bidi="ar"/>
              </w:rPr>
              <w:t>16</w:t>
            </w:r>
          </w:p>
        </w:tc>
        <w:tc>
          <w:tcPr>
            <w:tcW w:w="3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广东省花生油绿色加工工程技术研究中心</w:t>
            </w:r>
          </w:p>
        </w:tc>
        <w:tc>
          <w:tcPr>
            <w:tcW w:w="34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广东漠阳花粮油有限公司</w:t>
            </w:r>
          </w:p>
        </w:tc>
        <w:tc>
          <w:tcPr>
            <w:tcW w:w="40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梁永庆（法人）</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w:t>
            </w:r>
            <w:r>
              <w:rPr>
                <w:rFonts w:hint="default" w:ascii="Times New Roman" w:hAnsi="Times New Roman" w:eastAsia="方正仿宋简体" w:cs="Times New Roman"/>
                <w:i w:val="0"/>
                <w:iCs w:val="0"/>
                <w:color w:val="000000"/>
                <w:kern w:val="0"/>
                <w:sz w:val="28"/>
                <w:szCs w:val="28"/>
                <w:u w:val="none"/>
                <w:lang w:val="en-US" w:eastAsia="zh-CN" w:bidi="ar"/>
              </w:rPr>
              <w:t>17</w:t>
            </w:r>
          </w:p>
        </w:tc>
        <w:tc>
          <w:tcPr>
            <w:tcW w:w="3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广东省食品香料美味源工程技术研究中心</w:t>
            </w:r>
          </w:p>
        </w:tc>
        <w:tc>
          <w:tcPr>
            <w:tcW w:w="34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广东美味源香料股份有限公司</w:t>
            </w:r>
          </w:p>
        </w:tc>
        <w:tc>
          <w:tcPr>
            <w:tcW w:w="40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陈志光（法人）</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w:t>
            </w:r>
            <w:r>
              <w:rPr>
                <w:rFonts w:hint="default" w:ascii="Times New Roman" w:hAnsi="Times New Roman" w:eastAsia="方正仿宋简体" w:cs="Times New Roman"/>
                <w:i w:val="0"/>
                <w:iCs w:val="0"/>
                <w:color w:val="000000"/>
                <w:kern w:val="0"/>
                <w:sz w:val="28"/>
                <w:szCs w:val="28"/>
                <w:u w:val="none"/>
                <w:lang w:val="en-US" w:eastAsia="zh-CN" w:bidi="ar"/>
              </w:rPr>
              <w:t>18</w:t>
            </w:r>
          </w:p>
        </w:tc>
        <w:tc>
          <w:tcPr>
            <w:tcW w:w="3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广东省南药提取及呼吸道制剂工程技术研究中心</w:t>
            </w:r>
          </w:p>
        </w:tc>
        <w:tc>
          <w:tcPr>
            <w:tcW w:w="34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广东一片天医药集团制药有限公司</w:t>
            </w:r>
          </w:p>
        </w:tc>
        <w:tc>
          <w:tcPr>
            <w:tcW w:w="406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陆锡傍（法人）</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5000" w:type="pct"/>
            <w:gridSpan w:val="6"/>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专题六：提升地市科技创新服务能力项目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w:t>
            </w:r>
            <w:r>
              <w:rPr>
                <w:rFonts w:hint="default" w:ascii="Times New Roman" w:hAnsi="Times New Roman" w:eastAsia="方正仿宋简体" w:cs="Times New Roman"/>
                <w:i w:val="0"/>
                <w:iCs w:val="0"/>
                <w:color w:val="000000"/>
                <w:kern w:val="0"/>
                <w:sz w:val="28"/>
                <w:szCs w:val="28"/>
                <w:u w:val="none"/>
                <w:lang w:val="en-US" w:eastAsia="zh-CN" w:bidi="ar"/>
              </w:rPr>
              <w:t>19</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依托市级综合性科技馆开展风电等清洁能源科普活动</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阳江市科技馆</w:t>
            </w:r>
          </w:p>
        </w:tc>
        <w:tc>
          <w:tcPr>
            <w:tcW w:w="134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陈达理</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000" w:type="pct"/>
            <w:gridSpan w:val="6"/>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专题七：众创空间和科技企业孵化器后补助项目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38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eastAsia" w:ascii="Times New Roman" w:hAnsi="Times New Roman" w:eastAsia="方正仿宋简体" w:cs="Times New Roman"/>
                <w:i w:val="0"/>
                <w:iCs w:val="0"/>
                <w:color w:val="000000"/>
                <w:kern w:val="0"/>
                <w:sz w:val="28"/>
                <w:szCs w:val="28"/>
                <w:u w:val="none"/>
                <w:lang w:val="en-US" w:eastAsia="zh-CN" w:bidi="ar"/>
              </w:rPr>
              <w:t>20220</w:t>
            </w:r>
            <w:r>
              <w:rPr>
                <w:rFonts w:hint="default" w:ascii="Times New Roman" w:hAnsi="Times New Roman" w:eastAsia="方正仿宋简体" w:cs="Times New Roman"/>
                <w:i w:val="0"/>
                <w:iCs w:val="0"/>
                <w:color w:val="000000"/>
                <w:kern w:val="0"/>
                <w:sz w:val="28"/>
                <w:szCs w:val="28"/>
                <w:u w:val="none"/>
                <w:lang w:val="en-US" w:eastAsia="zh-CN" w:bidi="ar"/>
              </w:rPr>
              <w:t>20</w:t>
            </w:r>
          </w:p>
        </w:tc>
        <w:tc>
          <w:tcPr>
            <w:tcW w:w="121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众创空间运营评价后补助</w:t>
            </w:r>
          </w:p>
        </w:tc>
        <w:tc>
          <w:tcPr>
            <w:tcW w:w="11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阳江市智库管理顾问有限公司</w:t>
            </w:r>
          </w:p>
        </w:tc>
        <w:tc>
          <w:tcPr>
            <w:tcW w:w="134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w:t>
            </w:r>
          </w:p>
        </w:tc>
        <w:tc>
          <w:tcPr>
            <w:tcW w:w="4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周媛媛</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4500" w:type="pct"/>
            <w:gridSpan w:val="5"/>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合计</w:t>
            </w:r>
          </w:p>
        </w:tc>
        <w:tc>
          <w:tcPr>
            <w:tcW w:w="49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179</w:t>
            </w:r>
          </w:p>
        </w:tc>
      </w:tr>
    </w:tbl>
    <w:p/>
    <w:sectPr>
      <w:pgSz w:w="16838" w:h="11906" w:orient="landscape"/>
      <w:pgMar w:top="1134" w:right="1440" w:bottom="1134"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Nzk3N2Q5OGJlYTg3ZTQ4NjhkODAzYmU2MWI1OWIifQ=="/>
  </w:docVars>
  <w:rsids>
    <w:rsidRoot w:val="29412A53"/>
    <w:rsid w:val="29412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Times New Roman" w:eastAsia="宋体"/>
    </w:rPr>
  </w:style>
  <w:style w:type="paragraph" w:customStyle="1" w:styleId="3">
    <w:name w:val="Body Text Indent1"/>
    <w:basedOn w:val="1"/>
    <w:qFormat/>
    <w:uiPriority w:val="0"/>
    <w:pPr>
      <w:spacing w:line="360" w:lineRule="auto"/>
      <w:ind w:firstLine="630"/>
    </w:pPr>
    <w:rPr>
      <w:rFonts w:hint="eastAsia" w:ascii="楷体_GB2312" w:eastAsia="楷体_GB2312"/>
      <w:color w:val="000000"/>
      <w:sz w:val="28"/>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2022-12-13T05:00:00Z</dcterms:created>
  <dc:creator>陈婉宁</dc:creator>
  <cp:lastModifiedBy>陈婉宁</cp:lastModifiedBy>
  <dcterms:modified xsi:type="dcterms:W3CDTF">2022-12-13T05:01:14Z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1ACCD48CBD534CFF962981C3F0DC8FAB</vt:lpwstr>
  </property>
</Properties>
</file>