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方正小标宋简体"/>
          <w:sz w:val="44"/>
        </w:rPr>
      </w:pPr>
    </w:p>
    <w:p>
      <w:pPr>
        <w:spacing w:line="556" w:lineRule="exact"/>
        <w:ind w:firstLine="880" w:firstLineChars="200"/>
        <w:rPr>
          <w:rFonts w:eastAsia="方正小标宋简体"/>
          <w:sz w:val="44"/>
        </w:rPr>
      </w:pPr>
    </w:p>
    <w:p>
      <w:pPr>
        <w:spacing w:line="556" w:lineRule="exact"/>
        <w:ind w:firstLine="880" w:firstLineChars="200"/>
        <w:rPr>
          <w:rFonts w:eastAsia="方正小标宋简体"/>
          <w:sz w:val="44"/>
        </w:rPr>
      </w:pPr>
    </w:p>
    <w:p>
      <w:pPr>
        <w:spacing w:line="579" w:lineRule="exact"/>
        <w:jc w:val="center"/>
        <w:rPr>
          <w:rFonts w:eastAsia="方正小标宋简体"/>
          <w:sz w:val="44"/>
        </w:rPr>
      </w:pPr>
      <w:r>
        <w:rPr>
          <w:rFonts w:eastAsia="方正小标宋简体"/>
          <w:sz w:val="44"/>
        </w:rPr>
        <w:t>行政处罚决定书</w:t>
      </w:r>
    </w:p>
    <w:p>
      <w:pPr>
        <w:spacing w:line="579" w:lineRule="exact"/>
        <w:jc w:val="center"/>
        <w:rPr>
          <w:rFonts w:eastAsia="方正仿宋简体"/>
          <w:sz w:val="32"/>
          <w:szCs w:val="32"/>
        </w:rPr>
      </w:pPr>
      <w:r>
        <w:rPr>
          <w:rFonts w:eastAsia="方正仿宋简体"/>
          <w:sz w:val="32"/>
          <w:szCs w:val="32"/>
        </w:rPr>
        <w:t>阳环江罚字〔20</w:t>
      </w:r>
      <w:r>
        <w:rPr>
          <w:rFonts w:hint="eastAsia" w:eastAsia="方正仿宋简体"/>
          <w:sz w:val="32"/>
          <w:szCs w:val="32"/>
        </w:rPr>
        <w:t>20</w:t>
      </w:r>
      <w:r>
        <w:rPr>
          <w:rFonts w:eastAsia="方正仿宋简体"/>
          <w:sz w:val="32"/>
          <w:szCs w:val="32"/>
        </w:rPr>
        <w:t>〕</w:t>
      </w:r>
      <w:r>
        <w:rPr>
          <w:rFonts w:hint="eastAsia" w:eastAsia="方正仿宋简体"/>
          <w:sz w:val="32"/>
          <w:szCs w:val="32"/>
        </w:rPr>
        <w:t>2</w:t>
      </w:r>
      <w:r>
        <w:rPr>
          <w:rFonts w:eastAsia="方正仿宋简体"/>
          <w:sz w:val="32"/>
          <w:szCs w:val="32"/>
        </w:rPr>
        <w:t>号</w:t>
      </w:r>
    </w:p>
    <w:p>
      <w:pPr>
        <w:spacing w:line="579" w:lineRule="exact"/>
        <w:ind w:firstLine="640" w:firstLineChars="200"/>
        <w:rPr>
          <w:rFonts w:eastAsia="方正仿宋简体"/>
          <w:sz w:val="32"/>
          <w:szCs w:val="32"/>
        </w:rPr>
      </w:pPr>
    </w:p>
    <w:p>
      <w:pPr>
        <w:keepNext w:val="0"/>
        <w:keepLines w:val="0"/>
        <w:pageBreakBefore w:val="0"/>
        <w:widowControl/>
        <w:kinsoku/>
        <w:overflowPunct/>
        <w:topLinePunct w:val="0"/>
        <w:bidi w:val="0"/>
        <w:snapToGrid/>
        <w:spacing w:line="560" w:lineRule="exact"/>
        <w:outlineLvl w:val="9"/>
        <w:rPr>
          <w:rFonts w:eastAsia="方正仿宋简体"/>
          <w:b/>
          <w:kern w:val="0"/>
          <w:sz w:val="32"/>
          <w:szCs w:val="32"/>
        </w:rPr>
      </w:pPr>
      <w:bookmarkStart w:id="0" w:name="_GoBack"/>
      <w:r>
        <w:rPr>
          <w:rFonts w:hint="eastAsia" w:eastAsia="方正仿宋简体"/>
          <w:b/>
          <w:kern w:val="0"/>
          <w:sz w:val="32"/>
          <w:szCs w:val="32"/>
        </w:rPr>
        <w:t>阳江市江城区金港五金工贸有限公司</w:t>
      </w:r>
      <w:r>
        <w:rPr>
          <w:rFonts w:eastAsia="方正仿宋简体"/>
          <w:b/>
          <w:kern w:val="0"/>
          <w:sz w:val="32"/>
          <w:szCs w:val="32"/>
        </w:rPr>
        <w:t>:</w:t>
      </w:r>
    </w:p>
    <w:p>
      <w:pPr>
        <w:keepNext w:val="0"/>
        <w:keepLines w:val="0"/>
        <w:pageBreakBefore w:val="0"/>
        <w:widowControl/>
        <w:kinsoku/>
        <w:overflowPunct/>
        <w:topLinePunct w:val="0"/>
        <w:bidi w:val="0"/>
        <w:snapToGrid/>
        <w:spacing w:line="560" w:lineRule="exact"/>
        <w:outlineLvl w:val="9"/>
        <w:rPr>
          <w:rFonts w:eastAsia="方正仿宋简体"/>
          <w:b/>
          <w:kern w:val="0"/>
          <w:sz w:val="32"/>
          <w:szCs w:val="32"/>
        </w:rPr>
      </w:pPr>
      <w:r>
        <w:rPr>
          <w:rFonts w:eastAsia="方正仿宋简体"/>
          <w:b/>
          <w:kern w:val="0"/>
          <w:sz w:val="32"/>
          <w:szCs w:val="32"/>
        </w:rPr>
        <w:t>统一社会信用代码：</w:t>
      </w:r>
      <w:r>
        <w:rPr>
          <w:rFonts w:hint="eastAsia" w:eastAsia="方正仿宋简体"/>
          <w:b/>
          <w:kern w:val="0"/>
          <w:sz w:val="32"/>
          <w:szCs w:val="32"/>
        </w:rPr>
        <w:t>91441702334901802F</w:t>
      </w:r>
    </w:p>
    <w:p>
      <w:pPr>
        <w:keepNext w:val="0"/>
        <w:keepLines w:val="0"/>
        <w:pageBreakBefore w:val="0"/>
        <w:widowControl/>
        <w:kinsoku/>
        <w:overflowPunct/>
        <w:topLinePunct w:val="0"/>
        <w:bidi w:val="0"/>
        <w:snapToGrid/>
        <w:spacing w:line="560" w:lineRule="exact"/>
        <w:outlineLvl w:val="9"/>
        <w:rPr>
          <w:rFonts w:eastAsia="方正仿宋简体"/>
          <w:b/>
          <w:kern w:val="0"/>
          <w:sz w:val="32"/>
          <w:szCs w:val="32"/>
        </w:rPr>
      </w:pPr>
      <w:r>
        <w:rPr>
          <w:rFonts w:hint="eastAsia" w:eastAsia="方正仿宋简体"/>
          <w:b/>
          <w:kern w:val="0"/>
          <w:sz w:val="32"/>
          <w:szCs w:val="32"/>
        </w:rPr>
        <w:t>住</w:t>
      </w:r>
      <w:r>
        <w:rPr>
          <w:rFonts w:eastAsia="方正仿宋简体"/>
          <w:b/>
          <w:kern w:val="0"/>
          <w:sz w:val="32"/>
          <w:szCs w:val="32"/>
        </w:rPr>
        <w:t>所：</w:t>
      </w:r>
      <w:r>
        <w:rPr>
          <w:rFonts w:hint="eastAsia" w:eastAsia="方正仿宋简体"/>
          <w:b/>
          <w:kern w:val="0"/>
          <w:sz w:val="32"/>
          <w:szCs w:val="32"/>
        </w:rPr>
        <w:t>阳江市江城区城西江闸公路龙湾工业区12号</w:t>
      </w:r>
    </w:p>
    <w:p>
      <w:pPr>
        <w:keepNext w:val="0"/>
        <w:keepLines w:val="0"/>
        <w:pageBreakBefore w:val="0"/>
        <w:widowControl/>
        <w:kinsoku/>
        <w:overflowPunct/>
        <w:topLinePunct w:val="0"/>
        <w:bidi w:val="0"/>
        <w:snapToGrid/>
        <w:spacing w:line="560" w:lineRule="exact"/>
        <w:outlineLvl w:val="9"/>
        <w:rPr>
          <w:rFonts w:eastAsia="方正仿宋简体"/>
          <w:b/>
          <w:kern w:val="0"/>
          <w:sz w:val="32"/>
          <w:szCs w:val="32"/>
        </w:rPr>
      </w:pPr>
      <w:r>
        <w:rPr>
          <w:rFonts w:hint="eastAsia" w:eastAsia="方正仿宋简体"/>
          <w:b/>
          <w:kern w:val="0"/>
          <w:sz w:val="32"/>
          <w:szCs w:val="32"/>
        </w:rPr>
        <w:t>法定代表人</w:t>
      </w:r>
      <w:r>
        <w:rPr>
          <w:rFonts w:eastAsia="方正仿宋简体"/>
          <w:b/>
          <w:kern w:val="0"/>
          <w:sz w:val="32"/>
          <w:szCs w:val="32"/>
        </w:rPr>
        <w:t>：</w:t>
      </w:r>
      <w:r>
        <w:rPr>
          <w:rFonts w:hint="eastAsia" w:eastAsia="方正仿宋简体"/>
          <w:b/>
          <w:kern w:val="0"/>
          <w:sz w:val="32"/>
          <w:szCs w:val="32"/>
        </w:rPr>
        <w:t>刘春笋</w:t>
      </w:r>
    </w:p>
    <w:p>
      <w:pPr>
        <w:keepNext w:val="0"/>
        <w:keepLines w:val="0"/>
        <w:pageBreakBefore w:val="0"/>
        <w:shd w:val="solid" w:color="FFFFFF" w:fill="auto"/>
        <w:kinsoku/>
        <w:overflowPunct/>
        <w:topLinePunct w:val="0"/>
        <w:autoSpaceDN w:val="0"/>
        <w:bidi w:val="0"/>
        <w:snapToGrid/>
        <w:spacing w:line="560" w:lineRule="exact"/>
        <w:ind w:firstLine="643" w:firstLineChars="200"/>
        <w:outlineLvl w:val="9"/>
        <w:rPr>
          <w:rFonts w:eastAsia="方正仿宋简体"/>
          <w:b/>
          <w:color w:val="000000"/>
          <w:kern w:val="0"/>
          <w:sz w:val="32"/>
          <w:szCs w:val="32"/>
        </w:rPr>
      </w:pPr>
      <w:r>
        <w:rPr>
          <w:rFonts w:eastAsia="黑体"/>
          <w:b/>
          <w:bCs/>
          <w:color w:val="000000"/>
          <w:sz w:val="32"/>
          <w:szCs w:val="32"/>
        </w:rPr>
        <w:t>一、调查情况及发现环境违法事实、证据和陈述申辩（听证）及采纳情况</w:t>
      </w:r>
    </w:p>
    <w:p>
      <w:pPr>
        <w:keepNext w:val="0"/>
        <w:keepLines w:val="0"/>
        <w:pageBreakBefore w:val="0"/>
        <w:widowControl/>
        <w:kinsoku/>
        <w:overflowPunct/>
        <w:topLinePunct w:val="0"/>
        <w:bidi w:val="0"/>
        <w:snapToGrid/>
        <w:spacing w:line="560" w:lineRule="exact"/>
        <w:ind w:firstLine="640" w:firstLineChars="200"/>
        <w:outlineLvl w:val="9"/>
        <w:rPr>
          <w:rFonts w:eastAsia="方正仿宋简体"/>
          <w:kern w:val="0"/>
          <w:sz w:val="32"/>
          <w:szCs w:val="32"/>
        </w:rPr>
      </w:pPr>
      <w:r>
        <w:rPr>
          <w:rFonts w:hint="eastAsia" w:eastAsia="方正仿宋简体"/>
          <w:kern w:val="0"/>
          <w:sz w:val="32"/>
          <w:szCs w:val="32"/>
        </w:rPr>
        <w:t>我局执法人员于2020年4月21日对位于阳江市江城区城西江闸公路龙湾工业区12号的阳江市江城区金港五金工贸有限公司（以下简称“你公司”）进行了现场检查：现场检查时你公司正常生产，你公司建设项目为金属制品加工制造（无电镀和喷漆工艺），环评类别应列为报告表，该项目于2014年5月开工建设并于2015年3月建成并正式投入生产使用，项目总投资金额50万元人民币，产品为五金厨具。建设项目主要污染物是抛光车间生产时产生粉尘、工业固体废物，抛光粉尘经沉淀后形成工业固体废物，日产量约10公斤。经查，你公司未按国家规定申报登记2019年度工业固体废物。</w:t>
      </w:r>
    </w:p>
    <w:p>
      <w:pPr>
        <w:keepNext w:val="0"/>
        <w:keepLines w:val="0"/>
        <w:pageBreakBefore w:val="0"/>
        <w:widowControl/>
        <w:kinsoku/>
        <w:overflowPunct/>
        <w:topLinePunct w:val="0"/>
        <w:bidi w:val="0"/>
        <w:snapToGrid/>
        <w:spacing w:line="560" w:lineRule="exact"/>
        <w:ind w:firstLine="640" w:firstLineChars="200"/>
        <w:outlineLvl w:val="9"/>
        <w:rPr>
          <w:rFonts w:eastAsia="方正仿宋简体"/>
          <w:kern w:val="0"/>
          <w:sz w:val="32"/>
          <w:szCs w:val="32"/>
        </w:rPr>
      </w:pPr>
      <w:r>
        <w:rPr>
          <w:rFonts w:hint="eastAsia" w:eastAsia="方正仿宋简体"/>
          <w:kern w:val="0"/>
          <w:sz w:val="32"/>
          <w:szCs w:val="32"/>
        </w:rPr>
        <w:t>上述事实有我局执法人员2020年4月21日《阳江市生态环境局江城分局现场检查（勘验）笔录》及2020年4月22日《阳江市生态环境局江城分局询问笔录》等证据予以证实。</w:t>
      </w:r>
    </w:p>
    <w:p>
      <w:pPr>
        <w:keepNext w:val="0"/>
        <w:keepLines w:val="0"/>
        <w:pageBreakBefore w:val="0"/>
        <w:widowControl/>
        <w:shd w:val="clear" w:color="auto" w:fill="FFFFFF"/>
        <w:kinsoku/>
        <w:overflowPunct/>
        <w:topLinePunct w:val="0"/>
        <w:bidi w:val="0"/>
        <w:snapToGrid/>
        <w:spacing w:line="560" w:lineRule="exact"/>
        <w:ind w:firstLine="640" w:firstLineChars="200"/>
        <w:jc w:val="left"/>
        <w:textAlignment w:val="center"/>
        <w:outlineLvl w:val="9"/>
        <w:rPr>
          <w:rFonts w:eastAsia="方正仿宋简体"/>
          <w:kern w:val="0"/>
          <w:sz w:val="32"/>
          <w:szCs w:val="32"/>
        </w:rPr>
      </w:pPr>
      <w:r>
        <w:rPr>
          <w:rFonts w:hint="eastAsia" w:eastAsia="方正仿宋简体"/>
          <w:kern w:val="0"/>
          <w:sz w:val="32"/>
          <w:szCs w:val="32"/>
        </w:rPr>
        <w:t>你公司的上述行为违反了《中华人民共和国固体废物污染环境防治法》</w:t>
      </w:r>
      <w:r>
        <w:rPr>
          <w:rFonts w:eastAsia="方正仿宋简体"/>
          <w:kern w:val="0"/>
          <w:sz w:val="32"/>
          <w:szCs w:val="32"/>
        </w:rPr>
        <w:t>第三十二条</w:t>
      </w:r>
      <w:r>
        <w:rPr>
          <w:rFonts w:hint="eastAsia" w:eastAsia="方正仿宋简体"/>
          <w:kern w:val="0"/>
          <w:sz w:val="32"/>
          <w:szCs w:val="32"/>
        </w:rPr>
        <w:t>：“</w:t>
      </w:r>
      <w:r>
        <w:rPr>
          <w:rFonts w:eastAsia="方正仿宋简体"/>
          <w:kern w:val="0"/>
          <w:sz w:val="32"/>
          <w:szCs w:val="32"/>
        </w:rPr>
        <w:t>国家实行工业固体废物申报登记制度。</w:t>
      </w:r>
      <w:r>
        <w:rPr>
          <w:rFonts w:hint="eastAsia" w:eastAsia="方正仿宋简体"/>
          <w:kern w:val="0"/>
          <w:sz w:val="32"/>
          <w:szCs w:val="32"/>
        </w:rPr>
        <w:t>”的规定。</w:t>
      </w:r>
    </w:p>
    <w:p>
      <w:pPr>
        <w:keepNext w:val="0"/>
        <w:keepLines w:val="0"/>
        <w:pageBreakBefore w:val="0"/>
        <w:kinsoku/>
        <w:overflowPunct/>
        <w:topLinePunct w:val="0"/>
        <w:autoSpaceDE w:val="0"/>
        <w:autoSpaceDN w:val="0"/>
        <w:bidi w:val="0"/>
        <w:adjustRightInd w:val="0"/>
        <w:snapToGrid/>
        <w:spacing w:line="560" w:lineRule="exact"/>
        <w:ind w:firstLine="640" w:firstLineChars="200"/>
        <w:outlineLvl w:val="9"/>
        <w:rPr>
          <w:rFonts w:eastAsia="方正仿宋简体"/>
          <w:kern w:val="0"/>
          <w:sz w:val="32"/>
          <w:szCs w:val="32"/>
        </w:rPr>
      </w:pPr>
      <w:r>
        <w:rPr>
          <w:rFonts w:hint="eastAsia" w:eastAsia="方正仿宋简体"/>
          <w:kern w:val="0"/>
          <w:sz w:val="32"/>
          <w:szCs w:val="32"/>
        </w:rPr>
        <w:t>你公司违法行为事实清楚、证据充分，应当依法予以你公司相应的行政处罚。</w:t>
      </w:r>
    </w:p>
    <w:p>
      <w:pPr>
        <w:keepNext w:val="0"/>
        <w:keepLines w:val="0"/>
        <w:pageBreakBefore w:val="0"/>
        <w:kinsoku/>
        <w:overflowPunct/>
        <w:topLinePunct w:val="0"/>
        <w:bidi w:val="0"/>
        <w:snapToGrid/>
        <w:spacing w:line="560" w:lineRule="exact"/>
        <w:jc w:val="left"/>
        <w:outlineLvl w:val="9"/>
        <w:rPr>
          <w:rFonts w:eastAsia="方正仿宋简体"/>
          <w:color w:val="000000"/>
          <w:kern w:val="0"/>
          <w:sz w:val="32"/>
          <w:szCs w:val="32"/>
        </w:rPr>
      </w:pPr>
      <w:r>
        <w:rPr>
          <w:rFonts w:hint="eastAsia" w:eastAsia="方正仿宋简体"/>
          <w:color w:val="000000"/>
          <w:kern w:val="0"/>
          <w:sz w:val="32"/>
          <w:szCs w:val="32"/>
        </w:rPr>
        <w:t xml:space="preserve">   </w:t>
      </w:r>
      <w:r>
        <w:rPr>
          <w:rFonts w:eastAsia="方正仿宋简体"/>
          <w:color w:val="000000"/>
          <w:kern w:val="0"/>
          <w:sz w:val="32"/>
          <w:szCs w:val="32"/>
        </w:rPr>
        <w:t>我局</w:t>
      </w:r>
      <w:r>
        <w:rPr>
          <w:rFonts w:eastAsia="方正仿宋简体"/>
          <w:kern w:val="0"/>
          <w:sz w:val="32"/>
          <w:szCs w:val="32"/>
        </w:rPr>
        <w:t>于20</w:t>
      </w:r>
      <w:r>
        <w:rPr>
          <w:rFonts w:hint="eastAsia" w:eastAsia="方正仿宋简体"/>
          <w:kern w:val="0"/>
          <w:sz w:val="32"/>
          <w:szCs w:val="32"/>
        </w:rPr>
        <w:t>20</w:t>
      </w:r>
      <w:r>
        <w:rPr>
          <w:rFonts w:eastAsia="方正仿宋简体"/>
          <w:kern w:val="0"/>
          <w:sz w:val="32"/>
          <w:szCs w:val="32"/>
        </w:rPr>
        <w:t>年</w:t>
      </w:r>
      <w:r>
        <w:rPr>
          <w:rFonts w:hint="eastAsia" w:eastAsia="方正仿宋简体"/>
          <w:kern w:val="0"/>
          <w:sz w:val="32"/>
          <w:szCs w:val="32"/>
        </w:rPr>
        <w:t>5</w:t>
      </w:r>
      <w:r>
        <w:rPr>
          <w:rFonts w:eastAsia="方正仿宋简体"/>
          <w:kern w:val="0"/>
          <w:sz w:val="32"/>
          <w:szCs w:val="32"/>
        </w:rPr>
        <w:t>月</w:t>
      </w:r>
      <w:r>
        <w:rPr>
          <w:rFonts w:hint="eastAsia" w:eastAsia="方正仿宋简体"/>
          <w:kern w:val="0"/>
          <w:sz w:val="32"/>
          <w:szCs w:val="32"/>
        </w:rPr>
        <w:t>6</w:t>
      </w:r>
      <w:r>
        <w:rPr>
          <w:rFonts w:eastAsia="方正仿宋简体"/>
          <w:kern w:val="0"/>
          <w:sz w:val="32"/>
          <w:szCs w:val="32"/>
        </w:rPr>
        <w:t>日</w:t>
      </w:r>
      <w:r>
        <w:rPr>
          <w:rFonts w:hint="eastAsia" w:eastAsia="方正仿宋简体"/>
          <w:kern w:val="0"/>
          <w:sz w:val="32"/>
          <w:szCs w:val="32"/>
        </w:rPr>
        <w:t>对你公司送达了《行政处罚事先告知书》（</w:t>
      </w:r>
      <w:r>
        <w:rPr>
          <w:rFonts w:eastAsia="方正仿宋简体"/>
          <w:kern w:val="0"/>
          <w:sz w:val="32"/>
          <w:szCs w:val="32"/>
        </w:rPr>
        <w:t>阳环</w:t>
      </w:r>
      <w:r>
        <w:rPr>
          <w:rFonts w:hint="eastAsia" w:eastAsia="方正仿宋简体"/>
          <w:kern w:val="0"/>
          <w:sz w:val="32"/>
          <w:szCs w:val="32"/>
        </w:rPr>
        <w:t>江罚</w:t>
      </w:r>
      <w:r>
        <w:rPr>
          <w:rFonts w:eastAsia="方正仿宋简体"/>
          <w:kern w:val="0"/>
          <w:sz w:val="32"/>
          <w:szCs w:val="32"/>
        </w:rPr>
        <w:t>告字〔20</w:t>
      </w:r>
      <w:r>
        <w:rPr>
          <w:rFonts w:hint="eastAsia" w:eastAsia="方正仿宋简体"/>
          <w:kern w:val="0"/>
          <w:sz w:val="32"/>
          <w:szCs w:val="32"/>
        </w:rPr>
        <w:t>20</w:t>
      </w:r>
      <w:r>
        <w:rPr>
          <w:rFonts w:eastAsia="方正仿宋简体"/>
          <w:kern w:val="0"/>
          <w:sz w:val="32"/>
          <w:szCs w:val="32"/>
        </w:rPr>
        <w:t>〕</w:t>
      </w:r>
      <w:r>
        <w:rPr>
          <w:rFonts w:hint="eastAsia" w:eastAsia="方正仿宋简体"/>
          <w:kern w:val="0"/>
          <w:sz w:val="32"/>
          <w:szCs w:val="32"/>
        </w:rPr>
        <w:t>14</w:t>
      </w:r>
      <w:r>
        <w:rPr>
          <w:rFonts w:eastAsia="方正仿宋简体"/>
          <w:kern w:val="0"/>
          <w:sz w:val="32"/>
          <w:szCs w:val="32"/>
        </w:rPr>
        <w:t>号</w:t>
      </w:r>
      <w:r>
        <w:rPr>
          <w:rFonts w:hint="eastAsia" w:eastAsia="方正仿宋简体"/>
          <w:kern w:val="0"/>
          <w:sz w:val="32"/>
          <w:szCs w:val="32"/>
        </w:rPr>
        <w:t>），</w:t>
      </w:r>
      <w:r>
        <w:rPr>
          <w:rFonts w:eastAsia="方正仿宋简体"/>
          <w:kern w:val="0"/>
          <w:sz w:val="32"/>
          <w:szCs w:val="32"/>
        </w:rPr>
        <w:t>告知</w:t>
      </w:r>
      <w:r>
        <w:rPr>
          <w:rFonts w:hint="eastAsia" w:eastAsia="方正仿宋简体"/>
          <w:kern w:val="0"/>
          <w:sz w:val="32"/>
          <w:szCs w:val="32"/>
        </w:rPr>
        <w:t>你公司</w:t>
      </w:r>
      <w:r>
        <w:rPr>
          <w:rFonts w:eastAsia="方正仿宋简体"/>
          <w:kern w:val="0"/>
          <w:sz w:val="32"/>
          <w:szCs w:val="32"/>
        </w:rPr>
        <w:t>违法事</w:t>
      </w:r>
      <w:r>
        <w:rPr>
          <w:rFonts w:eastAsia="方正仿宋简体"/>
          <w:color w:val="000000"/>
          <w:kern w:val="0"/>
          <w:sz w:val="32"/>
          <w:szCs w:val="32"/>
        </w:rPr>
        <w:t>实、处罚依据和拟作出的处罚决定，并</w:t>
      </w:r>
      <w:r>
        <w:rPr>
          <w:rFonts w:hint="eastAsia" w:eastAsia="方正仿宋简体"/>
          <w:color w:val="000000"/>
          <w:kern w:val="0"/>
          <w:sz w:val="32"/>
          <w:szCs w:val="32"/>
        </w:rPr>
        <w:t>告知你公司享有陈述、申辩权利。你公司在法定期限内未向我局提出陈述、申辩意见，</w:t>
      </w:r>
      <w:r>
        <w:rPr>
          <w:rFonts w:eastAsia="方正仿宋简体"/>
          <w:color w:val="000000"/>
          <w:kern w:val="0"/>
          <w:sz w:val="32"/>
          <w:szCs w:val="32"/>
        </w:rPr>
        <w:t>因此我局认定你</w:t>
      </w:r>
      <w:r>
        <w:rPr>
          <w:rFonts w:hint="eastAsia" w:eastAsia="方正仿宋简体"/>
          <w:color w:val="000000"/>
          <w:kern w:val="0"/>
          <w:sz w:val="32"/>
          <w:szCs w:val="32"/>
        </w:rPr>
        <w:t>公司</w:t>
      </w:r>
      <w:r>
        <w:rPr>
          <w:rFonts w:eastAsia="方正仿宋简体"/>
          <w:color w:val="000000"/>
          <w:kern w:val="0"/>
          <w:sz w:val="32"/>
          <w:szCs w:val="32"/>
        </w:rPr>
        <w:t>放弃陈述申辩和听证的权利。</w:t>
      </w:r>
    </w:p>
    <w:p>
      <w:pPr>
        <w:keepNext w:val="0"/>
        <w:keepLines w:val="0"/>
        <w:pageBreakBefore w:val="0"/>
        <w:shd w:val="solid" w:color="FFFFFF" w:fill="auto"/>
        <w:kinsoku/>
        <w:overflowPunct/>
        <w:topLinePunct w:val="0"/>
        <w:autoSpaceDN w:val="0"/>
        <w:bidi w:val="0"/>
        <w:snapToGrid/>
        <w:spacing w:line="560" w:lineRule="exact"/>
        <w:ind w:firstLine="643" w:firstLineChars="200"/>
        <w:outlineLvl w:val="9"/>
        <w:rPr>
          <w:rFonts w:eastAsia="黑体"/>
          <w:b/>
          <w:color w:val="000000"/>
          <w:kern w:val="0"/>
          <w:sz w:val="32"/>
          <w:szCs w:val="32"/>
        </w:rPr>
      </w:pPr>
      <w:r>
        <w:rPr>
          <w:rFonts w:eastAsia="黑体"/>
          <w:b/>
          <w:color w:val="000000"/>
          <w:kern w:val="0"/>
          <w:sz w:val="32"/>
          <w:szCs w:val="32"/>
        </w:rPr>
        <w:t>二、行政处罚的依据、种类以及履行方式和期限</w:t>
      </w:r>
    </w:p>
    <w:p>
      <w:pPr>
        <w:keepNext w:val="0"/>
        <w:keepLines w:val="0"/>
        <w:pageBreakBefore w:val="0"/>
        <w:shd w:val="solid" w:color="FFFFFF" w:fill="auto"/>
        <w:kinsoku/>
        <w:overflowPunct/>
        <w:topLinePunct w:val="0"/>
        <w:autoSpaceDN w:val="0"/>
        <w:bidi w:val="0"/>
        <w:snapToGrid/>
        <w:spacing w:line="560" w:lineRule="exact"/>
        <w:ind w:firstLine="640" w:firstLineChars="200"/>
        <w:outlineLvl w:val="9"/>
        <w:rPr>
          <w:rFonts w:eastAsia="方正仿宋简体"/>
          <w:kern w:val="0"/>
          <w:sz w:val="32"/>
          <w:szCs w:val="32"/>
        </w:rPr>
      </w:pPr>
      <w:r>
        <w:rPr>
          <w:rFonts w:hint="eastAsia" w:eastAsia="方正仿宋简体"/>
          <w:kern w:val="0"/>
          <w:sz w:val="32"/>
          <w:szCs w:val="32"/>
        </w:rPr>
        <w:t>根据《中华人民共和国固体废物污染环境防治法》</w:t>
      </w:r>
      <w:r>
        <w:rPr>
          <w:rFonts w:eastAsia="方正仿宋简体"/>
          <w:kern w:val="0"/>
          <w:sz w:val="32"/>
          <w:szCs w:val="32"/>
        </w:rPr>
        <w:t>第六十八条</w:t>
      </w:r>
      <w:r>
        <w:rPr>
          <w:rFonts w:hint="eastAsia" w:eastAsia="方正仿宋简体"/>
          <w:kern w:val="0"/>
          <w:sz w:val="32"/>
          <w:szCs w:val="32"/>
        </w:rPr>
        <w:t>第一款和第一项、第二款：“</w:t>
      </w:r>
      <w:r>
        <w:rPr>
          <w:rFonts w:eastAsia="方正仿宋简体"/>
          <w:kern w:val="0"/>
          <w:sz w:val="32"/>
          <w:szCs w:val="32"/>
        </w:rPr>
        <w:t>违反本法规定，有下列行为之一的，由县级以上人民政府环境保护行政主管部门责令停止违法行为，限期改正，处以罚款：(一)不按照国家规定申报登记工业固体废物，或者在申报登记时弄虚作假的; ……有前款第一项、第八项行为之一的，处五千元以上五万元以下的罚款; ……</w:t>
      </w:r>
      <w:r>
        <w:rPr>
          <w:rFonts w:hint="eastAsia" w:eastAsia="方正仿宋简体"/>
          <w:kern w:val="0"/>
          <w:sz w:val="32"/>
          <w:szCs w:val="32"/>
        </w:rPr>
        <w:t>”的规定。参照《阳江市环境保护局行政处罚自由裁量细化标准（2018）》违法种类六、法定罚则6、级别乙、档次A的标准。</w:t>
      </w:r>
    </w:p>
    <w:p>
      <w:pPr>
        <w:keepNext w:val="0"/>
        <w:keepLines w:val="0"/>
        <w:pageBreakBefore w:val="0"/>
        <w:shd w:val="solid" w:color="FFFFFF" w:fill="auto"/>
        <w:kinsoku/>
        <w:overflowPunct/>
        <w:topLinePunct w:val="0"/>
        <w:autoSpaceDN w:val="0"/>
        <w:bidi w:val="0"/>
        <w:snapToGrid/>
        <w:spacing w:line="560" w:lineRule="exact"/>
        <w:ind w:firstLine="640" w:firstLineChars="200"/>
        <w:outlineLvl w:val="9"/>
        <w:rPr>
          <w:rFonts w:eastAsia="方正仿宋简体"/>
          <w:color w:val="000000"/>
          <w:kern w:val="0"/>
          <w:sz w:val="32"/>
          <w:szCs w:val="32"/>
        </w:rPr>
      </w:pPr>
      <w:r>
        <w:rPr>
          <w:rFonts w:hint="eastAsia" w:eastAsia="方正仿宋简体"/>
          <w:kern w:val="0"/>
          <w:sz w:val="32"/>
          <w:szCs w:val="32"/>
        </w:rPr>
        <w:t>我局从案件性质、情节及后果等具体情况予以裁量，对你公司未按国家规定申报登记2019年度工业固体废物的行为作出以下处罚决定：</w:t>
      </w:r>
    </w:p>
    <w:p>
      <w:pPr>
        <w:keepNext w:val="0"/>
        <w:keepLines w:val="0"/>
        <w:pageBreakBefore w:val="0"/>
        <w:widowControl/>
        <w:kinsoku/>
        <w:overflowPunct/>
        <w:topLinePunct w:val="0"/>
        <w:bidi w:val="0"/>
        <w:snapToGrid/>
        <w:spacing w:line="560" w:lineRule="exact"/>
        <w:ind w:firstLine="640" w:firstLineChars="200"/>
        <w:outlineLvl w:val="9"/>
        <w:rPr>
          <w:rFonts w:eastAsia="方正仿宋简体"/>
          <w:kern w:val="0"/>
          <w:sz w:val="32"/>
          <w:szCs w:val="32"/>
        </w:rPr>
      </w:pPr>
      <w:r>
        <w:rPr>
          <w:rFonts w:hint="eastAsia" w:eastAsia="方正仿宋简体"/>
          <w:kern w:val="0"/>
          <w:sz w:val="32"/>
          <w:szCs w:val="32"/>
        </w:rPr>
        <w:t>罚款人民币贰万元整（</w:t>
      </w:r>
      <w:r>
        <w:rPr>
          <w:rFonts w:hint="eastAsia" w:ascii="Microsoft JhengHei" w:hAnsi="Microsoft JhengHei" w:eastAsia="Microsoft JhengHei"/>
          <w:kern w:val="0"/>
          <w:sz w:val="32"/>
          <w:szCs w:val="32"/>
        </w:rPr>
        <w:t>￥</w:t>
      </w:r>
      <w:r>
        <w:rPr>
          <w:rFonts w:hint="eastAsia" w:eastAsia="方正仿宋简体"/>
          <w:kern w:val="0"/>
          <w:sz w:val="32"/>
          <w:szCs w:val="32"/>
        </w:rPr>
        <w:t>20000.00元）。</w:t>
      </w:r>
    </w:p>
    <w:p>
      <w:pPr>
        <w:keepNext w:val="0"/>
        <w:keepLines w:val="0"/>
        <w:pageBreakBefore w:val="0"/>
        <w:shd w:val="solid" w:color="FFFFFF" w:fill="auto"/>
        <w:kinsoku/>
        <w:overflowPunct/>
        <w:topLinePunct w:val="0"/>
        <w:autoSpaceDN w:val="0"/>
        <w:bidi w:val="0"/>
        <w:snapToGrid/>
        <w:spacing w:line="560" w:lineRule="exact"/>
        <w:ind w:firstLine="640" w:firstLineChars="200"/>
        <w:outlineLvl w:val="9"/>
        <w:rPr>
          <w:rFonts w:eastAsia="方正仿宋简体"/>
          <w:color w:val="000000"/>
          <w:kern w:val="0"/>
          <w:sz w:val="32"/>
          <w:szCs w:val="32"/>
        </w:rPr>
      </w:pPr>
      <w:r>
        <w:rPr>
          <w:rFonts w:eastAsia="方正仿宋简体"/>
          <w:kern w:val="0"/>
          <w:sz w:val="32"/>
          <w:szCs w:val="32"/>
        </w:rPr>
        <w:t>根据《行政处罚法》和《罚款决定与</w:t>
      </w:r>
      <w:r>
        <w:rPr>
          <w:rFonts w:eastAsia="方正仿宋简体"/>
          <w:color w:val="000000"/>
          <w:kern w:val="0"/>
          <w:sz w:val="32"/>
          <w:szCs w:val="32"/>
        </w:rPr>
        <w:t>罚款收缴分离实施办法》的规定，</w:t>
      </w:r>
      <w:r>
        <w:rPr>
          <w:rFonts w:hint="eastAsia" w:eastAsia="方正仿宋简体"/>
          <w:color w:val="000000"/>
          <w:sz w:val="32"/>
          <w:szCs w:val="32"/>
        </w:rPr>
        <w:t>你公司</w:t>
      </w:r>
      <w:r>
        <w:rPr>
          <w:rFonts w:eastAsia="方正仿宋简体"/>
          <w:color w:val="000000"/>
          <w:kern w:val="0"/>
          <w:sz w:val="32"/>
          <w:szCs w:val="32"/>
        </w:rPr>
        <w:t>应于接到本处罚决定书之日起十五日内，到阳江市</w:t>
      </w:r>
      <w:r>
        <w:rPr>
          <w:rFonts w:hint="eastAsia" w:eastAsia="方正仿宋简体"/>
          <w:color w:val="000000"/>
          <w:kern w:val="0"/>
          <w:sz w:val="32"/>
          <w:szCs w:val="32"/>
        </w:rPr>
        <w:t>生态环境</w:t>
      </w:r>
      <w:r>
        <w:rPr>
          <w:rFonts w:eastAsia="方正仿宋简体"/>
          <w:color w:val="000000"/>
          <w:kern w:val="0"/>
          <w:sz w:val="32"/>
          <w:szCs w:val="32"/>
        </w:rPr>
        <w:t>局</w:t>
      </w:r>
      <w:r>
        <w:rPr>
          <w:rFonts w:hint="eastAsia" w:eastAsia="方正仿宋简体"/>
          <w:color w:val="000000"/>
          <w:kern w:val="0"/>
          <w:sz w:val="32"/>
          <w:szCs w:val="32"/>
        </w:rPr>
        <w:t>政策法规与宣传教育科</w:t>
      </w:r>
      <w:r>
        <w:rPr>
          <w:rFonts w:eastAsia="方正仿宋简体"/>
          <w:color w:val="000000"/>
          <w:kern w:val="0"/>
          <w:sz w:val="32"/>
          <w:szCs w:val="32"/>
        </w:rPr>
        <w:t>开具</w:t>
      </w:r>
      <w:r>
        <w:rPr>
          <w:rFonts w:hint="eastAsia" w:eastAsia="方正仿宋简体"/>
          <w:color w:val="000000"/>
          <w:kern w:val="0"/>
          <w:sz w:val="32"/>
          <w:szCs w:val="32"/>
        </w:rPr>
        <w:t>《阳江市非税收入缴款通知书》</w:t>
      </w:r>
      <w:r>
        <w:rPr>
          <w:rFonts w:eastAsia="方正仿宋简体"/>
          <w:color w:val="000000"/>
          <w:kern w:val="0"/>
          <w:sz w:val="32"/>
          <w:szCs w:val="32"/>
        </w:rPr>
        <w:t>，将罚款缴至指定银行和帐号，</w:t>
      </w:r>
      <w:r>
        <w:rPr>
          <w:rFonts w:hint="eastAsia" w:eastAsia="方正仿宋简体"/>
          <w:color w:val="000000"/>
          <w:kern w:val="0"/>
          <w:sz w:val="32"/>
          <w:szCs w:val="32"/>
        </w:rPr>
        <w:t>你公司</w:t>
      </w:r>
      <w:r>
        <w:rPr>
          <w:rFonts w:eastAsia="方正仿宋简体"/>
          <w:color w:val="000000"/>
          <w:kern w:val="0"/>
          <w:sz w:val="32"/>
          <w:szCs w:val="32"/>
        </w:rPr>
        <w:t>缴纳罚款后应将缴款凭据复印件报送我局备案。逾期不缴纳罚款的，我局将每日按罚款数额的3%加处罚款。</w:t>
      </w:r>
      <w:r>
        <w:rPr>
          <w:rFonts w:hint="eastAsia" w:eastAsia="方正仿宋简体"/>
          <w:color w:val="000000"/>
          <w:kern w:val="0"/>
          <w:sz w:val="32"/>
          <w:szCs w:val="32"/>
        </w:rPr>
        <w:t>罚款应缴至以下银行：</w:t>
      </w:r>
    </w:p>
    <w:p>
      <w:pPr>
        <w:pStyle w:val="2"/>
        <w:keepNext w:val="0"/>
        <w:keepLines w:val="0"/>
        <w:pageBreakBefore w:val="0"/>
        <w:kinsoku/>
        <w:overflowPunct/>
        <w:topLinePunct w:val="0"/>
        <w:bidi w:val="0"/>
        <w:snapToGrid/>
        <w:spacing w:line="560" w:lineRule="exact"/>
        <w:ind w:firstLine="0" w:firstLineChars="0"/>
        <w:outlineLvl w:val="9"/>
        <w:rPr>
          <w:rFonts w:ascii="Times New Roman"/>
          <w:color w:val="000000"/>
          <w:szCs w:val="32"/>
        </w:rPr>
      </w:pPr>
      <w:r>
        <w:rPr>
          <w:rFonts w:ascii="Times New Roman"/>
          <w:color w:val="000000"/>
          <w:szCs w:val="32"/>
        </w:rPr>
        <w:t xml:space="preserve">    收款银行：中国建设银行阳江市分行</w:t>
      </w:r>
    </w:p>
    <w:p>
      <w:pPr>
        <w:pStyle w:val="2"/>
        <w:keepNext w:val="0"/>
        <w:keepLines w:val="0"/>
        <w:pageBreakBefore w:val="0"/>
        <w:kinsoku/>
        <w:overflowPunct/>
        <w:topLinePunct w:val="0"/>
        <w:bidi w:val="0"/>
        <w:snapToGrid/>
        <w:spacing w:line="560" w:lineRule="exact"/>
        <w:ind w:firstLine="640"/>
        <w:outlineLvl w:val="9"/>
        <w:rPr>
          <w:rFonts w:ascii="Times New Roman"/>
          <w:color w:val="000000"/>
          <w:szCs w:val="32"/>
        </w:rPr>
      </w:pPr>
      <w:r>
        <w:rPr>
          <w:rFonts w:ascii="Times New Roman"/>
          <w:color w:val="000000"/>
          <w:szCs w:val="32"/>
        </w:rPr>
        <w:t>帐户名称：</w:t>
      </w:r>
      <w:r>
        <w:rPr>
          <w:rFonts w:ascii="Times New Roman"/>
          <w:szCs w:val="32"/>
        </w:rPr>
        <w:t>待报解预算收入内转户</w:t>
      </w:r>
    </w:p>
    <w:p>
      <w:pPr>
        <w:keepNext w:val="0"/>
        <w:keepLines w:val="0"/>
        <w:pageBreakBefore w:val="0"/>
        <w:kinsoku/>
        <w:overflowPunct/>
        <w:topLinePunct w:val="0"/>
        <w:bidi w:val="0"/>
        <w:snapToGrid/>
        <w:spacing w:line="560" w:lineRule="exact"/>
        <w:ind w:firstLine="640" w:firstLineChars="200"/>
        <w:outlineLvl w:val="9"/>
        <w:rPr>
          <w:rFonts w:eastAsia="方正仿宋简体"/>
          <w:color w:val="000000"/>
          <w:sz w:val="32"/>
          <w:szCs w:val="32"/>
        </w:rPr>
      </w:pPr>
      <w:r>
        <w:rPr>
          <w:rFonts w:eastAsia="方正仿宋简体"/>
          <w:color w:val="000000"/>
          <w:sz w:val="32"/>
          <w:szCs w:val="32"/>
        </w:rPr>
        <w:t>帐号：440758608156241035009908001</w:t>
      </w:r>
    </w:p>
    <w:p>
      <w:pPr>
        <w:keepNext w:val="0"/>
        <w:keepLines w:val="0"/>
        <w:pageBreakBefore w:val="0"/>
        <w:shd w:val="solid" w:color="FFFFFF" w:fill="auto"/>
        <w:kinsoku/>
        <w:overflowPunct/>
        <w:topLinePunct w:val="0"/>
        <w:autoSpaceDN w:val="0"/>
        <w:bidi w:val="0"/>
        <w:snapToGrid/>
        <w:spacing w:line="560" w:lineRule="exact"/>
        <w:ind w:firstLine="643" w:firstLineChars="200"/>
        <w:outlineLvl w:val="9"/>
        <w:rPr>
          <w:rFonts w:eastAsia="黑体"/>
          <w:b/>
          <w:bCs/>
          <w:color w:val="000000"/>
          <w:sz w:val="32"/>
          <w:szCs w:val="32"/>
        </w:rPr>
      </w:pPr>
      <w:r>
        <w:rPr>
          <w:rFonts w:eastAsia="黑体"/>
          <w:b/>
          <w:bCs/>
          <w:color w:val="000000"/>
          <w:sz w:val="32"/>
          <w:szCs w:val="32"/>
        </w:rPr>
        <w:t>三、申请行政复议或者提起行政诉讼的途径和期限</w:t>
      </w:r>
    </w:p>
    <w:p>
      <w:pPr>
        <w:keepNext w:val="0"/>
        <w:keepLines w:val="0"/>
        <w:pageBreakBefore w:val="0"/>
        <w:shd w:val="solid" w:color="FFFFFF" w:fill="auto"/>
        <w:kinsoku/>
        <w:overflowPunct/>
        <w:topLinePunct w:val="0"/>
        <w:autoSpaceDN w:val="0"/>
        <w:bidi w:val="0"/>
        <w:snapToGrid/>
        <w:spacing w:line="560" w:lineRule="exact"/>
        <w:ind w:firstLine="640" w:firstLineChars="200"/>
        <w:outlineLvl w:val="9"/>
        <w:rPr>
          <w:rFonts w:eastAsia="方正仿宋简体"/>
          <w:color w:val="000000"/>
          <w:kern w:val="0"/>
          <w:sz w:val="32"/>
          <w:szCs w:val="32"/>
        </w:rPr>
      </w:pPr>
      <w:r>
        <w:rPr>
          <w:rFonts w:eastAsia="方正仿宋简体"/>
          <w:color w:val="000000"/>
          <w:kern w:val="0"/>
          <w:sz w:val="32"/>
          <w:szCs w:val="32"/>
        </w:rPr>
        <w:t>如不服本处罚决定，</w:t>
      </w:r>
      <w:r>
        <w:rPr>
          <w:rFonts w:hint="eastAsia" w:eastAsia="方正仿宋简体"/>
          <w:color w:val="000000"/>
          <w:sz w:val="32"/>
          <w:szCs w:val="32"/>
        </w:rPr>
        <w:t>你公司</w:t>
      </w:r>
      <w:r>
        <w:rPr>
          <w:rFonts w:eastAsia="方正仿宋简体"/>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方正仿宋简体"/>
          <w:color w:val="000000"/>
          <w:kern w:val="0"/>
          <w:sz w:val="32"/>
          <w:szCs w:val="32"/>
        </w:rPr>
        <w:t>阳江市阳东区人民法院起诉</w:t>
      </w:r>
      <w:r>
        <w:rPr>
          <w:rFonts w:eastAsia="方正仿宋简体"/>
          <w:color w:val="000000"/>
          <w:kern w:val="0"/>
          <w:sz w:val="32"/>
          <w:szCs w:val="32"/>
        </w:rPr>
        <w:t>提起行政诉讼。</w:t>
      </w:r>
    </w:p>
    <w:p>
      <w:pPr>
        <w:keepNext w:val="0"/>
        <w:keepLines w:val="0"/>
        <w:pageBreakBefore w:val="0"/>
        <w:widowControl/>
        <w:kinsoku/>
        <w:overflowPunct/>
        <w:topLinePunct w:val="0"/>
        <w:bidi w:val="0"/>
        <w:snapToGrid/>
        <w:spacing w:line="560" w:lineRule="exact"/>
        <w:ind w:firstLine="640" w:firstLineChars="200"/>
        <w:outlineLvl w:val="9"/>
        <w:rPr>
          <w:rFonts w:eastAsia="方正仿宋简体"/>
          <w:sz w:val="32"/>
          <w:szCs w:val="32"/>
        </w:rPr>
      </w:pPr>
      <w:r>
        <w:rPr>
          <w:rFonts w:eastAsia="方正仿宋简体"/>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方正仿宋简体"/>
          <w:color w:val="000000"/>
          <w:kern w:val="0"/>
          <w:sz w:val="32"/>
          <w:szCs w:val="32"/>
        </w:rPr>
        <w:t>经催告后仍未履行义务的，依据《中华人民共和国行政强制法》第五十四条的规定，我局将依法申请人民法院强制执行。</w:t>
      </w:r>
    </w:p>
    <w:p>
      <w:pPr>
        <w:keepNext w:val="0"/>
        <w:keepLines w:val="0"/>
        <w:pageBreakBefore w:val="0"/>
        <w:kinsoku/>
        <w:overflowPunct/>
        <w:topLinePunct w:val="0"/>
        <w:bidi w:val="0"/>
        <w:snapToGrid/>
        <w:spacing w:line="560" w:lineRule="exact"/>
        <w:outlineLvl w:val="9"/>
        <w:rPr>
          <w:rFonts w:eastAsia="方正仿宋简体"/>
          <w:sz w:val="32"/>
          <w:szCs w:val="32"/>
        </w:rPr>
      </w:pPr>
    </w:p>
    <w:p>
      <w:pPr>
        <w:keepNext w:val="0"/>
        <w:keepLines w:val="0"/>
        <w:pageBreakBefore w:val="0"/>
        <w:kinsoku/>
        <w:overflowPunct/>
        <w:topLinePunct w:val="0"/>
        <w:bidi w:val="0"/>
        <w:snapToGrid/>
        <w:spacing w:line="560" w:lineRule="exact"/>
        <w:jc w:val="center"/>
        <w:outlineLvl w:val="9"/>
        <w:rPr>
          <w:rFonts w:eastAsia="方正仿宋简体"/>
          <w:sz w:val="32"/>
          <w:szCs w:val="32"/>
        </w:rPr>
      </w:pPr>
      <w:r>
        <w:rPr>
          <w:rFonts w:eastAsia="方正仿宋简体"/>
          <w:sz w:val="32"/>
          <w:szCs w:val="32"/>
        </w:rPr>
        <w:t xml:space="preserve">                         </w:t>
      </w:r>
      <w:r>
        <w:rPr>
          <w:rFonts w:hint="eastAsia" w:eastAsia="方正仿宋简体"/>
          <w:sz w:val="32"/>
          <w:szCs w:val="32"/>
        </w:rPr>
        <w:t xml:space="preserve">    阳江市生态环境局</w:t>
      </w:r>
    </w:p>
    <w:p>
      <w:pPr>
        <w:keepNext w:val="0"/>
        <w:keepLines w:val="0"/>
        <w:pageBreakBefore w:val="0"/>
        <w:kinsoku/>
        <w:wordWrap w:val="0"/>
        <w:overflowPunct/>
        <w:topLinePunct w:val="0"/>
        <w:bidi w:val="0"/>
        <w:snapToGrid/>
        <w:spacing w:line="560" w:lineRule="exact"/>
        <w:jc w:val="right"/>
        <w:outlineLvl w:val="9"/>
        <w:rPr>
          <w:rFonts w:hint="eastAsia" w:eastAsia="方正仿宋简体"/>
          <w:lang w:val="en-US" w:eastAsia="zh-CN"/>
        </w:rPr>
      </w:pPr>
      <w:r>
        <w:rPr>
          <w:kern w:val="0"/>
          <w:sz w:val="32"/>
          <w:szCs w:val="32"/>
        </w:rPr>
        <w:t xml:space="preserve">                            20</w:t>
      </w:r>
      <w:r>
        <w:rPr>
          <w:rFonts w:hint="eastAsia"/>
          <w:kern w:val="0"/>
          <w:sz w:val="32"/>
          <w:szCs w:val="32"/>
        </w:rPr>
        <w:t>20</w:t>
      </w:r>
      <w:r>
        <w:rPr>
          <w:rFonts w:hint="eastAsia" w:ascii="方正仿宋简体" w:hAnsi="方正仿宋简体" w:eastAsia="方正仿宋简体" w:cs="方正仿宋简体"/>
          <w:kern w:val="0"/>
          <w:sz w:val="32"/>
          <w:szCs w:val="32"/>
        </w:rPr>
        <w:t>年</w:t>
      </w:r>
      <w:r>
        <w:rPr>
          <w:rFonts w:hint="eastAsia" w:eastAsia="方正仿宋简体"/>
          <w:color w:val="000000" w:themeColor="text1"/>
          <w:kern w:val="0"/>
          <w:sz w:val="32"/>
          <w:szCs w:val="32"/>
        </w:rPr>
        <w:t>5</w:t>
      </w:r>
      <w:r>
        <w:rPr>
          <w:rFonts w:hint="eastAsia" w:ascii="方正仿宋简体" w:hAnsi="方正仿宋简体" w:eastAsia="方正仿宋简体" w:cs="方正仿宋简体"/>
          <w:color w:val="000000" w:themeColor="text1"/>
          <w:kern w:val="0"/>
          <w:sz w:val="32"/>
          <w:szCs w:val="32"/>
        </w:rPr>
        <w:t>月</w:t>
      </w:r>
      <w:r>
        <w:rPr>
          <w:rFonts w:hint="eastAsia"/>
          <w:color w:val="000000" w:themeColor="text1"/>
          <w:kern w:val="0"/>
          <w:sz w:val="32"/>
          <w:szCs w:val="32"/>
        </w:rPr>
        <w:t>22</w:t>
      </w:r>
      <w:r>
        <w:rPr>
          <w:rFonts w:hint="eastAsia" w:ascii="方正仿宋简体" w:hAnsi="方正仿宋简体" w:eastAsia="方正仿宋简体" w:cs="方正仿宋简体"/>
          <w:kern w:val="0"/>
          <w:sz w:val="32"/>
          <w:szCs w:val="32"/>
        </w:rPr>
        <w:t>日</w:t>
      </w:r>
      <w:bookmarkEnd w:id="0"/>
      <w:r>
        <w:rPr>
          <w:rFonts w:hint="eastAsia" w:ascii="方正仿宋简体" w:hAnsi="方正仿宋简体" w:eastAsia="方正仿宋简体" w:cs="方正仿宋简体"/>
          <w:kern w:val="0"/>
          <w:sz w:val="32"/>
          <w:szCs w:val="32"/>
          <w:lang w:val="en-US" w:eastAsia="zh-CN"/>
        </w:rPr>
        <w:t xml:space="preserve">     </w:t>
      </w:r>
    </w:p>
    <w:sectPr>
      <w:footerReference r:id="rId3" w:type="default"/>
      <w:pgSz w:w="11906" w:h="16838"/>
      <w:pgMar w:top="2098"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rFonts w:hint="eastAsia"/>
        <w:sz w:val="21"/>
        <w:szCs w:val="21"/>
      </w:rPr>
      <w:t>第</w:t>
    </w:r>
    <w:r>
      <w:rPr>
        <w:sz w:val="21"/>
        <w:szCs w:val="21"/>
      </w:rPr>
      <w:fldChar w:fldCharType="begin"/>
    </w:r>
    <w:r>
      <w:rPr>
        <w:sz w:val="21"/>
        <w:szCs w:val="21"/>
      </w:rPr>
      <w:instrText xml:space="preserve"> </w:instrText>
    </w:r>
    <w:r>
      <w:rPr>
        <w:rFonts w:hint="eastAsia"/>
        <w:sz w:val="21"/>
        <w:szCs w:val="21"/>
      </w:rPr>
      <w:instrText xml:space="preserve">PAGE  \* Arabic  \* MERGEFORMAT</w:instrText>
    </w:r>
    <w:r>
      <w:rPr>
        <w:sz w:val="21"/>
        <w:szCs w:val="21"/>
      </w:rPr>
      <w:instrText xml:space="preserve"> </w:instrText>
    </w:r>
    <w:r>
      <w:rPr>
        <w:sz w:val="21"/>
        <w:szCs w:val="21"/>
      </w:rPr>
      <w:fldChar w:fldCharType="separate"/>
    </w:r>
    <w:r>
      <w:rPr>
        <w:sz w:val="21"/>
        <w:szCs w:val="21"/>
      </w:rPr>
      <w:t>2</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4</w:t>
    </w:r>
    <w:r>
      <w:rPr>
        <w:sz w:val="21"/>
        <w:szCs w:val="21"/>
      </w:rPr>
      <w:fldChar w:fldCharType="end"/>
    </w:r>
    <w:r>
      <w:rPr>
        <w:rFonts w:hint="eastAsia"/>
        <w:sz w:val="21"/>
        <w:szCs w:val="21"/>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66B7"/>
    <w:rsid w:val="00046509"/>
    <w:rsid w:val="000E4795"/>
    <w:rsid w:val="001F11D8"/>
    <w:rsid w:val="003C641C"/>
    <w:rsid w:val="003D2B75"/>
    <w:rsid w:val="004D3537"/>
    <w:rsid w:val="004F767B"/>
    <w:rsid w:val="005850C0"/>
    <w:rsid w:val="00673985"/>
    <w:rsid w:val="00686F5A"/>
    <w:rsid w:val="00790AE4"/>
    <w:rsid w:val="007A1D80"/>
    <w:rsid w:val="007E5F11"/>
    <w:rsid w:val="00860B3F"/>
    <w:rsid w:val="0098053B"/>
    <w:rsid w:val="00A20B1E"/>
    <w:rsid w:val="00A63C5E"/>
    <w:rsid w:val="00B12381"/>
    <w:rsid w:val="00C4140A"/>
    <w:rsid w:val="00C72C05"/>
    <w:rsid w:val="00CD392A"/>
    <w:rsid w:val="00D1136E"/>
    <w:rsid w:val="00D54094"/>
    <w:rsid w:val="00D824A4"/>
    <w:rsid w:val="00E55CB5"/>
    <w:rsid w:val="00E566B7"/>
    <w:rsid w:val="00E73760"/>
    <w:rsid w:val="00EC30C2"/>
    <w:rsid w:val="00F60042"/>
    <w:rsid w:val="00FD3E36"/>
    <w:rsid w:val="00FD51BB"/>
    <w:rsid w:val="0172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方正仿宋简体" w:eastAsia="方正仿宋简体"/>
      <w:sz w:val="32"/>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正文文本缩进 Char"/>
    <w:basedOn w:val="5"/>
    <w:link w:val="2"/>
    <w:uiPriority w:val="0"/>
    <w:rPr>
      <w:rFonts w:ascii="方正仿宋简体" w:hAnsi="Times New Roman" w:eastAsia="方正仿宋简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Words>
  <Characters>1365</Characters>
  <Lines>11</Lines>
  <Paragraphs>3</Paragraphs>
  <TotalTime>86</TotalTime>
  <ScaleCrop>false</ScaleCrop>
  <LinksUpToDate>false</LinksUpToDate>
  <CharactersWithSpaces>1601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张莉娅</cp:lastModifiedBy>
  <cp:lastPrinted>2020-05-22T01:20:00Z</cp:lastPrinted>
  <dcterms:modified xsi:type="dcterms:W3CDTF">2020-12-22T07:56:25Z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